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v0.3</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v0.3（数値シミュレーションによる検証反映版）</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後衛配置が明確に有利で、前衛配置は選択肢ではなく単なる悪手である。§4.6 の「後衛配置85%以下」は</w:t>
      </w:r>
    </w:p>
    <w:p>
      <w:pPr>
        <w:spacing w:before="0" w:after="120" w:line="300" w:lineRule="auto"/>
      </w:pPr>
      <w:r>
        <w:rPr>
          <w:rFonts w:ascii="Calibri" w:hAnsi="Calibri" w:eastAsia="Yu Gothic" w:cs="Calibri"/>
          <w:color w:val="1F2937"/>
          <w:sz w:val="22"/>
        </w:rPr>
        <w:t>達成できない。現在の能力補正（最大兵力 +10%、ゲージ上昇率 +10%）では、即敗北のリスクに</w:t>
      </w:r>
    </w:p>
    <w:p>
      <w:pPr>
        <w:spacing w:before="0" w:after="120" w:line="300" w:lineRule="auto"/>
      </w:pPr>
      <w:r>
        <w:rPr>
          <w:rFonts w:ascii="Calibri" w:hAnsi="Calibri" w:eastAsia="Yu Gothic" w:cs="Calibri"/>
          <w:color w:val="1F2937"/>
          <w:sz w:val="22"/>
        </w:rPr>
        <w:t>釣り合っていない。</w:t>
      </w:r>
    </w:p>
    <w:p>
      <w:pPr>
        <w:spacing w:before="0" w:after="120" w:line="300" w:lineRule="auto"/>
      </w:pPr>
      <w:r>
        <w:rPr>
          <w:rFonts w:ascii="Calibri" w:hAnsi="Calibri" w:eastAsia="Yu Gothic" w:cs="Calibri"/>
          <w:color w:val="1F2937"/>
          <w:sz w:val="22"/>
        </w:rPr>
        <w:t>なお §0.3-8 のコスト効率を平坦化する前は、この差が +35pt（低コスト戦で前衛31% / 後衛66%）</w:t>
      </w:r>
    </w:p>
    <w:p>
      <w:pPr>
        <w:spacing w:before="0" w:after="120" w:line="300" w:lineRule="auto"/>
      </w:pPr>
      <w:r>
        <w:rPr>
          <w:rFonts w:ascii="Calibri" w:hAnsi="Calibri" w:eastAsia="Yu Gothic" w:cs="Calibri"/>
          <w:color w:val="1F2937"/>
          <w:sz w:val="22"/>
        </w:rPr>
        <w:t>あった。コスト効率の是正で半減したが、依然として選択が成立する水準ではない。</w:t>
      </w:r>
    </w:p>
    <w:p>
      <w:pPr>
        <w:spacing w:before="0" w:after="120" w:line="300" w:lineRule="auto"/>
      </w:pPr>
      <w:r>
        <w:rPr>
          <w:rFonts w:ascii="Calibri" w:hAnsi="Calibri" w:eastAsia="Yu Gothic" w:cs="Calibri"/>
          <w:color w:val="1F2937"/>
          <w:sz w:val="22"/>
        </w:rPr>
        <w:t>調整案（いずれも未検証）:</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5076"/>
        <w:gridCol w:w="352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50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5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懸念</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総大将の能力補正を</w:t>
            </w:r>
            <w:r>
              <w:rPr>
                <w:rFonts w:ascii="Calibri" w:hAnsi="Calibri" w:eastAsia="Yu Gothic" w:cs="Calibri"/>
                <w:b/>
                <w:color w:val="1F2937"/>
                <w:sz w:val="18"/>
              </w:rPr>
              <w:t>前衛配置時のみ</w:t>
            </w:r>
            <w:r>
              <w:rPr>
                <w:rFonts w:ascii="Calibri" w:hAnsi="Calibri" w:eastAsia="Yu Gothic" w:cs="Calibri"/>
                <w:color w:val="1F2937"/>
                <w:sz w:val="18"/>
              </w:rPr>
              <w:t>に与える。後衛配置なら補正なし。</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+35pt を埋めるには補正が相当大きくなる。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前衛配置の総大将に味方全体への補正（鼓舞）を持たせる。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全体補正は強力すぎて別の支配戦略になりうる。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総大将を後衛に置いた場合、敵の突破・後衛狙撃系の効果を強化する。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ルールが複雑になる。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配置制限を設け、総大将は前衛に限定する。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判断そのものを消すため、狙いに反する。</w:t>
            </w:r>
          </w:p>
        </w:tc>
      </w:tr>
    </w:tbl>
    <w:p>
      <w:pPr>
        <w:spacing w:after="120"/>
      </w:pPr>
    </w:p>
    <w:p>
      <w:pPr>
        <w:spacing w:before="0" w:after="120" w:line="300" w:lineRule="auto"/>
      </w:pPr>
      <w:r>
        <w:rPr>
          <w:rFonts w:ascii="Calibri" w:hAnsi="Calibri" w:eastAsia="Yu Gothic" w:cs="Calibri"/>
          <w:color w:val="1F2937"/>
          <w:sz w:val="22"/>
        </w:rPr>
        <w:t>未決: 上記のどれを採るか。能力補正の値。</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49"/>
        <w:gridCol w:w="760"/>
        <w:gridCol w:w="5951"/>
      </w:tblGrid>
      <w:tr>
        <w:trPr>
          <w:tblHeader w:val="true"/>
          <w:cantSplit/>
        </w:trPr>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案Aを暫定採用する。上限値は §7.1 のゲージ設計目標と併せて検証する。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7"/>
        <w:gridCol w:w="3019"/>
        <w:gridCol w:w="5134"/>
      </w:tblGrid>
      <w:tr>
        <w:trPr>
          <w:tblHeader w:val="true"/>
          <w:cantSplit/>
        </w:trPr>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0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5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総大将の配置分布</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後衛配置が85%以下</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総大将撤退が即敗北のため後衛偏重になりやすい（§4.2）。超過する場合は前衛配置に選択の余地がないことを示す。</w:t>
            </w:r>
          </w:p>
        </w:tc>
      </w:tr>
      <w:tr>
        <w:trPr>
          <w:cantSplit/>
        </w:trPr>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5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コスト効率の平坦化［v0.3 で追加］</w:t>
      </w:r>
    </w:p>
    <w:p>
      <w:pPr>
        <w:spacing w:before="0" w:after="120" w:line="300" w:lineRule="auto"/>
      </w:pPr>
      <w:r>
        <w:rPr>
          <w:rFonts w:ascii="Calibri" w:hAnsi="Calibri" w:eastAsia="Yu Gothic" w:cs="Calibri"/>
          <w:color w:val="1F2937"/>
          <w:sz w:val="22"/>
        </w:rPr>
        <w:t>「同コスト帯での上位互換を避ける」だけでは足りない。</w:t>
      </w:r>
      <w:r>
        <w:rPr>
          <w:rFonts w:ascii="Calibri" w:hAnsi="Calibri" w:eastAsia="Yu Gothic" w:cs="Calibri"/>
          <w:b/>
          <w:color w:val="1F2937"/>
          <w:sz w:val="22"/>
        </w:rPr>
        <w:t>コスト帯をまたいだ効率</w:t>
      </w:r>
      <w:r>
        <w:rPr>
          <w:rFonts w:ascii="Calibri" w:hAnsi="Calibri" w:eastAsia="Yu Gothic" w:cs="Calibri"/>
          <w:color w:val="1F2937"/>
          <w:sz w:val="22"/>
        </w:rPr>
        <w:t>も揃える必要がある。</w:t>
      </w:r>
    </w:p>
    <w:p>
      <w:pPr>
        <w:spacing w:before="0" w:after="120" w:line="300" w:lineRule="auto"/>
      </w:pPr>
      <w:r>
        <w:rPr>
          <w:rFonts w:ascii="Calibri" w:hAnsi="Calibri" w:eastAsia="Yu Gothic" w:cs="Calibri"/>
          <w:color w:val="1F2937"/>
          <w:sz w:val="22"/>
        </w:rPr>
        <w:t>v0.3 の初期データでは総合値/コストが 高631 / 中509 / 低415 と、高コスト札ほど1コストあたりの</w:t>
      </w:r>
    </w:p>
    <w:p>
      <w:pPr>
        <w:spacing w:before="0" w:after="120" w:line="300" w:lineRule="auto"/>
      </w:pPr>
      <w:r>
        <w:rPr>
          <w:rFonts w:ascii="Calibri" w:hAnsi="Calibri" w:eastAsia="Yu Gothic" w:cs="Calibri"/>
          <w:color w:val="1F2937"/>
          <w:sz w:val="22"/>
        </w:rPr>
        <w:t>強さも高かった。その結果、「コスト上限まで高コスト札を積む」編成がランダムな適法編成に対し</w:t>
      </w:r>
    </w:p>
    <w:p>
      <w:pPr>
        <w:spacing w:before="0" w:after="120" w:line="300" w:lineRule="auto"/>
      </w:pPr>
      <w:r>
        <w:rPr>
          <w:rFonts w:ascii="Calibri" w:hAnsi="Calibri" w:eastAsia="Yu Gothic" w:cs="Calibri"/>
          <w:color w:val="1F2937"/>
          <w:sz w:val="22"/>
        </w:rPr>
        <w:t>中コスト戦97%・高コスト戦100%で勝利し、編成の判断が実質的に消えていた。</w:t>
      </w:r>
    </w:p>
    <w:p>
      <w:pPr>
        <w:spacing w:before="0" w:after="80" w:line="300" w:lineRule="auto"/>
        <w:numPr>
          <w:ilvl w:val="0"/>
          <w:numId w:val="41"/>
        </w:numPr>
      </w:pPr>
      <w:r>
        <w:rPr>
          <w:rFonts w:ascii="Calibri" w:hAnsi="Calibri" w:eastAsia="Yu Gothic" w:cs="Calibri"/>
          <w:color w:val="1F2937"/>
          <w:sz w:val="22"/>
        </w:rPr>
        <w:t>総合値/コストは</w:t>
      </w:r>
      <w:r>
        <w:rPr>
          <w:rFonts w:ascii="Calibri" w:hAnsi="Calibri" w:eastAsia="Yu Gothic" w:cs="Calibri"/>
          <w:b/>
          <w:color w:val="1F2937"/>
          <w:sz w:val="22"/>
        </w:rPr>
        <w:t>コスト帯によらず一定</w:t>
      </w:r>
      <w:r>
        <w:rPr>
          <w:rFonts w:ascii="Calibri" w:hAnsi="Calibri" w:eastAsia="Yu Gothic" w:cs="Calibri"/>
          <w:color w:val="1F2937"/>
          <w:sz w:val="22"/>
        </w:rPr>
        <w:t>にする（v0.3 では約510に平坦化）。</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80" w:line="300" w:lineRule="auto"/>
        <w:numPr>
          <w:ilvl w:val="0"/>
          <w:numId w:val="41"/>
        </w:numPr>
      </w:pPr>
      <w:r>
        <w:rPr>
          <w:rFonts w:ascii="Calibri" w:hAnsi="Calibri" w:eastAsia="Yu Gothic" w:cs="Calibri"/>
          <w:color w:val="1F2937"/>
          <w:sz w:val="22"/>
        </w:rPr>
        <w:t>検算は `sim/budget.py` で行う。</w:t>
      </w:r>
    </w:p>
    <w:p>
      <w:pPr>
        <w:pStyle w:val="Heading3"/>
        <w:keepNext/>
      </w:pPr>
      <w:r>
        <w:rPr>
          <w:rFonts w:ascii="Calibri" w:hAnsi="Calibri" w:eastAsia="Yu Gothic" w:cs="Calibri"/>
          <w:b/>
          <w:color w:val="2E74B5"/>
          <w:sz w:val="23"/>
        </w:rPr>
        <w:t>v0.3 の実測値</w:t>
      </w:r>
    </w:p>
    <w:p>
      <w:pPr>
        <w:spacing w:before="0" w:after="120" w:line="300" w:lineRule="auto"/>
      </w:pPr>
      <w:r>
        <w:rPr>
          <w:rFonts w:ascii="Calibri" w:hAnsi="Calibri" w:eastAsia="Yu Gothic" w:cs="Calibri"/>
          <w:color w:val="1F2937"/>
          <w:sz w:val="22"/>
        </w:rPr>
        <w:t>24枚のサンプルと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79"/>
        <w:gridCol w:w="1903"/>
        <w:gridCol w:w="3490"/>
        <w:gridCol w:w="1588"/>
      </w:tblGrid>
      <w:tr>
        <w:trPr>
          <w:tblHeader w:val="true"/>
          <w:cantSplit/>
        </w:trPr>
        <w:tc>
          <w:tcPr>
            <w:tcW w:type="dxa" w:w="237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4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66.4秒</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11%（決着促進の導入前は31%）</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1.16回</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兵種予算のぶれ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0%（歩511 / 騎510 / 弓509）</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コスト効率のぶれ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高509 / 中511 / 低511</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不利側にも勝ち目がある</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有利側が100%勝利</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総大将の後衛配置率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85%以下</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後衛配置が +17pt 有利（低コスト戦）</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（§4.2）</w:t>
            </w:r>
          </w:p>
        </w:tc>
      </w:tr>
      <w:tr>
        <w:trPr>
          <w:cantSplit/>
        </w:trPr>
        <w:tc>
          <w:tcPr>
            <w:tcW w:type="dxa" w:w="237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基準値の0.3〜2.5倍</w:t>
            </w:r>
          </w:p>
        </w:tc>
        <w:tc>
          <w:tcPr>
            <w:tcW w:type="dxa" w:w="34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24枚では測定不能。指標定義を改訂</w:t>
            </w:r>
          </w:p>
        </w:tc>
        <w:tc>
          <w:tcPr>
            <w:tcW w:type="dxa" w:w="1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要再測定（§4.6）</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0"/>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0"/>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0"/>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0"/>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0"/>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0"/>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三すくみは単純な大幅ダメージ補正だけで決めず、移動・射程・突破・足止めといった挙動でも表現する。数値補正は、配置や必殺技で不利相性を覆せる範囲に抑える。有利補正を +15% に留めているのはこのためである。</w:t>
      </w:r>
    </w:p>
    <w:p>
      <w:pPr>
        <w:pStyle w:val="Heading3"/>
        <w:keepNext/>
      </w:pPr>
      <w:r>
        <w:rPr>
          <w:rFonts w:ascii="Calibri" w:hAnsi="Calibri" w:eastAsia="Yu Gothic" w:cs="Calibri"/>
          <w:b/>
          <w:color w:val="2E74B5"/>
          <w:sz w:val="23"/>
        </w:rPr>
        <w:t>v0.3 の実測結果</w:t>
      </w:r>
    </w:p>
    <w:p>
      <w:pPr>
        <w:spacing w:before="0" w:after="120" w:line="300" w:lineRule="auto"/>
      </w:pPr>
      <w:r>
        <w:rPr>
          <w:rFonts w:ascii="Calibri" w:hAnsi="Calibri" w:eastAsia="Yu Gothic" w:cs="Calibri"/>
          <w:color w:val="1F2937"/>
          <w:sz w:val="22"/>
        </w:rPr>
        <w:t>合計コストを揃えた単一兵種編成同士で測定した。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40"/>
        <w:gridCol w:w="2080"/>
        <w:gridCol w:w="3640"/>
      </w:tblGrid>
      <w:tr>
        <w:trPr>
          <w:tblHeader w:val="true"/>
          <w:cantSplit/>
        </w:trPr>
        <w:tc>
          <w:tcPr>
            <w:tcW w:type="dxa" w:w="36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勝率</w:t>
            </w:r>
          </w:p>
        </w:tc>
        <w:tc>
          <w:tcPr>
            <w:tcW w:type="dxa" w:w="36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bl>
    <w:p>
      <w:pPr>
        <w:spacing w:after="120"/>
      </w:pPr>
    </w:p>
    <w:p>
      <w:pPr>
        <w:spacing w:before="0" w:after="120" w:line="300" w:lineRule="auto"/>
      </w:pPr>
      <w:r>
        <w:rPr>
          <w:rFonts w:ascii="Calibri" w:hAnsi="Calibri" w:eastAsia="Yu Gothic" w:cs="Calibri"/>
          <w:color w:val="1F2937"/>
          <w:sz w:val="22"/>
        </w:rPr>
        <w:t>三すくみの</w:t>
      </w:r>
      <w:r>
        <w:rPr>
          <w:rFonts w:ascii="Calibri" w:hAnsi="Calibri" w:eastAsia="Yu Gothic" w:cs="Calibri"/>
          <w:b/>
          <w:color w:val="1F2937"/>
          <w:sz w:val="22"/>
        </w:rPr>
        <w:t>向きは3方向とも成立した</w:t>
      </w:r>
      <w:r>
        <w:rPr>
          <w:rFonts w:ascii="Calibri" w:hAnsi="Calibri" w:eastAsia="Yu Gothic" w:cs="Calibri"/>
          <w:color w:val="1F2937"/>
          <w:sz w:val="22"/>
        </w:rPr>
        <w:t>が、効き幅が絶対的で、不利側が勝つ余地がない。これは</w:t>
      </w:r>
    </w:p>
    <w:p>
      <w:pPr>
        <w:spacing w:before="0" w:after="120" w:line="300" w:lineRule="auto"/>
      </w:pPr>
      <w:r>
        <w:rPr>
          <w:rFonts w:ascii="Calibri" w:hAnsi="Calibri" w:eastAsia="Yu Gothic" w:cs="Calibri"/>
          <w:color w:val="1F2937"/>
          <w:sz w:val="22"/>
        </w:rPr>
        <w:t>「配置や必殺技で不利相性を覆せる範囲に抑える」という本節の方針に反する。単一兵種編成は極端な</w:t>
      </w:r>
    </w:p>
    <w:p>
      <w:pPr>
        <w:spacing w:before="0" w:after="120" w:line="300" w:lineRule="auto"/>
      </w:pPr>
      <w:r>
        <w:rPr>
          <w:rFonts w:ascii="Calibri" w:hAnsi="Calibri" w:eastAsia="Yu Gothic" w:cs="Calibri"/>
          <w:color w:val="1F2937"/>
          <w:sz w:val="22"/>
        </w:rPr>
        <w:t>ケースであり、混成編成では希釈されるが、単一兵種が支配戦略になっていないかを §4.6 の採用率で</w:t>
      </w:r>
    </w:p>
    <w:p>
      <w:pPr>
        <w:spacing w:before="0" w:after="120" w:line="300" w:lineRule="auto"/>
      </w:pPr>
      <w:r>
        <w:rPr>
          <w:rFonts w:ascii="Calibri" w:hAnsi="Calibri" w:eastAsia="Yu Gothic" w:cs="Calibri"/>
          <w:color w:val="1F2937"/>
          <w:sz w:val="22"/>
        </w:rPr>
        <w:t>確認する必要がある。</w:t>
      </w:r>
    </w:p>
    <w:p>
      <w:pPr>
        <w:spacing w:before="0" w:after="120" w:line="300" w:lineRule="auto"/>
      </w:pPr>
      <w:r>
        <w:rPr>
          <w:rFonts w:ascii="Calibri" w:hAnsi="Calibri" w:eastAsia="Yu Gothic" w:cs="Calibri"/>
          <w:color w:val="1F2937"/>
          <w:sz w:val="22"/>
        </w:rPr>
        <w:t>なお、この向きが成立するまでには2つの前提が要った。</w:t>
      </w: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w:t>
      </w:r>
    </w:p>
    <w:p>
      <w:pPr>
        <w:spacing w:before="0" w:after="120" w:line="300" w:lineRule="auto"/>
      </w:pPr>
      <w:r>
        <w:rPr>
          <w:rFonts w:ascii="Calibri" w:hAnsi="Calibri" w:eastAsia="Yu Gothic" w:cs="Calibri"/>
          <w:color w:val="1F2937"/>
          <w:sz w:val="22"/>
        </w:rPr>
        <w:t>1.2/1.0/1.6秒では手数差が最大60%に達し、±15%の兵種補正を完全に打ち消していた）と、</w:t>
      </w:r>
    </w:p>
    <w:p>
      <w:pPr>
        <w:spacing w:before="0" w:after="120" w:line="300" w:lineRule="auto"/>
      </w:pPr>
      <w:r>
        <w:rPr>
          <w:rFonts w:ascii="Calibri" w:hAnsi="Calibri" w:eastAsia="Yu Gothic" w:cs="Calibri"/>
          <w:b/>
          <w:color w:val="1F2937"/>
          <w:sz w:val="22"/>
        </w:rPr>
        <w:t>兵種ごとのステータス予算を揃えること</w:t>
      </w:r>
      <w:r>
        <w:rPr>
          <w:rFonts w:ascii="Calibri" w:hAnsi="Calibri" w:eastAsia="Yu Gothic" w:cs="Calibri"/>
          <w:color w:val="1F2937"/>
          <w:sz w:val="22"/>
        </w:rPr>
        <w:t>（§4.6）である。この2つが崩れていると、兵種補正や射程を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120" w:line="300" w:lineRule="auto"/>
      </w:pPr>
      <w:r>
        <w:rPr>
          <w:rFonts w:ascii="Calibri" w:hAnsi="Calibri" w:eastAsia="Yu Gothic" w:cs="Calibri"/>
          <w:color w:val="1F2937"/>
          <w:sz w:val="22"/>
        </w:rPr>
        <w:t>未決: 有利補正の値。効き幅を弱める方向で再調整する（§13）。</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兵種間のステータス予算</w:t>
      </w:r>
    </w:p>
    <w:p>
      <w:pPr>
        <w:spacing w:before="0" w:after="120" w:line="300" w:lineRule="auto"/>
      </w:pPr>
      <w:r>
        <w:rPr>
          <w:rFonts w:ascii="Calibri" w:hAnsi="Calibri" w:eastAsia="Yu Gothic" w:cs="Calibri"/>
          <w:color w:val="1F2937"/>
          <w:sz w:val="22"/>
        </w:rPr>
        <w:t>同じコストであれば、兵種が違っても「実効耐久（兵力 × 防御による軽減）× 火力（攻撃力 ÷ 攻撃間隔）」の</w:t>
      </w:r>
    </w:p>
    <w:p>
      <w:pPr>
        <w:spacing w:before="0" w:after="120" w:line="300" w:lineRule="auto"/>
      </w:pPr>
      <w:r>
        <w:rPr>
          <w:rFonts w:ascii="Calibri" w:hAnsi="Calibri" w:eastAsia="Yu Gothic" w:cs="Calibri"/>
          <w:color w:val="1F2937"/>
          <w:sz w:val="22"/>
        </w:rPr>
        <w:t>総合値は揃っていなければならない。v0.3 の初期データではこれが 歩兵556 / 騎兵701 / 弓兵304 と</w:t>
      </w:r>
    </w:p>
    <w:p>
      <w:pPr>
        <w:spacing w:before="0" w:after="120" w:line="300" w:lineRule="auto"/>
      </w:pPr>
      <w:r>
        <w:rPr>
          <w:rFonts w:ascii="Calibri" w:hAnsi="Calibri" w:eastAsia="Yu Gothic" w:cs="Calibri"/>
          <w:color w:val="1F2937"/>
          <w:sz w:val="22"/>
        </w:rPr>
        <w:t>大きく割れており、兵種補正や射程をいくら調整しても弓兵の勝率が0%から動かなかった。</w:t>
      </w:r>
    </w:p>
    <w:p>
      <w:pPr>
        <w:spacing w:before="0" w:after="80" w:line="300" w:lineRule="auto"/>
        <w:numPr>
          <w:ilvl w:val="0"/>
          <w:numId w:val="41"/>
        </w:numPr>
      </w:pPr>
      <w:r>
        <w:rPr>
          <w:rFonts w:ascii="Calibri" w:hAnsi="Calibri" w:eastAsia="Yu Gothic" w:cs="Calibri"/>
          <w:color w:val="1F2937"/>
          <w:sz w:val="22"/>
        </w:rPr>
        <w:t xml:space="preserve">総合値/コストのぶれは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1"/>
        </w:numPr>
      </w:pPr>
      <w:r>
        <w:rPr>
          <w:rFonts w:ascii="Calibri" w:hAnsi="Calibri" w:eastAsia="Yu Gothic" w:cs="Calibri"/>
          <w:color w:val="1F2937"/>
          <w:sz w:val="22"/>
        </w:rPr>
        <w:t>ゲージ到達が早いティックの武将から発動。</w:t>
      </w:r>
    </w:p>
    <w:p>
      <w:pPr>
        <w:spacing w:before="0" w:after="80" w:line="300" w:lineRule="auto"/>
        <w:numPr>
          <w:ilvl w:val="0"/>
          <w:numId w:val="101"/>
        </w:numPr>
      </w:pPr>
      <w:r>
        <w:rPr>
          <w:rFonts w:ascii="Calibri" w:hAnsi="Calibri" w:eastAsia="Yu Gothic" w:cs="Calibri"/>
          <w:color w:val="1F2937"/>
          <w:sz w:val="22"/>
        </w:rPr>
        <w:t>同一ティックなら、移動速度の高い順。</w:t>
      </w:r>
    </w:p>
    <w:p>
      <w:pPr>
        <w:spacing w:before="0" w:after="80" w:line="300" w:lineRule="auto"/>
        <w:numPr>
          <w:ilvl w:val="0"/>
          <w:numId w:val="101"/>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1"/>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2"/>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2"/>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2"/>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2"/>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2"/>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2"/>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2"/>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2"/>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2"/>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2"/>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2"/>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2"/>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13"/>
        <w:gridCol w:w="1627"/>
        <w:gridCol w:w="6920"/>
      </w:tblGrid>
      <w:tr>
        <w:trPr>
          <w:tblHeader w:val="true"/>
          <w:cantSplit/>
        </w:trPr>
        <w:tc>
          <w:tcPr>
            <w:tcW w:type="dxa" w:w="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9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武将個別データ</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60人・80枚分の能力値。コスト値ごとの配置枚数（分布）。</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80枚分の効果・対象・数値。§6.5 の共通ルールに従う。</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補正値。後衛配置に偏った場合（§4.6 の配置分布指標）の調整方法。撤退時の扱いは即敗北で確定済み。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固有特性、勢力・関係性シナジー、低コスト武将の役割設計。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v0.4 では、§4.2 の総大将配置の偏り（後衛が +35pt 有利）を解消する案を決めて再測定する。あわせて兵種相性の効き幅を調整する。コスト揃えの単一兵種編成では有利side が100%勝利しており、§5.3 の「配置や必殺技で不利相性を覆せる範囲に抑える」を満たしていない。その後、武将を24枚から60人規模へ拡張する。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