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529"/>
        <w:gridCol w:w="507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52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07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陣形に固有の効果を持たせて</w:t>
            </w:r>
            <w:r>
              <w:rPr>
                <w:rFonts w:ascii="Calibri" w:hAnsi="Calibri" w:eastAsia="Yu Gothic" w:cs="Calibri"/>
                <w:b/>
                <w:color w:val="1F2937"/>
                <w:sz w:val="18"/>
              </w:rPr>
              <w:t>循環は作れた</w:t>
            </w:r>
            <w:r>
              <w:rPr>
                <w:rFonts w:ascii="Calibri" w:hAnsi="Calibri" w:eastAsia="Yu Gothic" w:cs="Calibri"/>
                <w:color w:val="1F2937"/>
                <w:sz w:val="18"/>
              </w:rPr>
              <w:t>（鶴翼 &gt; 魚鱗 &gt; 雁行 &gt; 鶴翼）。だが相性は依然 0%/100% で、方円の効果を「後衛の被ダメージ −25%」から「前衛の被ダメージ −12%」へ差し替えても</w:t>
            </w:r>
            <w:r>
              <w:rPr>
                <w:rFonts w:ascii="Calibri" w:hAnsi="Calibri" w:eastAsia="Yu Gothic" w:cs="Calibri"/>
                <w:b/>
                <w:color w:val="1F2937"/>
                <w:sz w:val="18"/>
              </w:rPr>
              <w:t>総当たりの数字が1桁も動かなかった</w:t>
            </w:r>
            <w:r>
              <w:rPr>
                <w:rFonts w:ascii="Calibri" w:hAnsi="Calibri" w:eastAsia="Yu Gothic" w:cs="Calibri"/>
                <w:color w:val="1F2937"/>
                <w:sz w:val="18"/>
              </w:rPr>
              <w:t>。極端さを作っているのは効果ではなく</w:t>
            </w:r>
            <w:r>
              <w:rPr>
                <w:rFonts w:ascii="Calibri" w:hAnsi="Calibri" w:eastAsia="Yu Gothic" w:cs="Calibri"/>
                <w:b/>
                <w:color w:val="1F2937"/>
                <w:sz w:val="18"/>
              </w:rPr>
              <w:t>レーン構造そのもの</w:t>
            </w:r>
            <w:r>
              <w:rPr>
                <w:rFonts w:ascii="Calibri" w:hAnsi="Calibri" w:eastAsia="Yu Gothic" w:cs="Calibri"/>
                <w:color w:val="1F2937"/>
                <w:sz w:val="18"/>
              </w:rPr>
              <w:t>（どのレーンに何人いるか）で、効果は平均の強さを上下させるだけである。詰めるならレーン数・レーンあたりの人数上限・空きレーンの扱いなど、盤面の側を変える必要がある。</w:t>
            </w:r>
            <w:r>
              <w:rPr>
                <w:rFonts w:ascii="Calibri" w:hAnsi="Calibri" w:eastAsia="Yu Gothic" w:cs="Calibri"/>
                <w:b/>
                <w:color w:val="1F2937"/>
                <w:sz w:val="18"/>
              </w:rPr>
              <w:t>次に着手すべきはここ。</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52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07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