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0"/>
        <w:gridCol w:w="6120"/>
        <w:gridCol w:w="1620"/>
      </w:tblGrid>
      <w:tr>
        <w:trPr>
          <w:tblHeader w:val="true"/>
          <w:cantSplit/>
        </w:trPr>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6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063"/>
        <w:gridCol w:w="4254"/>
        <w:gridCol w:w="523"/>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06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523"/>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06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523"/>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必殺技の効果量がコストに連動していない［v0.5 で判明・未解決］</w:t>
      </w:r>
    </w:p>
    <w:p>
      <w:pPr>
        <w:spacing w:before="0" w:after="120" w:line="300" w:lineRule="auto"/>
      </w:pPr>
      <w:r>
        <w:rPr>
          <w:rFonts w:ascii="Calibri" w:hAnsi="Calibri" w:eastAsia="Yu Gothic" w:cs="Calibri"/>
          <w:b/>
          <w:color w:val="1F2937"/>
          <w:sz w:val="22"/>
        </w:rPr>
        <w:t>能力値はコスト式（§4.6）で決まるが、必殺技の効果量はコストと無関係である。</w:t>
      </w:r>
      <w:r>
        <w:rPr>
          <w:rFonts w:ascii="Calibri" w:hAnsi="Calibri" w:eastAsia="Yu Gothic" w:cs="Calibri"/>
          <w:color w:val="1F2937"/>
          <w:sz w:val="22"/>
        </w:rPr>
        <w:t xml:space="preserve"> 12種のひな型を</w:t>
      </w:r>
    </w:p>
    <w:p>
      <w:pPr>
        <w:spacing w:before="0" w:after="120" w:line="300" w:lineRule="auto"/>
      </w:pPr>
      <w:r>
        <w:rPr>
          <w:rFonts w:ascii="Calibri" w:hAnsi="Calibri" w:eastAsia="Yu Gothic" w:cs="Calibri"/>
          <w:color w:val="1F2937"/>
          <w:sz w:val="22"/>
        </w:rPr>
        <w:t>調べた結果、半数は発動者のコストにまったく連動しない。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つまり</w:t>
      </w:r>
      <w:r>
        <w:rPr>
          <w:rFonts w:ascii="Calibri" w:hAnsi="Calibri" w:eastAsia="Yu Gothic" w:cs="Calibri"/>
          <w:b/>
          <w:color w:val="1F2937"/>
          <w:sz w:val="22"/>
        </w:rPr>
        <w:t>コスト1の武将の足止め30ティックは、コスト10の武将の足止め30ティックと完全に同じ</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安価な武将にユーティリティ系の必殺技を持たせると構造的に得をする。</w:t>
      </w:r>
    </w:p>
    <w:p>
      <w:pPr>
        <w:spacing w:before="0" w:after="120" w:line="300" w:lineRule="auto"/>
      </w:pPr>
      <w:r>
        <w:rPr>
          <w:rFonts w:ascii="Calibri" w:hAnsi="Calibri" w:eastAsia="Yu Gothic" w:cs="Calibri"/>
          <w:color w:val="1F2937"/>
          <w:sz w:val="22"/>
        </w:rPr>
        <w:t>これは §4.6 の「補正はすべて率で定義する」とは別の欠落である。率で定義されてはいるが、</w:t>
      </w:r>
    </w:p>
    <w:p>
      <w:pPr>
        <w:spacing w:before="0" w:after="120" w:line="300" w:lineRule="auto"/>
      </w:pP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対応案（v0.6 で決める）: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420"/>
        <w:gridCol w:w="41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4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1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44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必殺技の価値を総合値の予算（§4.6）に含める。強い必殺技を持つ武将は素の能力値を下げる</w:t>
            </w:r>
          </w:p>
        </w:tc>
        <w:tc>
          <w:tcPr>
            <w:tcW w:type="dxa" w:w="41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カードゲームの標準的な手法。既存の予算枠組みをそのまま拡張できる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4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行動阻害・能力補正の効果量をコストに連動させる</w:t>
            </w:r>
          </w:p>
        </w:tc>
        <w:tc>
          <w:tcPr>
            <w:tcW w:type="dxa" w:w="41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「コスト1の足止めは短い」という表現になり、題材としては自然。ただし低コスト武将の役割（足止め役）が成立しにくくなる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4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両方。予算に含めたうえで、効果量にも下限と上限を設ける</w:t>
            </w:r>
          </w:p>
        </w:tc>
        <w:tc>
          <w:tcPr>
            <w:tcW w:type="dxa" w:w="41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実装が重い</w:t>
            </w:r>
          </w:p>
        </w:tc>
      </w:tr>
    </w:tbl>
    <w:p>
      <w:pPr>
        <w:spacing w:after="120"/>
      </w:pPr>
    </w:p>
    <w:p>
      <w:pPr>
        <w:spacing w:before="0" w:after="120" w:line="300" w:lineRule="auto"/>
      </w:pPr>
      <w:r>
        <w:rPr>
          <w:rFonts w:ascii="Calibri" w:hAnsi="Calibri" w:eastAsia="Yu Gothic" w:cs="Calibri"/>
          <w:color w:val="1F2937"/>
          <w:sz w:val="22"/>
        </w:rPr>
        <w:t>案Aを推奨する。§1.1 の「低コスト武将にも明確な採用理由を持たせる」を守りつつ、</w:t>
      </w:r>
    </w:p>
    <w:p>
      <w:pPr>
        <w:spacing w:before="0" w:after="120" w:line="300" w:lineRule="auto"/>
      </w:pPr>
      <w:r>
        <w:rPr>
          <w:rFonts w:ascii="Calibri" w:hAnsi="Calibri" w:eastAsia="Yu Gothic" w:cs="Calibri"/>
          <w:color w:val="1F2937"/>
          <w:sz w:val="22"/>
        </w:rPr>
        <w:t>コストで釣り合わせられる。</w:t>
      </w:r>
    </w:p>
    <w:p>
      <w:pPr>
        <w:spacing w:before="0" w:after="120" w:line="300" w:lineRule="auto"/>
      </w:pPr>
      <w:r>
        <w:rPr>
          <w:rFonts w:ascii="Calibri" w:hAnsi="Calibri" w:eastAsia="Yu Gothic" w:cs="Calibri"/>
          <w:color w:val="1F2937"/>
          <w:sz w:val="22"/>
        </w:rPr>
        <w:t>未決: 上記のどれを採るか。必殺技の価値をどう数値化して予算に入れるか。</w:t>
      </w:r>
    </w:p>
    <w:p>
      <w:pPr>
        <w:spacing w:before="0" w:after="120" w:line="300" w:lineRule="auto"/>
      </w:pPr>
      <w:r>
        <w:rPr>
          <w:rFonts w:ascii="Calibri" w:hAnsi="Calibri" w:eastAsia="Yu Gothic" w:cs="Calibri"/>
          <w:color w:val="1F2937"/>
          <w:sz w:val="22"/>
        </w:rPr>
        <w:t>必殺技のシナジーをどの程度まで強くするか。60人ぶんの必殺技の個別設計（§13）。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246"/>
        <w:gridCol w:w="635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24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3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K、兵種補正値、ゲージ獲得係数。消耗係数の下限は0.6で確定済み。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弓兵→歩兵が99%（§5.3）。射程の効き方が相性ごとに非対称なため、兵種係数では直せない。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v0.6 では、(1) 戦闘モデルが小さな差を増幅する問題（§4.6）に方針を出す、(2) 役割が兵種相性を上書きする問題（§5.3）を (1) の解消後に測り直す、(3) 有利補正 +4% と歩兵の対弓兵防御 2% を測り直す、(4) 60人ぶんの必殺技をひな型から個別設計へ起こす、の4点を扱う。</w:t>
            </w:r>
            <w:r>
              <w:rPr>
                <w:rFonts w:ascii="Calibri" w:hAnsi="Calibri" w:eastAsia="Yu Gothic" w:cs="Calibri"/>
                <w:b/>
                <w:color w:val="1F2937"/>
                <w:sz w:val="21"/>
              </w:rPr>
              <w:t>(1) を先に決めないと (2)(3) の値は他の変更のたびに崩れる。</w:t>
            </w:r>
            <w:r>
              <w:rPr>
                <w:rFonts w:ascii="Calibri" w:hAnsi="Calibri" w:eastAsia="Yu Gothic" w:cs="Calibri"/>
                <w:color w:val="1F2937"/>
                <w:sz w:val="21"/>
              </w:rPr>
              <w:t xml:space="preserve"> 実際 v0.5 では、予算式に回避補正を入れただけで歩兵→騎兵の勝率が 6% から 89% へ動いた。</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