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1872"/>
        <w:gridCol w:w="5991"/>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59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中央を厚くして押し込む</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96"/>
        <w:gridCol w:w="1903"/>
        <w:gridCol w:w="3014"/>
        <w:gridCol w:w="1747"/>
      </w:tblGrid>
      <w:tr>
        <w:trPr>
          <w:tblHeader w:val="true"/>
          <w:cantSplit/>
        </w:trPr>
        <w:tc>
          <w:tcPr>
            <w:tcW w:type="dxa" w:w="26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9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01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7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三すくみの効き幅（均衡役）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 / 75% / 73%</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2つが帯内</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効果量、特性の種類を今後どこまで増やすか、勢力・関係性シナジー（§13）を</w:t>
      </w:r>
    </w:p>
    <w:p>
      <w:pPr>
        <w:spacing w:before="0" w:after="120" w:line="300" w:lineRule="auto"/>
      </w:pPr>
      <w:r>
        <w:rPr>
          <w:rFonts w:ascii="Calibri" w:hAnsi="Calibri" w:eastAsia="Yu Gothic" w:cs="Calibri"/>
          <w:color w:val="1F2937"/>
          <w:sz w:val="22"/>
        </w:rPr>
        <w:t>固有特性として実装するか。</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385"/>
        <w:gridCol w:w="621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23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2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で枠組みは定義済み）、勢力・関係性シナジー、低コスト武将の役割設計。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。残る (3) 戦闘モデルが小さな差を増幅する問題（§4.6 案A〜D）と (4) 役割が兵種相性を上書きする問題（§5.3）が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実カード60枚での採用率（§4.6）。120編成を組み、固定の対戦相手12編成への成績で</w:t>
      </w:r>
    </w:p>
    <w:p>
      <w:pPr>
        <w:spacing w:before="0" w:after="120" w:line="300" w:lineRule="auto"/>
      </w:pPr>
      <w:r>
        <w:rPr>
          <w:rFonts w:ascii="Calibri" w:hAnsi="Calibri" w:eastAsia="Yu Gothic" w:cs="Calibri"/>
          <w:color w:val="1F2937"/>
          <w:sz w:val="22"/>
        </w:rPr>
        <w:t>上位30編成を選び、その採用率を見る。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62"/>
        <w:gridCol w:w="2925"/>
        <w:gridCol w:w="2632"/>
        <w:gridCol w:w="2341"/>
      </w:tblGrid>
      <w:tr>
        <w:trPr>
          <w:tblHeader w:val="true"/>
          <w:cantSplit/>
        </w:trPr>
        <w:tc>
          <w:tcPr>
            <w:tcW w:type="dxa" w:w="1462"/>
            <w:shd w:fill="E8EEF5" w:val="clear"/>
            <w:vAlign w:val="center"/>
            <w:tcMar>
              <w:top w:w="80" w:type="dxa"/>
              <w:start w:w="120" w:type="dxa"/>
              <w:bottom w:w="80" w:type="dxa"/>
              <w:end w:w="120" w:type="dxa"/>
            </w:tcMar>
          </w:tcPr>
          <w:p>
            <w:pPr>
              <w:spacing w:before="0" w:after="0" w:line="276" w:lineRule="auto"/>
              <w:jc w:val="left"/>
            </w:pPr>
          </w:p>
        </w:tc>
        <w:tc>
          <w:tcPr>
            <w:tcW w:type="dxa" w:w="292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26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bl>
    <w:p>
      <w:pPr>
        <w:spacing w:after="120"/>
      </w:pPr>
    </w:p>
    <w:p>
      <w:pPr>
        <w:spacing w:before="0" w:after="120" w:line="300" w:lineRule="auto"/>
      </w:pPr>
      <w:r>
        <w:rPr>
          <w:rFonts w:ascii="Calibri" w:hAnsi="Calibri" w:eastAsia="Yu Gothic" w:cs="Calibri"/>
          <w:b/>
          <w:color w:val="1F2937"/>
          <w:sz w:val="22"/>
        </w:rPr>
        <w:t>中コスト戦は目標を満たしている。</w:t>
      </w:r>
      <w:r>
        <w:rPr>
          <w:rFonts w:ascii="Calibri" w:hAnsi="Calibri" w:eastAsia="Yu Gothic" w:cs="Calibri"/>
          <w:color w:val="1F2937"/>
          <w:sz w:val="22"/>
        </w:rPr>
        <w:t xml:space="preserve"> 下限割れ2枚は偶然の期待値3枚を下回る。</w:t>
      </w:r>
    </w:p>
    <w:p>
      <w:pPr>
        <w:spacing w:before="0" w:after="120" w:line="300" w:lineRule="auto"/>
      </w:pPr>
      <w:r>
        <w:rPr>
          <w:rFonts w:ascii="Calibri" w:hAnsi="Calibri" w:eastAsia="Yu Gothic" w:cs="Calibri"/>
          <w:color w:val="1F2937"/>
          <w:sz w:val="22"/>
        </w:rPr>
        <w:t>高コスト戦は諸葛亮56%・周瑜40%・龐統33%といずれも弓兵の高コスト札が上限超過。</w:t>
      </w:r>
    </w:p>
    <w:p>
      <w:pPr>
        <w:spacing w:before="0" w:after="120" w:line="300" w:lineRule="auto"/>
      </w:pPr>
      <w:r>
        <w:rPr>
          <w:rFonts w:ascii="Calibri" w:hAnsi="Calibri" w:eastAsia="Yu Gothic" w:cs="Calibri"/>
          <w:color w:val="1F2937"/>
          <w:sz w:val="22"/>
        </w:rPr>
        <w:t>低コスト戦はコスト1の4枚が50〜56%を占める。ただしこれは強さというより、</w:t>
      </w:r>
    </w:p>
    <w:p>
      <w:pPr>
        <w:spacing w:before="0" w:after="120" w:line="300" w:lineRule="auto"/>
      </w:pPr>
      <w:r>
        <w:rPr>
          <w:rFonts w:ascii="Calibri" w:hAnsi="Calibri" w:eastAsia="Yu Gothic" w:cs="Calibri"/>
          <w:b/>
          <w:color w:val="1F2937"/>
          <w:sz w:val="22"/>
        </w:rPr>
        <w:t>上限18を6枠で埋めるには安い札が要るのに、コスト1が4枚しかない</w:t>
      </w:r>
      <w:r>
        <w:rPr>
          <w:rFonts w:ascii="Calibri" w:hAnsi="Calibri" w:eastAsia="Yu Gothic" w:cs="Calibri"/>
          <w:color w:val="1F2937"/>
          <w:sz w:val="22"/>
        </w:rPr>
        <w:t>ためで、</w:t>
      </w:r>
    </w:p>
    <w:p>
      <w:pPr>
        <w:spacing w:before="0" w:after="120" w:line="300" w:lineRule="auto"/>
      </w:pPr>
      <w:r>
        <w:rPr>
          <w:rFonts w:ascii="Calibri" w:hAnsi="Calibri" w:eastAsia="Yu Gothic" w:cs="Calibri"/>
          <w:color w:val="1F2937"/>
          <w:sz w:val="22"/>
        </w:rPr>
        <w:t>§4.4 の配置枚数の問題である。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7"/>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8"/>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09"/>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color w:val="1F2937"/>
          <w:sz w:val="22"/>
        </w:rPr>
        <w:t>同じ形の誤りが v0.5 で4件あった（他に単一役割での三すくみ測定、全員同技での</w:t>
      </w:r>
    </w:p>
    <w:p>
      <w:pPr>
        <w:spacing w:before="0" w:after="120" w:line="300" w:lineRule="auto"/>
      </w:pPr>
      <w:r>
        <w:rPr>
          <w:rFonts w:ascii="Calibri" w:hAnsi="Calibri" w:eastAsia="Yu Gothic" w:cs="Calibri"/>
          <w:color w:val="1F2937"/>
          <w:sz w:val="22"/>
        </w:rPr>
        <w:t>必殺技測定）。</w:t>
      </w:r>
    </w:p>
    <w:p>
      <w:pPr>
        <w:spacing w:before="0" w:after="120" w:line="300" w:lineRule="auto"/>
      </w:pPr>
      <w:r>
        <w:rPr>
          <w:rFonts w:ascii="Calibri" w:hAnsi="Calibri" w:eastAsia="Yu Gothic" w:cs="Calibri"/>
          <w:b/>
          <w:color w:val="1F2937"/>
          <w:sz w:val="22"/>
        </w:rPr>
        <w:t>新しい指標を作ったら、まず偶然による期待値を計算すること。</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0"/>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幅64pt（9%〜73%）。主因は陣形ではなく構成で、騎馬が平均66〜76%、盾弓が8〜48%。天敵はあるが有利不利が大きい。</w:t>
      </w:r>
    </w:p>
    <w:p>
      <w:pPr>
        <w:spacing w:before="0" w:after="80" w:line="300" w:lineRule="auto"/>
        <w:numPr>
          <w:ilvl w:val="0"/>
          <w:numId w:val="110"/>
        </w:numPr>
      </w:pPr>
      <w:r>
        <w:rPr>
          <w:rFonts w:ascii="Calibri" w:hAnsi="Calibri" w:eastAsia="Yu Gothic" w:cs="Calibri"/>
          <w:b/>
          <w:color w:val="1F2937"/>
          <w:sz w:val="22"/>
        </w:rPr>
        <w:t>兵種三すくみは3方向とも目標帯（55〜80%）に入った。</w:t>
      </w:r>
      <w:r>
        <w:rPr>
          <w:rFonts w:ascii="Calibri" w:hAnsi="Calibri" w:eastAsia="Yu Gothic" w:cs="Calibri"/>
          <w:color w:val="1F2937"/>
          <w:sz w:val="22"/>
        </w:rPr>
        <w:t xml:space="preserve"> 歩兵→騎兵 64% / 騎兵→弓兵 59% / 弓兵→歩兵 72%。v0.4 以来はじめて3方向が揃った。</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1"/>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