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1872"/>
        <w:gridCol w:w="5991"/>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59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中央を厚くして押し込む</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59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96"/>
        <w:gridCol w:w="1903"/>
        <w:gridCol w:w="3014"/>
        <w:gridCol w:w="1747"/>
      </w:tblGrid>
      <w:tr>
        <w:trPr>
          <w:tblHeader w:val="true"/>
          <w:cantSplit/>
        </w:trPr>
        <w:tc>
          <w:tcPr>
            <w:tcW w:type="dxa" w:w="26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19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301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7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三すくみの効き幅（均衡役）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 / 75% / 73%</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2つが帯内</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6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19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301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7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v0.6 で検討する緩和策:</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部隊戦を短くする。上限90秒を60秒程度に縮めれば複利の効きが弱まる。ただし必殺技の発動回数（§7.1）を再設計する必要がある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ダメージに逓減を入れる。相手より優勢なほど与ダメージ倍率を下げる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勝敗を消耗だけで決めない。残存兵力率だけでなく、レーン制圧など別の指標を加える</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案D</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現状を受け入れ、予算検算を必須の運用手順にする</w:t>
            </w:r>
          </w:p>
        </w:tc>
      </w:tr>
    </w:tbl>
    <w:p>
      <w:pPr>
        <w:spacing w:after="120"/>
      </w:pP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効果量、特性の種類を今後どこまで増やすか、勢力・関係性シナジー（§13）を</w:t>
      </w:r>
    </w:p>
    <w:p>
      <w:pPr>
        <w:spacing w:before="0" w:after="120" w:line="300" w:lineRule="auto"/>
      </w:pPr>
      <w:r>
        <w:rPr>
          <w:rFonts w:ascii="Calibri" w:hAnsi="Calibri" w:eastAsia="Yu Gothic" w:cs="Calibri"/>
          <w:color w:val="1F2937"/>
          <w:sz w:val="22"/>
        </w:rPr>
        <w:t>固有特性として実装するか。</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08"/>
        <w:gridCol w:w="4896"/>
        <w:gridCol w:w="3456"/>
      </w:tblGrid>
      <w:tr>
        <w:trPr>
          <w:tblHeader w:val="true"/>
          <w:cantSplit/>
        </w:trPr>
        <w:tc>
          <w:tcPr>
            <w:tcW w:type="dxa" w:w="1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8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34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8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34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520"/>
        <w:gridCol w:w="608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6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能力値10%の差が勝率50ptの差になる（§4.6）。案A〜Dのどれを採るか。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で枠組みは定義済み）、勢力・関係性シナジー、低コスト武将の役割設計。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6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。残る (3) 戦闘モデルが小さな差を増幅する問題（§4.6 案A〜D）と (4) 役割が兵種相性を上書きする問題（§5.3）が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color w:val="1F2937"/>
          <w:sz w:val="22"/>
        </w:rPr>
        <w:t>同じ形の誤りが v0.5 で4件あった（他に単一役割での三すくみ測定、全員同技での</w:t>
      </w:r>
    </w:p>
    <w:p>
      <w:pPr>
        <w:spacing w:before="0" w:after="120" w:line="300" w:lineRule="auto"/>
      </w:pPr>
      <w:r>
        <w:rPr>
          <w:rFonts w:ascii="Calibri" w:hAnsi="Calibri" w:eastAsia="Yu Gothic" w:cs="Calibri"/>
          <w:color w:val="1F2937"/>
          <w:sz w:val="22"/>
        </w:rPr>
        <w:t>必殺技測定）。</w:t>
      </w:r>
    </w:p>
    <w:p>
      <w:pPr>
        <w:spacing w:before="0" w:after="120" w:line="300" w:lineRule="auto"/>
      </w:pPr>
      <w:r>
        <w:rPr>
          <w:rFonts w:ascii="Calibri" w:hAnsi="Calibri" w:eastAsia="Yu Gothic" w:cs="Calibri"/>
          <w:b/>
          <w:color w:val="1F2937"/>
          <w:sz w:val="22"/>
        </w:rPr>
        <w:t>新しい指標を作ったら、まず偶然による期待値を計算すること。</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幅64pt（9%〜73%）。主因は陣形ではなく構成で、騎馬が平均66〜76%、盾弓が8〜48%。天敵はあるが有利不利が大きい。</w:t>
      </w:r>
    </w:p>
    <w:p>
      <w:pPr>
        <w:spacing w:before="0" w:after="80" w:line="300" w:lineRule="auto"/>
        <w:numPr>
          <w:ilvl w:val="0"/>
          <w:numId w:val="110"/>
        </w:numPr>
      </w:pPr>
      <w:r>
        <w:rPr>
          <w:rFonts w:ascii="Calibri" w:hAnsi="Calibri" w:eastAsia="Yu Gothic" w:cs="Calibri"/>
          <w:b/>
          <w:color w:val="1F2937"/>
          <w:sz w:val="22"/>
        </w:rPr>
        <w:t>兵種三すくみは3方向とも目標帯（55〜80%）に入った。</w:t>
      </w:r>
      <w:r>
        <w:rPr>
          <w:rFonts w:ascii="Calibri" w:hAnsi="Calibri" w:eastAsia="Yu Gothic" w:cs="Calibri"/>
          <w:color w:val="1F2937"/>
          <w:sz w:val="22"/>
        </w:rPr>
        <w:t xml:space="preserve"> 歩兵→騎兵 64% / 騎兵→弓兵 59% / 弓兵→歩兵 72%。v0.4 以来はじめて3方向が揃った。</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