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0"/>
        <w:gridCol w:w="6120"/>
        <w:gridCol w:w="1620"/>
      </w:tblGrid>
      <w:tr>
        <w:trPr>
          <w:tblHeader w:val="true"/>
          <w:cantSplit/>
        </w:trPr>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6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兵力の減少に応じて攻撃力を緩やかに逓減させる。下限は0.6。</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872"/>
        <w:gridCol w:w="3120"/>
        <w:gridCol w:w="2028"/>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20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20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65.6秒</w:t>
            </w:r>
          </w:p>
        </w:tc>
        <w:tc>
          <w:tcPr>
            <w:tcW w:type="dxa" w:w="20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0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c>
          <w:tcPr>
            <w:tcW w:type="dxa" w:w="20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20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40-49%（v0.4 は0-100%）</w:t>
            </w:r>
          </w:p>
        </w:tc>
        <w:tc>
          <w:tcPr>
            <w:tcW w:type="dxa" w:w="20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概ね可（約10ptの偏り）</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0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99%</w:t>
            </w:r>
          </w:p>
        </w:tc>
        <w:tc>
          <w:tcPr>
            <w:tcW w:type="dxa" w:w="20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1つが帯内、2つが帯外</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20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3063"/>
        <w:gridCol w:w="2552"/>
        <w:gridCol w:w="2554"/>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6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5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6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5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向きは正。ほぼ互角まで下がった</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6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5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目標帯に収まった</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6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25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向きは正だが依然として強すぎる</w:t>
            </w:r>
          </w:p>
        </w:tc>
      </w:tr>
    </w:tbl>
    <w:p>
      <w:pPr>
        <w:spacing w:after="120"/>
      </w:pP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未解決: 弓兵→歩兵が強すぎる</w:t>
      </w:r>
    </w:p>
    <w:p>
      <w:pPr>
        <w:spacing w:before="0" w:after="120" w:line="300" w:lineRule="auto"/>
      </w:pPr>
      <w:r>
        <w:rPr>
          <w:rFonts w:ascii="Calibri" w:hAnsi="Calibri" w:eastAsia="Yu Gothic" w:cs="Calibri"/>
          <w:color w:val="1F2937"/>
          <w:sz w:val="22"/>
        </w:rPr>
        <w:t>弓兵→歩兵の99%は、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なため兵種係数（§4.6）では直せない。弓兵の射程による</w:t>
      </w:r>
    </w:p>
    <w:p>
      <w:pPr>
        <w:spacing w:before="0" w:after="120" w:line="300" w:lineRule="auto"/>
      </w:pPr>
      <w:r>
        <w:rPr>
          <w:rFonts w:ascii="Calibri" w:hAnsi="Calibri" w:eastAsia="Yu Gothic" w:cs="Calibri"/>
          <w:color w:val="1F2937"/>
          <w:sz w:val="22"/>
        </w:rPr>
        <w:t>無償攻撃は、遅い歩兵（速度8）に対しては約4.4秒ぶん、速い騎兵（速度12）に対しては約2.7秒ぶんと</w:t>
      </w:r>
    </w:p>
    <w:p>
      <w:pPr>
        <w:spacing w:before="0" w:after="120" w:line="300" w:lineRule="auto"/>
      </w:pPr>
      <w:r>
        <w:rPr>
          <w:rFonts w:ascii="Calibri" w:hAnsi="Calibri" w:eastAsia="Yu Gothic" w:cs="Calibri"/>
          <w:color w:val="1F2937"/>
          <w:sz w:val="22"/>
        </w:rPr>
        <w:t>2倍近い差がある。単一の係数はこの差を吸収できない。</w:t>
      </w:r>
    </w:p>
    <w:p>
      <w:pPr>
        <w:spacing w:before="0" w:after="120" w:line="300" w:lineRule="auto"/>
      </w:pPr>
      <w:r>
        <w:rPr>
          <w:rFonts w:ascii="Calibri" w:hAnsi="Calibri" w:eastAsia="Yu Gothic" w:cs="Calibri"/>
          <w:color w:val="1F2937"/>
          <w:sz w:val="22"/>
        </w:rPr>
        <w:t>v0.6 の調整候補: 接敵前の攻撃回数に上限を設ける、射程を相手の移動速度で正規化する、</w:t>
      </w:r>
    </w:p>
    <w:p>
      <w:pPr>
        <w:spacing w:before="0" w:after="120" w:line="300" w:lineRule="auto"/>
      </w:pPr>
      <w:r>
        <w:rPr>
          <w:rFonts w:ascii="Calibri" w:hAnsi="Calibri" w:eastAsia="Yu Gothic" w:cs="Calibri"/>
          <w:color w:val="1F2937"/>
          <w:sz w:val="22"/>
        </w:rPr>
        <w:t>歩兵に遠距離攻撃への軽減を持たせる。</w:t>
      </w:r>
    </w:p>
    <w:p>
      <w:pPr>
        <w:spacing w:before="0" w:after="120" w:line="300" w:lineRule="auto"/>
      </w:pPr>
      <w:r>
        <w:rPr>
          <w:rFonts w:ascii="Calibri" w:hAnsi="Calibri" w:eastAsia="Yu Gothic" w:cs="Calibri"/>
          <w:color w:val="1F2937"/>
          <w:sz w:val="22"/>
        </w:rPr>
        <w:t>未決: 有利補正 +4% の再確認（予算式の修正後に測り直していない）。</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緩やかな逓減（下限0.6）</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案Cを確定採用し、下限を0.6とする。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残兵力100%で1.0、0%直前で0.6。消耗した部隊は弱くなるが、最低60%の火力は維持するため、支援や必殺技による逆転余地が残る。</w:t>
      </w:r>
    </w:p>
    <w:p>
      <w:pPr>
        <w:spacing w:before="0" w:after="120" w:line="300" w:lineRule="auto"/>
      </w:pPr>
      <w:r>
        <w:rPr>
          <w:rFonts w:ascii="Calibri" w:hAnsi="Calibri" w:eastAsia="Yu Gothic" w:cs="Calibri"/>
          <w:color w:val="1F2937"/>
          <w:sz w:val="22"/>
        </w:rPr>
        <w:t>下限0.6の意味を数値で確認する。互角の2部隊が撃ち合い、一方が残兵力50%まで削られた場合、その部隊の火力は0.8倍（＝0.6 + 0.4 × 0.5）になる。不利側は2割減であって半減ではないため、必殺技1発や兵種有利で押し返せる範囲に収まる。案B（完全逓減）であれば同じ状況で0.5倍となり、この時点でほぼ決着していた。</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必殺技とは別に、武将カードが常時持つ受動効果を「固有特性」と呼ぶ。v0.3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spacing w:before="0" w:after="120" w:line="300" w:lineRule="auto"/>
      </w:pPr>
      <w:r>
        <w:rPr>
          <w:rFonts w:ascii="Calibri" w:hAnsi="Calibri" w:eastAsia="Yu Gothic" w:cs="Calibri"/>
          <w:color w:val="1F2937"/>
          <w:sz w:val="22"/>
        </w:rPr>
        <w:t>固有特性は</w:t>
      </w:r>
      <w:r>
        <w:rPr>
          <w:rFonts w:ascii="Calibri" w:hAnsi="Calibri" w:eastAsia="Yu Gothic" w:cs="Calibri"/>
          <w:b/>
          <w:color w:val="1F2937"/>
          <w:sz w:val="22"/>
        </w:rPr>
        <w:t>発動条件を持ち、条件を満たしたときだけ働く</w:t>
      </w:r>
      <w:r>
        <w:rPr>
          <w:rFonts w:ascii="Calibri" w:hAnsi="Calibri" w:eastAsia="Yu Gothic" w:cs="Calibri"/>
          <w:color w:val="1F2937"/>
          <w:sz w:val="22"/>
        </w:rPr>
        <w:t>。これにより「この武将を採ると、</w:t>
      </w:r>
    </w:p>
    <w:p>
      <w:pPr>
        <w:spacing w:before="0" w:after="120" w:line="300" w:lineRule="auto"/>
      </w:pPr>
      <w:r>
        <w:rPr>
          <w:rFonts w:ascii="Calibri" w:hAnsi="Calibri" w:eastAsia="Yu Gothic" w:cs="Calibri"/>
          <w:color w:val="1F2937"/>
          <w:sz w:val="22"/>
        </w:rPr>
        <w:t>普通は選べない編成が選べるようになる」という形の個性を作れる。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303"/>
        <w:gridCol w:w="4588"/>
        <w:gridCol w:w="709"/>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33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709"/>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33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709"/>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246"/>
        <w:gridCol w:w="635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24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3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K、兵種補正値、ゲージ獲得係数。消耗係数の下限は0.6で確定済み。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弓兵→歩兵が99%（§5.3）。射程の効き方が相性ごとに非対称なため、兵種係数では直せない。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v0.6 では、(1) 戦闘モデルが小さな差を増幅する問題（§4.6）に方針を出す、(2) 弓兵→歩兵の99%を射程の効き方から見直す（§5.3）、(3) 有利補正 +4% を予算式の修正後に測り直す、(4) 60人ぶんの必殺技をひな型から個別設計へ起こす、の4点を扱う。(1) は他のすべての調整の許容誤差を決めるため最初に決める。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残兵力率に応じた攻撃力の逓減係数。`0.6 + 0.4 × 残兵力率`、下限0.6（§6.1）。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