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织界产品设计与代码生成</w:t>
        <w:br/>
        <w:t>使用指南</w:t>
      </w:r>
    </w:p>
    <w:p>
      <w:pPr>
        <w:pStyle w:val="Subtitle"/>
      </w:pPr>
      <w:r>
        <w:rPr>
          <w:b w:val="0"/>
        </w:rPr>
        <w:t>从下载安装到可编辑原型与 React 项目代码</w:t>
      </w:r>
    </w:p>
    <w:p>
      <w:r>
        <w:rPr>
          <w:b w:val="0"/>
        </w:rPr>
        <w:t>核对日期 2026 年 10 月 14 日  ·  Desktop 0.0.62  ·  CLI 0.0.84  ·  资源 0.0.87</w:t>
      </w:r>
    </w:p>
    <w:p>
      <w:r>
        <w:rPr>
          <w:b w:val="0"/>
        </w:rPr>
        <w:t>织界基于 Plasmic，支持在可视化编辑器中设计页面，再由连接桌面 MCP 的 AI 客户端读取设计、生成目标工程中的 React 与 TypeScript 代码。本指南面向首次使用的产品、设计与研发人员，按实际操作顺序介绍安装、账号、设计、评审和代码交付。</w:t>
      </w:r>
    </w:p>
    <w:p>
      <w:pPr>
        <w:pStyle w:val="Heading2"/>
      </w:pPr>
      <w:r>
        <w:t>选择你的使用路线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85"/>
        <w:gridCol w:w="3855"/>
      </w:tblGrid>
      <w:tr>
        <w:trPr>
          <w:tblHeader/>
          <w:cantSplit/>
        </w:trPr>
        <w:tc>
          <w:tcPr>
            <w:tcW w:type="dxa" w:w="1814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你的目标</w:t>
            </w:r>
          </w:p>
        </w:tc>
        <w:tc>
          <w:tcPr>
            <w:tcW w:type="dxa" w:w="3685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需要准备</w:t>
            </w:r>
          </w:p>
        </w:tc>
        <w:tc>
          <w:tcPr>
            <w:tcW w:type="dxa" w:w="3855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阅读顺序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手工设计和评审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拾光账号；浏览器或 Desktop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下载安装 → 账号 → 工作区 → 编辑器 → 预览与分享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通过外部 AI 设计原型</w:t>
            </w:r>
          </w:p>
        </w:tc>
        <w:tc>
          <w:tcPr>
            <w:tcW w:type="dxa" w:w="3685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Desktop；可用 AI 客户端；MCP；CLI 与 Skill</w:t>
            </w:r>
          </w:p>
        </w:tc>
        <w:tc>
          <w:tcPr>
            <w:tcW w:type="dxa" w:w="3855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账号 → Desktop → MCP → CLI → AI 设计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从设计生成研发代码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设计访问权限；Desktop；AI 客户端；目标代码工程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MCP → CLI → 设计交接 → 代码生成 → 验收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全流程</w:t>
      </w:r>
    </w:p>
    <w:p>
      <w:r>
        <w:rPr>
          <w:b w:val="0"/>
        </w:rPr>
        <w:t>注册并登录 → 安装 Desktop → 连接 AI 客户端 → 安装 Skill → 创建设计 → 预览评审 → 交给研发 → 生成代码 → 在真实工程中验收。</w:t>
      </w:r>
    </w:p>
    <w:p>
      <w:pPr>
        <w:pStyle w:val="Heading2"/>
      </w:pPr>
      <w:r>
        <w:t>本手册内容</w:t>
      </w:r>
    </w:p>
    <w:p>
      <w:r>
        <w:rPr>
          <w:b w:val="0"/>
        </w:rPr>
        <w:t>02 下载安装　03 注册与网页登录　04 Desktop 登录</w:t>
        <w:br/>
        <w:t>05 MCP 连接　06 CLI 与 Skill　07 工作区与项目</w:t>
        <w:br/>
        <w:t>08 编辑器操作　09 外部 AI 设计　10 内置 AI 编辑</w:t>
        <w:br/>
        <w:t>11 预览验收　12 分享与交接　13 研发代码生成</w:t>
        <w:br/>
        <w:t>14 增量更新与验收　15 常见问题　16 入口与版本</w:t>
      </w:r>
    </w:p>
    <w:p>
      <w:r>
        <w:rPr>
          <w:b w:val="0"/>
        </w:rPr>
        <w:t>网页端与 Desktop 使用同一个账号和云端项目。外部 AI 通过 MCP 操作设计时，需要保持 Desktop 运行并登录。Desktop 的项目加载、保存仍需要联网。</w:t>
      </w:r>
    </w:p>
    <w:p>
      <w:pPr>
        <w:pStyle w:val="Heading1"/>
        <w:pageBreakBefore/>
      </w:pPr>
      <w:r>
        <w:t>02 下载并安装应用</w:t>
      </w:r>
    </w:p>
    <w:p>
      <w:hyperlink r:id="rId11">
        <w:r>
          <w:rPr>
            <w:color w:val="244E78"/>
            <w:rFonts w:eastAsia="Noto Sans CJK SC"/>
          </w:rPr>
          <w:t>官网下载入口  https://shiguanglab.com/projects/zhijie#download</w:t>
        </w:r>
      </w:hyperlink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8600"/>
            <wp:docPr id="1" name="Picture 1" descr="图 1  官网下载区域按操作系统提供安装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ownloa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  官网下载区域按操作系统提供安装包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005"/>
        <w:gridCol w:w="4479"/>
      </w:tblGrid>
      <w:tr>
        <w:trPr>
          <w:tblHeader/>
          <w:cantSplit/>
        </w:trPr>
        <w:tc>
          <w:tcPr>
            <w:tcW w:type="dxa" w:w="1871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设备</w:t>
            </w:r>
          </w:p>
        </w:tc>
        <w:tc>
          <w:tcPr>
            <w:tcW w:type="dxa" w:w="3005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选择的安装包</w:t>
            </w:r>
          </w:p>
        </w:tc>
        <w:tc>
          <w:tcPr>
            <w:tcW w:type="dxa" w:w="4479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安装方式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Mac M 系列芯片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macOS Apple Silicon · DMG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打开 DMG，将 Plasmic 拖到 Applications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Mac Intel 处理器</w:t>
            </w:r>
          </w:p>
        </w:tc>
        <w:tc>
          <w:tcPr>
            <w:tcW w:type="dxa" w:w="3005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macOS Intel · DMG</w:t>
            </w:r>
          </w:p>
        </w:tc>
        <w:tc>
          <w:tcPr>
            <w:tcW w:type="dxa" w:w="4479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打开 DMG，将 Plasmic 拖到 Applications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Windows x64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Windows · EXE</w:t>
            </w:r>
          </w:p>
        </w:tc>
        <w:tc>
          <w:tcPr>
            <w:tcW w:type="dxa" w:w="4479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运行安装程序，按向导完成安装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Linux x64</w:t>
            </w:r>
          </w:p>
        </w:tc>
        <w:tc>
          <w:tcPr>
            <w:tcW w:type="dxa" w:w="3005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Linux · AppImage</w:t>
            </w:r>
          </w:p>
        </w:tc>
        <w:tc>
          <w:tcPr>
            <w:tcW w:type="dxa" w:w="4479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赋予文件可执行权限后运行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Mac 可在苹果菜单的“关于本机”查看芯片类型；出现“芯片”与 M 系列名称时选择 Apple Silicon，Intel 设备选择 Intel。下载页自动识别设备，但仍应核对实际机型。</w:t>
      </w:r>
    </w:p>
    <w:p>
      <w:r>
        <w:rPr>
          <w:b w:val="0"/>
        </w:rPr>
        <w:t>Linux 示例命令中的文件名需要替换为实际下载文件名：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chmod +x "Plasmic-版本号-linux-x86_64.AppImage"</w:t>
        <w:br/>
        <w:t>./Plasmic-版本号-linux-x86_64.AppImage</w:t>
      </w:r>
    </w:p>
    <w:p>
      <w:r>
        <w:rPr>
          <w:b w:val="0"/>
        </w:rPr>
        <w:t>只使用网页端时，直接进入 Studio，无需安装 Desktop。使用安装包也无需自行安装 Docker、数据库或本仓库源码；Node.js 仅在使用 CLI／Skill 时需要。若系统阻止打开安装包，确认下载来源后按操作系统的安全提示处理，企业管理设备可联系 IT。</w:t>
      </w:r>
    </w:p>
    <w:p>
      <w:pPr>
        <w:pStyle w:val="Heading1"/>
        <w:pageBreakBefore/>
      </w:pPr>
      <w:r>
        <w:t>03 注册账号并登录网页</w:t>
      </w:r>
    </w:p>
    <w:p>
      <w:hyperlink r:id="rId13">
        <w:r>
          <w:rPr>
            <w:color w:val="244E78"/>
            <w:rFonts w:eastAsia="Noto Sans CJK SC"/>
          </w:rPr>
          <w:t>从 Studio 进入统一账号登录  https://studio.plasmic.shiguanglab.com/</w:t>
        </w:r>
      </w:hyperlink>
    </w:p>
    <w:p>
      <w:r>
        <w:rPr>
          <w:b w:val="0"/>
        </w:rPr>
        <w:t>首次访问 Studio 会进入拾光统一账号页面。已有拾光账号可直接登录；没有账号时点击“去注册”。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92000" cy="3508947"/>
            <wp:docPr id="2" name="Picture 2" descr="拾光账号注册与登录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5089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92000" cy="3508947"/>
            <wp:docPr id="3" name="Picture 3" descr="拾光账号注册与登录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5089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Caption"/>
      </w:pPr>
      <w:r>
        <w:rPr>
          <w:b w:val="0"/>
        </w:rPr>
        <w:t>图 2  左侧为注册表单，右侧为账号登录表单</w:t>
      </w:r>
    </w:p>
    <w:p>
      <w:pPr>
        <w:pStyle w:val="Heading2"/>
      </w:pPr>
      <w:r>
        <w:t>创建账号</w:t>
      </w:r>
    </w:p>
    <w:p>
      <w:pPr>
        <w:ind w:left="113" w:hanging="113"/>
      </w:pPr>
      <w:r>
        <w:rPr>
          <w:b w:val="0"/>
        </w:rPr>
        <w:t>1. 填写用户名：3–20 个字符，可包含字母、数字和下划线。</w:t>
      </w:r>
    </w:p>
    <w:p>
      <w:pPr>
        <w:ind w:left="113" w:hanging="113"/>
      </w:pPr>
      <w:r>
        <w:rPr>
          <w:b w:val="0"/>
        </w:rPr>
        <w:t>2. 填写可接收邮件的邮箱；设置至少 8 位、同时包含字母和数字的密码，再填写确认密码。</w:t>
      </w:r>
    </w:p>
    <w:p>
      <w:pPr>
        <w:ind w:left="113" w:hanging="113"/>
      </w:pPr>
      <w:r>
        <w:rPr>
          <w:b w:val="0"/>
        </w:rPr>
        <w:t>3. 阅读页面的用户协议和隐私政策，自行确认同意后点击“创建账号”。</w:t>
      </w:r>
    </w:p>
    <w:p>
      <w:pPr>
        <w:ind w:left="113" w:hanging="113"/>
      </w:pPr>
      <w:r>
        <w:rPr>
          <w:b w:val="0"/>
        </w:rPr>
        <w:t>4. 若提示验证邮件已发送，在邮箱中完成验证后登录；若直接返回产品页面，继续下一步。</w:t>
      </w:r>
    </w:p>
    <w:p>
      <w:pPr>
        <w:pStyle w:val="Heading2"/>
      </w:pPr>
      <w:r>
        <w:t>选择正确的登录方式</w:t>
      </w:r>
    </w:p>
    <w:p>
      <w:r>
        <w:rPr>
          <w:b w:val="0"/>
        </w:rPr>
        <w:t>账号登录使用用户名和密码；邮箱登录按页面提示获取并输入邮箱验证码。页面还提供 GitHub、Google 和飞书入口，使用你注册或绑定时对应的身份。第三方身份与密码账号不能仅凭相同邮箱就视为同一账号。</w:t>
      </w:r>
    </w:p>
    <w:p>
      <w:r>
        <w:rPr>
          <w:b w:val="0"/>
        </w:rPr>
        <w:t>收不到邮件时检查垃圾邮件和邮箱拼写；用户名或邮箱已使用时改用已有账号登录。需要协助时点击“无法登录？”。</w:t>
      </w:r>
    </w:p>
    <w:p>
      <w:pPr>
        <w:pStyle w:val="Heading1"/>
        <w:pageBreakBefore/>
      </w:pPr>
      <w:r>
        <w:t>04 登录 Desktop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 descr="图 3  Desktop 登录入口示例  2026 年 10 月 11 日界面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sktop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3  Desktop 登录入口示例  2026 年 10 月 11 日界面记录</w:t>
      </w:r>
    </w:p>
    <w:p>
      <w:pPr>
        <w:ind w:left="113" w:hanging="113"/>
      </w:pPr>
      <w:r>
        <w:rPr>
          <w:b w:val="0"/>
        </w:rPr>
        <w:t>1. 启动已安装的 Plasmic，点击登录按钮；Desktop 会打开系统浏览器。</w:t>
      </w:r>
    </w:p>
    <w:p>
      <w:pPr>
        <w:ind w:left="113" w:hanging="113"/>
      </w:pPr>
      <w:r>
        <w:rPr>
          <w:b w:val="0"/>
        </w:rPr>
        <w:t>2. 在拾光统一账号页面登录。新用户可从同一页面进入注册。</w:t>
      </w:r>
    </w:p>
    <w:p>
      <w:pPr>
        <w:ind w:left="113" w:hanging="113"/>
      </w:pPr>
      <w:r>
        <w:rPr>
          <w:b w:val="0"/>
        </w:rPr>
        <w:t>3. 浏览器完成授权后，允许打开 Plasmic Desktop；若没有自动返回，点击授权页面上的“Open Plasmic Desktop”或对应中文按钮。</w:t>
      </w:r>
    </w:p>
    <w:p>
      <w:pPr>
        <w:ind w:left="113" w:hanging="113"/>
      </w:pPr>
      <w:r>
        <w:rPr>
          <w:b w:val="0"/>
        </w:rPr>
        <w:t>4. 回到 Desktop，确认出现工作区或原项目。浏览器显示授权成功后，还需要以 Desktop 实际进入项目为登录完成依据。</w:t>
      </w:r>
    </w:p>
    <w:p>
      <w:pPr>
        <w:pStyle w:val="Heading2"/>
      </w:pPr>
      <w:r>
        <w:t>日常使用</w:t>
      </w:r>
    </w:p>
    <w:p>
      <w:r>
        <w:rPr>
          <w:b w:val="0"/>
        </w:rPr>
        <w:t>• 保持 Desktop 运行；外部 AI 工具调用期间不要退出应用。</w:t>
      </w:r>
    </w:p>
    <w:p>
      <w:r>
        <w:rPr>
          <w:b w:val="0"/>
        </w:rPr>
        <w:t>• 网页登录成功不等于 Desktop 已建立登录会话，首次使用仍需完成应用授权。</w:t>
      </w:r>
    </w:p>
    <w:p>
      <w:r>
        <w:rPr>
          <w:b w:val="0"/>
        </w:rPr>
        <w:t>• 会话过期时重新登录，应用会保留待返回的页面位置。</w:t>
      </w:r>
    </w:p>
    <w:p>
      <w:r>
        <w:rPr>
          <w:b w:val="0"/>
        </w:rPr>
        <w:t>• 账号设置进入拾光账号中心；网页与 Desktop 的项目、工作区和权限一致。</w:t>
      </w:r>
    </w:p>
    <w:p>
      <w:pPr>
        <w:pStyle w:val="Heading2"/>
      </w:pPr>
      <w:r>
        <w:t>应用更新</w:t>
      </w:r>
    </w:p>
    <w:p>
      <w:r>
        <w:rPr>
          <w:b w:val="0"/>
        </w:rPr>
        <w:t>Desktop 启动后会检查更新并在后台下载。下载完成后通过软件更新窗口选择安装和重启；安装前保存当前设计。也可使用应用菜单的“检查更新”。应用更新、CLI 更新和 Skill／规范更新是三件不同的操作。</w:t>
      </w:r>
    </w:p>
    <w:p>
      <w:pPr>
        <w:pStyle w:val="Heading1"/>
        <w:pageBreakBefore/>
      </w:pPr>
      <w:r>
        <w:t>05 将 AI 客户端连接到 Desktop</w:t>
      </w:r>
    </w:p>
    <w:p>
      <w:r>
        <w:rPr>
          <w:b w:val="0"/>
        </w:rPr>
        <w:t>MCP 是 AI 客户端连接本地编辑器的通道。先启动并登录 Desktop，再打开需要处理的项目。仅安装 Skill 不会自动完成 MCP 连接。</w:t>
      </w:r>
    </w:p>
    <w:p>
      <w:pPr>
        <w:ind w:left="113" w:hanging="113"/>
      </w:pPr>
      <w:r>
        <w:rPr>
          <w:b w:val="0"/>
        </w:rPr>
        <w:t>1. 在 Desktop 的应用菜单选择“AI → MCP”。Mac 菜单位于屏幕顶部，Windows／Linux 使用应用菜单。</w:t>
      </w:r>
    </w:p>
    <w:p>
      <w:pPr>
        <w:ind w:left="113" w:hanging="113"/>
      </w:pPr>
      <w:r>
        <w:rPr>
          <w:b w:val="0"/>
        </w:rPr>
        <w:t>2. 在“MCP 连接”窗口中，开启你实际使用的 AI 客户端开关。</w:t>
      </w:r>
    </w:p>
    <w:p>
      <w:pPr>
        <w:ind w:left="113" w:hanging="113"/>
      </w:pPr>
      <w:r>
        <w:rPr>
          <w:b w:val="0"/>
        </w:rPr>
        <w:t>3. 重启 AI 客户端，或刷新其 MCP 配置；检查是否出现 plasmic-desktop 服务。</w:t>
      </w:r>
    </w:p>
    <w:p>
      <w:pPr>
        <w:ind w:left="113" w:hanging="113"/>
      </w:pPr>
      <w:r>
        <w:rPr>
          <w:b w:val="0"/>
        </w:rPr>
        <w:t>4. 在新对话中要求 AI 读取应用状态，并确认项目名称、登录状态和工具可用性。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4000" cy="3876631"/>
            <wp:docPr id="5" name="Picture 5" descr="图 4  Desktop MCP 设置示例  2026 年 10 月 10 日界面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c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87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4  Desktop MCP 设置示例  2026 年 10 月 10 日界面记录</w:t>
      </w:r>
    </w:p>
    <w:p>
      <w:r>
        <w:rPr>
          <w:b w:val="0"/>
        </w:rPr>
        <w:t>内置自动配置支持 Claude Code CLI、Codex CLI、Gemini CLI、Antigravity 2.0、OpenCode CLI、Kiro CLI 与 Claude Desktop。其他 MCP 客户端可点击“复制 MCP 配置”，粘贴到其本地 MCP 服务配置中。Skill 安装器支持的客户端范围与这里的 MCP 自动配置列表不同。</w:t>
      </w:r>
    </w:p>
    <w:p>
      <w:r>
        <w:rPr>
          <w:b w:val="0"/>
        </w:rPr>
        <w:t>移动 Desktop 安装位置后，应重新生成或复制配置，因为配置使用应用的绝对路径。发生配置冲突时先检查提示，不覆盖其他服务。可用的本地 AI 客户端需由使用者自行安装并配置模型。</w:t>
      </w:r>
    </w:p>
    <w:p>
      <w:pPr>
        <w:pStyle w:val="Heading1"/>
        <w:pageBreakBefore/>
      </w:pPr>
      <w:r>
        <w:t>06 安装 CLI 和 Plasmic Skill</w:t>
      </w:r>
    </w:p>
    <w:p>
      <w:r>
        <w:rPr>
          <w:b w:val="0"/>
        </w:rPr>
        <w:t>CLI 的名称是 plasmickit，npm 包名是 @plasmickit/cli。它负责安装 Skill、更新与校验工作流规范；实际设计读取、原型编辑和代码实现由 AI 客户端配合 Desktop MCP 完成。</w:t>
      </w:r>
    </w:p>
    <w:p>
      <w:pPr>
        <w:pStyle w:val="Heading2"/>
      </w:pPr>
      <w:r>
        <w:t>准备 Node.js</w:t>
      </w:r>
    </w:p>
    <w:p>
      <w:hyperlink r:id="rId18">
        <w:r>
          <w:rPr>
            <w:color w:val="244E78"/>
            <w:rFonts w:eastAsia="Noto Sans CJK SC"/>
          </w:rPr>
          <w:t>Node.js 官方下载页  https://nodejs.org/en/download</w:t>
        </w:r>
      </w:hyperlink>
    </w:p>
    <w:p>
      <w:r>
        <w:rPr>
          <w:b w:val="0"/>
        </w:rPr>
        <w:t>使用 Node.js 22.12 或更高版本。安装后重新打开终端，在 macOS／Linux 终端或 Windows PowerShell 中执行：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node --version</w:t>
        <w:br/>
        <w:t>npm --version</w:t>
      </w:r>
    </w:p>
    <w:p>
      <w:pPr>
        <w:pStyle w:val="Heading2"/>
      </w:pPr>
      <w:r>
        <w:t>安装并核对版本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npm install -g @plasmickit/cli@latest</w:t>
        <w:br/>
        <w:t>plasmickit --version</w:t>
        <w:br/>
        <w:t>plasmickit skill install</w:t>
        <w:br/>
        <w:t>plasmickit version check</w:t>
      </w:r>
    </w:p>
    <w:p>
      <w:r>
        <w:rPr>
          <w:b w:val="0"/>
        </w:rPr>
        <w:t>skill install 会检测本机支持的 AI 客户端，并安装同一份 Plasmic Skill。检查输出中的安装结果；如果未检测到客户端，先安装或初始化目标客户端，再重新执行。安装完成后启动一个新对话。</w:t>
      </w:r>
    </w:p>
    <w:p>
      <w:pPr>
        <w:pStyle w:val="Heading2"/>
      </w:pPr>
      <w:r>
        <w:t>不进行全局安装的方式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npx -y @plasmickit/cli@latest skill install</w:t>
        <w:br/>
        <w:t>npx -y @plasmickit/cli@latest context resolve --mode prototype</w:t>
      </w:r>
    </w:p>
    <w:p>
      <w:pPr>
        <w:pStyle w:val="Heading2"/>
      </w:pPr>
      <w:r>
        <w:t>加载设计与代码生成规范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plasmickit context resolve --mode prototype</w:t>
        <w:br/>
        <w:t>plasmickit context resolve --mode codegen</w:t>
      </w:r>
    </w:p>
    <w:p>
      <w:r>
        <w:rPr>
          <w:b w:val="0"/>
        </w:rPr>
        <w:t>每次 resolve 都检查线上资源并校验缓存。AI 应按返回结果读取 mustRead 文件；正常使用可让 AI 调用 Plasmic Skill 来完成该步骤。模式从设计切换到研发时，重新加载 codegen 规范。下载或校验失败时先解决网络问题，再继续依赖该规范的任务。</w:t>
      </w:r>
    </w:p>
    <w:p>
      <w:pPr>
        <w:pStyle w:val="Heading2"/>
      </w:pPr>
      <w:r>
        <w:t>后续更新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npm install -g @plasmickit/cli@latest</w:t>
        <w:br/>
        <w:t>plasmickit skill install</w:t>
        <w:br/>
        <w:t>plasmickit references update</w:t>
      </w:r>
    </w:p>
    <w:p>
      <w:r>
        <w:rPr>
          <w:b w:val="0"/>
        </w:rPr>
        <w:t>以上命令分别更新 CLI、Skill 入口和规范资源。版本号不同是正常情况；无需为了资源更新重新安装 Desktop。</w:t>
      </w:r>
    </w:p>
    <w:p>
      <w:pPr>
        <w:pStyle w:val="Heading1"/>
        <w:pageBreakBefore/>
      </w:pPr>
      <w:r>
        <w:t>07 选择工作区并创建项目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683000"/>
            <wp:docPr id="6" name="Picture 6" descr="图 5  项目列表支持搜索与工作区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s-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5  项目列表支持搜索与工作区筛选</w:t>
      </w:r>
    </w:p>
    <w:p>
      <w:pPr>
        <w:ind w:left="113" w:hanging="113"/>
      </w:pPr>
      <w:r>
        <w:rPr>
          <w:b w:val="0"/>
        </w:rPr>
        <w:t>1. 登录后进入“项目”或“个人工作区”。团队协作时先选择对应组织与工作区；看不到目标工作区时请管理员邀请。</w:t>
      </w:r>
    </w:p>
    <w:p>
      <w:pPr>
        <w:ind w:left="113" w:hanging="113"/>
      </w:pPr>
      <w:r>
        <w:rPr>
          <w:b w:val="0"/>
        </w:rPr>
        <w:t>2. 点击“新建项目”，填写项目名称，并选择项目所属工作区。</w:t>
      </w:r>
    </w:p>
    <w:p>
      <w:pPr>
        <w:ind w:left="113" w:hanging="113"/>
      </w:pPr>
      <w:r>
        <w:rPr>
          <w:b w:val="0"/>
        </w:rPr>
        <w:t>3. 从空白项目或当前可用模板开始，点击“创建”。本指南截图只展示创建窗口。</w:t>
      </w:r>
    </w:p>
    <w:p>
      <w:pPr>
        <w:ind w:left="113" w:hanging="113"/>
      </w:pPr>
      <w:r>
        <w:rPr>
          <w:b w:val="0"/>
        </w:rPr>
        <w:t>4. 点击项目卡片进入编辑器。已有项目优先直接打开，避免为同一需求重复建项目。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4005000"/>
            <wp:docPr id="7" name="Picture 7" descr="图 6  新建项目需要名称与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project-cr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0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6  新建项目需要名称与工作区</w:t>
      </w:r>
    </w:p>
    <w:p>
      <w:r>
        <w:rPr>
          <w:b w:val="0"/>
        </w:rPr>
        <w:t>建议项目名称包含需求编号或业务模块，例如“REQ075 客群管理”。个人账号注册不会自动授予既有团队项目的权限。模板是否可见取决于工作区配置和素材库访问权限。</w:t>
      </w:r>
    </w:p>
    <w:p>
      <w:pPr>
        <w:pStyle w:val="Heading1"/>
        <w:pageBreakBefore/>
      </w:pPr>
      <w:r>
        <w:t>08 在编辑器中设计页面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3800"/>
            <wp:docPr id="8" name="Picture 8" descr="图 7  文档与图层在左侧，画布居中，页面数据与属性在右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dito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7  文档与图层在左侧，画布居中，页面数据与属性在右侧</w:t>
      </w:r>
    </w:p>
    <w:p>
      <w:pPr>
        <w:pStyle w:val="Heading2"/>
      </w:pPr>
      <w:r>
        <w:t>建立页面结构</w:t>
      </w:r>
    </w:p>
    <w:p>
      <w:pPr>
        <w:ind w:left="113" w:hanging="113"/>
      </w:pPr>
      <w:r>
        <w:rPr>
          <w:b w:val="0"/>
        </w:rPr>
        <w:t>1. 点击左侧“图层”，切换到“文档”，使用“新建”创建页面、组件或画板组。需要可访问地址的业务页面应创建 Page，并设置 URL 路径。</w:t>
      </w:r>
    </w:p>
    <w:p>
      <w:pPr>
        <w:ind w:left="113" w:hanging="113"/>
      </w:pPr>
      <w:r>
        <w:rPr>
          <w:b w:val="0"/>
        </w:rPr>
        <w:t>2. 通过“插入”放置布局与组件；通过“库”使用项目可访问的组件库。管理后台优先复用现有 AppShell、表单、表格和业务组件。</w:t>
      </w:r>
    </w:p>
    <w:p>
      <w:pPr>
        <w:ind w:left="113" w:hanging="113"/>
      </w:pPr>
      <w:r>
        <w:rPr>
          <w:b w:val="0"/>
        </w:rPr>
        <w:t>3. 在图层树中选择节点，在右侧修改组件属性、插槽内容与样式。业务文案可用中文；编辑节点名称使用有意义的英文 PascalCase，例如 CustomerTable。</w:t>
      </w:r>
    </w:p>
    <w:p>
      <w:pPr>
        <w:ind w:left="113" w:hanging="113"/>
      </w:pPr>
      <w:r>
        <w:rPr>
          <w:b w:val="0"/>
        </w:rPr>
        <w:t>4. 配置事件、状态、查询和页面导航。视觉上的按钮并不自动具备查询或保存业务数据的行为。</w:t>
      </w:r>
    </w:p>
    <w:p>
      <w:pPr>
        <w:ind w:left="113" w:hanging="113"/>
      </w:pPr>
      <w:r>
        <w:rPr>
          <w:b w:val="0"/>
        </w:rPr>
        <w:t>5. 查看顶部“已保存”状态，再刷新或重新打开页面，确认设计保留。</w:t>
      </w:r>
    </w:p>
    <w:p>
      <w:pPr>
        <w:pStyle w:val="Heading2"/>
      </w:pPr>
      <w:r>
        <w:t>常用控件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6803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图层与文档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定位页面、组件和嵌套节点；选择实际编辑对象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插入与库</w:t>
            </w:r>
          </w:p>
        </w:tc>
        <w:tc>
          <w:tcPr>
            <w:tcW w:type="dxa" w:w="6803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添加节点，复用已有组件和素材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右侧属性与数据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修改真实组件 Props、Slot、页面路由、状态与查询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缩放与平移</w:t>
            </w:r>
          </w:p>
        </w:tc>
        <w:tc>
          <w:tcPr>
            <w:tcW w:type="dxa" w:w="6803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调整观察范围；“缩放以显示全部”帮助找回画布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撤销与重做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恢复最近的编辑操作</w:t>
            </w:r>
          </w:p>
        </w:tc>
      </w:tr>
    </w:tbl>
    <w:p>
      <w:r>
        <w:rPr>
          <w:b w:val="0"/>
        </w:rPr>
      </w:r>
    </w:p>
    <w:p>
      <w:pPr>
        <w:pStyle w:val="Heading1"/>
        <w:pageBreakBefore/>
      </w:pPr>
      <w:r>
        <w:t>09 使用外部 AI 生成可编辑原型</w:t>
      </w:r>
    </w:p>
    <w:p>
      <w:r>
        <w:rPr>
          <w:b w:val="0"/>
        </w:rPr>
        <w:t>适合从需求文档创建多页面原型，或对现有项目进行有范围的调整。开始前完成 Desktop 登录、MCP 连接和 Skill 安装，并在 AI 客户端提供可读取的需求文档。</w:t>
      </w:r>
    </w:p>
    <w:p>
      <w:pPr>
        <w:pStyle w:val="Heading2"/>
      </w:pPr>
      <w:r>
        <w:t>可直接复制的设计指令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使用 Plasmic skill 为 REQ075 设计客群管理原型。</w:t>
        <w:br/>
        <w:t>组织：&lt;组织名称&gt;；工作区：&lt;工作区名称&gt;。</w:t>
        <w:br/>
        <w:t>项目：&lt;已有项目名称或明确要求新建&gt;。</w:t>
        <w:br/>
        <w:t>需求文档：&lt;文件路径或可访问链接&gt;。</w:t>
        <w:br/>
        <w:br/>
        <w:t>先读取需求，确认页面清单、字段、状态与交互；</w:t>
        <w:br/>
        <w:t>检查当前组件库与模板的真实契约，再设计可编辑页面。</w:t>
        <w:br/>
        <w:t>范围：桌面端，视口 1440 × 900，业务文案使用简体中文。</w:t>
        <w:br/>
        <w:t>包含列表查询、重置、分页、详情和新增表单的实际交互。</w:t>
        <w:br/>
        <w:t>未接入真实接口时明确说明模拟数据范围。</w:t>
        <w:br/>
        <w:t>在 Preview 中验证，再保存、重新打开并读回确认。</w:t>
        <w:br/>
        <w:t>交付项目链接、页面路由、已验证行为和待确认项。</w:t>
      </w:r>
    </w:p>
    <w:p>
      <w:pPr>
        <w:pStyle w:val="Heading2"/>
      </w:pPr>
      <w:r>
        <w:t>怎样提供有效输入</w:t>
      </w:r>
    </w:p>
    <w:p>
      <w:r>
        <w:rPr>
          <w:b w:val="0"/>
        </w:rPr>
        <w:t>• 说明业务目标和使用角色，并提供完整需求文件，而非仅一张页面截图。</w:t>
      </w:r>
    </w:p>
    <w:p>
      <w:r>
        <w:rPr>
          <w:b w:val="0"/>
        </w:rPr>
        <w:t>• 列出页面、字段含义、枚举、必填规则、动作的成功／失败状态及页面跳转。</w:t>
      </w:r>
    </w:p>
    <w:p>
      <w:r>
        <w:rPr>
          <w:b w:val="0"/>
        </w:rPr>
        <w:t>• 指定组织、工作区、项目与访问范围；重名项目应附项目链接。</w:t>
      </w:r>
    </w:p>
    <w:p>
      <w:r>
        <w:rPr>
          <w:b w:val="0"/>
        </w:rPr>
        <w:t>• 可附视觉参考图或 design.pen，但交互和数据规则仍由需求定义。</w:t>
      </w:r>
    </w:p>
    <w:p>
      <w:r>
        <w:rPr>
          <w:b w:val="0"/>
        </w:rPr>
        <w:t>• 修改现有设计时写清受影响页面与区域，避免让 AI 无范围地重做项目。</w:t>
      </w:r>
    </w:p>
    <w:p>
      <w:pPr>
        <w:pStyle w:val="Heading2"/>
      </w:pPr>
      <w:r>
        <w:t>局部调整指令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使用 Plasmic skill 修改 &lt;项目链接&gt; 中的 CustomerList 页面。</w:t>
        <w:br/>
        <w:t>仅调整筛选区：增加状态筛选，并在重置时清空已应用条件、回到第一页。</w:t>
        <w:br/>
        <w:t>保留表格、路由和其他页面。验证查询与重置，再保存并重新读回。</w:t>
      </w:r>
    </w:p>
    <w:p>
      <w:r>
        <w:rPr>
          <w:b w:val="0"/>
        </w:rPr>
        <w:t>AI 执行期间查看任务进度和当前项目。任务结束后仍需按需求验收；“已生成”或模型校验通过不能替代 Preview 中的真实操作验证。</w:t>
      </w:r>
    </w:p>
    <w:p>
      <w:r>
        <w:rPr>
          <w:b w:val="0"/>
        </w:rPr>
        <w:t>独立后台页面通常保留一个 AppShell；接入已有应用时复用宿主外壳。表格列、表单校验和弹层开关要按组件真实契约配置。</w:t>
      </w:r>
    </w:p>
    <w:p>
      <w:pPr>
        <w:pStyle w:val="Heading1"/>
        <w:pageBreakBefore/>
      </w:pPr>
      <w:r>
        <w:t>10 使用内置 AI 进行页面编辑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3800"/>
            <wp:docPr id="9" name="Picture 9" descr="图 8  编辑器中的 AI 助手可对当前选区或页面提出修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8  编辑器中的 AI 助手可对当前选区或页面提出修改</w:t>
      </w:r>
    </w:p>
    <w:p>
      <w:r>
        <w:rPr>
          <w:b w:val="0"/>
        </w:rPr>
        <w:t>内置 AI 助手用于当前选区或页面的编辑，是另一种入口。外部 AI 客户端的完整 Skill 工作流仍按前述 MCP 与 CLI 步骤使用。</w:t>
      </w:r>
    </w:p>
    <w:p>
      <w:pPr>
        <w:ind w:left="113" w:hanging="113"/>
      </w:pPr>
      <w:r>
        <w:rPr>
          <w:b w:val="0"/>
        </w:rPr>
        <w:t>1. 在画布或图层树中先选择目标区域；没有选区时核对页面名称。</w:t>
      </w:r>
    </w:p>
    <w:p>
      <w:pPr>
        <w:ind w:left="113" w:hanging="113"/>
      </w:pPr>
      <w:r>
        <w:rPr>
          <w:b w:val="0"/>
        </w:rPr>
        <w:t>2. 点击左侧“AI”，在输入框中描述具体修改，可添加需求文件或参考图片。</w:t>
      </w:r>
    </w:p>
    <w:p>
      <w:pPr>
        <w:ind w:left="113" w:hanging="113"/>
      </w:pPr>
      <w:r>
        <w:rPr>
          <w:b w:val="0"/>
        </w:rPr>
        <w:t>3. 选择界面中实际可用的模型，确认编辑对象后发送请求。任务执行期间编辑范围保持固定。</w:t>
      </w:r>
    </w:p>
    <w:p>
      <w:pPr>
        <w:ind w:left="113" w:hanging="113"/>
      </w:pPr>
      <w:r>
        <w:rPr>
          <w:b w:val="0"/>
        </w:rPr>
        <w:t>4. 查看进度、结果和失败提示，检查改动；不符合需求时使用撤销或提出有范围的修正。</w:t>
      </w:r>
    </w:p>
    <w:p>
      <w:pPr>
        <w:ind w:left="113" w:hanging="113"/>
      </w:pPr>
      <w:r>
        <w:rPr>
          <w:b w:val="0"/>
        </w:rPr>
        <w:t>5. 在 Preview 中检查交互，再确认保存状态。</w:t>
      </w:r>
    </w:p>
    <w:p>
      <w:pPr>
        <w:pStyle w:val="Heading2"/>
      </w:pPr>
      <w:r>
        <w:t>局部编辑示例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将当前筛选区改为两行布局，保留现有字段和事件。</w:t>
        <w:br/>
        <w:t>统一标签宽度，查询和重置按钮放在第二行右侧。</w:t>
        <w:br/>
        <w:t>不要修改表格列、路由或其他页面。</w:t>
      </w:r>
    </w:p>
    <w:p>
      <w:r>
        <w:rPr>
          <w:b w:val="0"/>
        </w:rPr>
        <w:t>当前线上环境已启用局部 AI 编辑；新页面生成功能是否可用以当前界面与服务配置为准。本次核对的环境未启用内置 AI 新页面生成。从需求建立完整项目，可使用第 09 节的外部 AI 与 Skill 流程。图中没有实际发送 AI 请求。</w:t>
      </w:r>
    </w:p>
    <w:p>
      <w:pPr>
        <w:pStyle w:val="Heading1"/>
        <w:pageBreakBefore/>
      </w:pPr>
      <w:r>
        <w:t>11 预览并验证交互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53800"/>
            <wp:docPr id="10" name="Picture 10" descr="图 9  从顶部预览入口查看可运行的示例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eview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9  从顶部预览入口查看可运行的示例页面</w:t>
      </w:r>
    </w:p>
    <w:p>
      <w:pPr>
        <w:ind w:left="113" w:hanging="113"/>
      </w:pPr>
      <w:r>
        <w:rPr>
          <w:b w:val="0"/>
        </w:rPr>
        <w:t>1. 点击顶部“预览”或“在新标签页中打开预览”，进入可交互页面。</w:t>
      </w:r>
    </w:p>
    <w:p>
      <w:pPr>
        <w:ind w:left="113" w:hanging="113"/>
      </w:pPr>
      <w:r>
        <w:rPr>
          <w:b w:val="0"/>
        </w:rPr>
        <w:t>2. 检查筛选、重置、分页、Tab、路由与弹层；按实际需求测试空数据、失败和只读状态。</w:t>
      </w:r>
    </w:p>
    <w:p>
      <w:pPr>
        <w:ind w:left="113" w:hanging="113"/>
      </w:pPr>
      <w:r>
        <w:rPr>
          <w:b w:val="0"/>
        </w:rPr>
        <w:t>3. 打开新增或编辑表单，检查必填提示、取消、再次打开与提交后的行为。</w:t>
      </w:r>
    </w:p>
    <w:p>
      <w:pPr>
        <w:ind w:left="113" w:hanging="113"/>
      </w:pPr>
      <w:r>
        <w:rPr>
          <w:b w:val="0"/>
        </w:rPr>
        <w:t>4. 回到编辑器修正问题；确认已保存后重新打开并复查。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5999" cy="3105898"/>
            <wp:docPr id="11" name="Picture 11" descr="图 10  新增资源抽屉的运行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eview-drawer-cr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310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10  新增资源抽屉的运行界面</w:t>
      </w:r>
    </w:p>
    <w:p>
      <w:r>
        <w:rPr>
          <w:b w:val="0"/>
        </w:rPr>
        <w:t>Admin Templates 仅用于操作示例，展示数据为虚构内容。模板的业务查询、保存和项目路由仍需由使用模板的项目绑定；图中打开抽屉不代表已经接入生产接口。</w:t>
      </w:r>
    </w:p>
    <w:p>
      <w:pPr>
        <w:pStyle w:val="Heading1"/>
        <w:pageBreakBefore/>
      </w:pPr>
      <w:r>
        <w:t>12 分享设计并交给研发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58400"/>
            <wp:docPr id="12" name="Picture 12" descr="图 11  项目菜单中的分享窗口提供链接和邀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har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11  项目菜单中的分享窗口提供链接和邀请入口</w:t>
      </w:r>
    </w:p>
    <w:p>
      <w:pPr>
        <w:ind w:left="113" w:hanging="113"/>
      </w:pPr>
      <w:r>
        <w:rPr>
          <w:b w:val="0"/>
        </w:rPr>
        <w:t>1. 先确认顶部显示“已保存”，记录本次评审的页面与范围。</w:t>
      </w:r>
    </w:p>
    <w:p>
      <w:pPr>
        <w:ind w:left="113" w:hanging="113"/>
      </w:pPr>
      <w:r>
        <w:rPr>
          <w:b w:val="0"/>
        </w:rPr>
        <w:t>2. 打开顶部项目菜单，选择“分享项目”。复制链接供评审，或按团队流程邀请指定成员。</w:t>
      </w:r>
    </w:p>
    <w:p>
      <w:pPr>
        <w:ind w:left="113" w:hanging="113"/>
      </w:pPr>
      <w:r>
        <w:rPr>
          <w:b w:val="0"/>
        </w:rPr>
        <w:t>3. 根据协作需要选择角色。研发读取设计需要相应访问权限；需要修改设计时再授予合适的编辑权限。</w:t>
      </w:r>
    </w:p>
    <w:p>
      <w:pPr>
        <w:ind w:left="113" w:hanging="113"/>
      </w:pPr>
      <w:r>
        <w:rPr>
          <w:b w:val="0"/>
        </w:rPr>
        <w:t>4. 请接收者登录自己的拾光账号，确认可以打开设计与预览。复制链接不会自动改变访问权限。</w:t>
      </w:r>
    </w:p>
    <w:p>
      <w:pPr>
        <w:ind w:left="113" w:hanging="113"/>
      </w:pPr>
      <w:r>
        <w:rPr>
          <w:b w:val="0"/>
        </w:rPr>
        <w:t>5. 将需求、页面链接、验收结论与接口说明一起交接，明确待确认事项。</w:t>
      </w:r>
    </w:p>
    <w:p>
      <w:pPr>
        <w:pStyle w:val="Heading2"/>
      </w:pPr>
      <w:r>
        <w:t>研发交接清单</w:t>
      </w:r>
    </w:p>
    <w:p>
      <w:r>
        <w:rPr>
          <w:b w:val="0"/>
        </w:rPr>
        <w:t>• 项目链接、目标页面与路由、确认过的设计版本或 revision。</w:t>
      </w:r>
    </w:p>
    <w:p>
      <w:r>
        <w:rPr>
          <w:b w:val="0"/>
        </w:rPr>
        <w:t>• 需求编号、字段含义、枚举、校验、页面状态和交互规则。</w:t>
      </w:r>
    </w:p>
    <w:p>
      <w:r>
        <w:rPr>
          <w:b w:val="0"/>
        </w:rPr>
        <w:t>• 目标代码工程、公共业务组件、组件库版本和样式规范。</w:t>
      </w:r>
    </w:p>
    <w:p>
      <w:r>
        <w:rPr>
          <w:b w:val="0"/>
        </w:rPr>
        <w:t>• 真实接口文档、参数与响应、鉴权、权限和错误处理规则。</w:t>
      </w:r>
    </w:p>
    <w:p>
      <w:r>
        <w:rPr>
          <w:b w:val="0"/>
        </w:rPr>
        <w:t>• 图片与图标来源，哪些内容为模拟数据，哪些行为尚未联调。</w:t>
      </w:r>
    </w:p>
    <w:p>
      <w:pPr>
        <w:pStyle w:val="Heading2"/>
      </w:pPr>
      <w:r>
        <w:t>保存  发布  部署</w:t>
      </w:r>
    </w:p>
    <w:p>
      <w:r>
        <w:rPr>
          <w:b w:val="0"/>
        </w:rPr>
        <w:t>保存保留编辑模型；发布建立设计的发布版本或执行界面中指定的发布流程；部署将研发应用上线。三者分别处理。通过 AI 生成代码后，仍应按目标工程的代码审查、构建与上线流程交付；本手册的示例没有发布项目或修改共享权限。</w:t>
      </w:r>
    </w:p>
    <w:p>
      <w:pPr>
        <w:pStyle w:val="Heading1"/>
        <w:pageBreakBefore/>
      </w:pPr>
      <w:r>
        <w:t>13 研发从设计生成项目代码</w:t>
      </w:r>
    </w:p>
    <w:p>
      <w:r>
        <w:rPr>
          <w:b w:val="0"/>
        </w:rPr>
        <w:t>研发在目标代码工程中启动 AI 客户端，连接已经登录的 Desktop，提供设计项目链接与页面范围。AI 读取真实页面模型、组件属性、插槽、状态与事件，然后按目标工程实现原生 React／TypeScript。</w:t>
      </w:r>
    </w:p>
    <w:p>
      <w:pPr>
        <w:ind w:left="113" w:hanging="113"/>
      </w:pPr>
      <w:r>
        <w:rPr>
          <w:b w:val="0"/>
        </w:rPr>
        <w:t>1. 准备已拉取的目标工程和设计访问权限，确认现有 package.json、路由、公共组件、请求与权限封装。</w:t>
      </w:r>
    </w:p>
    <w:p>
      <w:pPr>
        <w:ind w:left="113" w:hanging="113"/>
      </w:pPr>
      <w:r>
        <w:rPr>
          <w:b w:val="0"/>
        </w:rPr>
        <w:t>2. 在 Desktop 打开目标项目；让 AI 核对当前项目名称和目标 Page，读取隐藏 Tab、关闭弹层等实际设计分支。</w:t>
      </w:r>
    </w:p>
    <w:p>
      <w:pPr>
        <w:ind w:left="113" w:hanging="113"/>
      </w:pPr>
      <w:r>
        <w:rPr>
          <w:b w:val="0"/>
        </w:rPr>
        <w:t>3. 加载 codegen 工作流，提供真实接口契约。接口缺失时明确当前任务是静态演示，或列出待联调部分。</w:t>
      </w:r>
    </w:p>
    <w:p>
      <w:pPr>
        <w:ind w:left="113" w:hanging="113"/>
      </w:pPr>
      <w:r>
        <w:rPr>
          <w:b w:val="0"/>
        </w:rPr>
        <w:t>4. 要求 AI 将实现接入真实路由，复用工程已有组件与样式方案，再运行相关检查。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plasmickit context resolve --mode codegen</w:t>
      </w:r>
    </w:p>
    <w:p>
      <w:pPr>
        <w:pStyle w:val="Heading2"/>
      </w:pPr>
      <w:r>
        <w:t>可直接复制的研发指令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使用 Plasmic skill，读取 &lt;设计项目链接&gt; 的 CustomerList 页面。</w:t>
        <w:br/>
        <w:t>目标工程：&lt;代码工程路径&gt;；需求：&lt;需求文档路径&gt;。</w:t>
        <w:br/>
        <w:t>目标路由：/customers；接口文档：&lt;接口路径或链接&gt;。</w:t>
        <w:br/>
        <w:br/>
        <w:t>先读取页面模型、组件契约、状态、事件和隐藏分支；</w:t>
        <w:br/>
        <w:t>核对本工程实际依赖、公共组件、路由、请求与权限封装。</w:t>
        <w:br/>
        <w:t>在现有架构中实现 React/TypeScript，复用宿主外壳。</w:t>
        <w:br/>
        <w:t>保留查询、重置、分页、详情、表单校验和提交流程。</w:t>
        <w:br/>
        <w:t>不要假设原型中的模拟数据就是已有生产接口。</w:t>
        <w:br/>
        <w:t>完成后执行工程已有的相关类型检查、测试与构建，</w:t>
        <w:br/>
        <w:t>从真实应用入口核对交互和视觉，说明未验证项。</w:t>
        <w:br/>
        <w:t>交付变更文件、路由、数据边界和实际验证结果。</w:t>
      </w:r>
    </w:p>
    <w:p>
      <w:pPr>
        <w:pStyle w:val="Heading2"/>
      </w:pPr>
      <w:r>
        <w:t>明确生成方式</w:t>
      </w:r>
    </w:p>
    <w:p>
      <w:r>
        <w:rPr>
          <w:b w:val="0"/>
        </w:rPr>
        <w:t>本指南采用 Skill 驱动的原生代码实现流程。plasmickit 本身不输出页面代码；截图用于视觉核对，组件与交互以真实模型及实现为依据。该流程不调用 export_code，也不要求安装官方 @plasmicapp/cli、Loader 或同步配置。若团队明确采用官方同步方案，应单独按该方案的契约处理。</w:t>
      </w:r>
    </w:p>
    <w:p>
      <w:r>
        <w:rPr>
          <w:b w:val="0"/>
        </w:rPr>
        <w:t>在已有工程中沿用实际技术栈，不为单页生成升级组件库。新建独立项目且未指定技术栈时，当前 codegen 规范的默认组合是 React、TypeScript、Ant Design 6 和 Vite。</w:t>
      </w:r>
    </w:p>
    <w:p>
      <w:pPr>
        <w:pStyle w:val="Heading1"/>
        <w:pageBreakBefore/>
      </w:pPr>
      <w:r>
        <w:t>14 增量更新与代码验收</w:t>
      </w:r>
    </w:p>
    <w:p>
      <w:pPr>
        <w:pStyle w:val="Heading2"/>
      </w:pPr>
      <w:r>
        <w:t>设计调整后如何更新代码</w:t>
      </w:r>
    </w:p>
    <w:p>
      <w:r>
        <w:rPr>
          <w:b w:val="0"/>
        </w:rPr>
        <w:t>设计变更先在编辑器保存并确认。研发让 AI 重新读取受影响页面与子树，对照现有代码更新承担该职责的文件；保留与本次改动无关的页面、接口和业务逻辑。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使用 Plasmic skill 更新 &lt;目标工程路径&gt; 的 CustomerList。</w:t>
        <w:br/>
        <w:t>设计源：&lt;项目链接&gt;；仅同步状态筛选及查询重置行为。</w:t>
        <w:br/>
        <w:t>重新读取相关模型与接口，保留其他布局、路由和业务逻辑。</w:t>
        <w:br/>
        <w:t>运行受影响的检查，并在真实入口验证。</w:t>
      </w:r>
    </w:p>
    <w:p>
      <w:pPr>
        <w:pStyle w:val="Heading2"/>
      </w:pPr>
      <w:r>
        <w:t>验收重点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427"/>
      </w:tblGrid>
      <w:tr>
        <w:trPr>
          <w:tblHeader/>
          <w:cantSplit/>
        </w:trPr>
        <w:tc>
          <w:tcPr>
            <w:tcW w:type="dxa" w:w="1928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检查范围</w:t>
            </w:r>
          </w:p>
        </w:tc>
        <w:tc>
          <w:tcPr>
            <w:tcW w:type="dxa" w:w="7427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完成依据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编译与类型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执行工程真实存在的类型检查和构建命令，记录结果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页面入口</w:t>
            </w:r>
          </w:p>
        </w:tc>
        <w:tc>
          <w:tcPr>
            <w:tcW w:type="dxa" w:w="742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真实路由可进入；Provider、主题与宿主集成正确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查询和分页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参数正确；查询、重置回正确页；total 与数据一致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表单与弹层</w:t>
            </w:r>
          </w:p>
        </w:tc>
        <w:tc>
          <w:tcPr>
            <w:tcW w:type="dxa" w:w="742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必填和边界正确；取消再打开无旧值；无效输入不提交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异步行为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区分加载、空、失败；避免旧响应覆盖与重复提交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权限</w:t>
            </w:r>
          </w:p>
        </w:tc>
        <w:tc>
          <w:tcPr>
            <w:tcW w:type="dxa" w:w="742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无权限或只读行为正确；前端控制与后端鉴权分别核对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视觉与可用性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同视口对照设计；长文本、滚动、键盘与操作入口可用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真实接口</w:t>
            </w:r>
          </w:p>
        </w:tc>
        <w:tc>
          <w:tcPr>
            <w:tcW w:type="dxa" w:w="742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Mock 验证与真实联调分别报告，不把模拟成功视为生产成功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交付应包含什么</w:t>
      </w:r>
    </w:p>
    <w:p>
      <w:r>
        <w:rPr>
          <w:b w:val="0"/>
        </w:rPr>
        <w:t>• 源项目、页面、路由和可获取的设计 revision。</w:t>
      </w:r>
    </w:p>
    <w:p>
      <w:r>
        <w:rPr>
          <w:b w:val="0"/>
        </w:rPr>
        <w:t>• 实际修改文件、使用的依赖与公共组件、接口接入和模拟数据范围。</w:t>
      </w:r>
    </w:p>
    <w:p>
      <w:r>
        <w:rPr>
          <w:b w:val="0"/>
        </w:rPr>
        <w:t>• 实际执行的命令、通过或失败结果，以及真实入口的交互与视觉验证。</w:t>
      </w:r>
    </w:p>
    <w:p>
      <w:r>
        <w:rPr>
          <w:b w:val="0"/>
        </w:rPr>
        <w:t>• 未解决的接口、权限、资产或运行环境限制。</w:t>
      </w:r>
    </w:p>
    <w:p>
      <w:r>
        <w:rPr>
          <w:b w:val="0"/>
        </w:rPr>
        <w:t>代码生成完成后再进入团队的评审、提交和上线流程。设计截图不证明交互已经实现；文件已生成也不证明应用已经可运行。</w:t>
      </w:r>
    </w:p>
    <w:p>
      <w:pPr>
        <w:pStyle w:val="Heading1"/>
        <w:pageBreakBefore/>
      </w:pPr>
      <w:r>
        <w:t>15 常见问题与排查</w:t>
      </w:r>
    </w:p>
    <w:p>
      <w:pPr>
        <w:pStyle w:val="Heading2"/>
      </w:pPr>
      <w:r>
        <w:t>账号和项目</w:t>
      </w:r>
    </w:p>
    <w:p>
      <w:r>
        <w:rPr>
          <w:b w:val="0"/>
        </w:rPr>
        <w:t>• 登录后看不到团队项目：先核对所用账号与登录方式，再核对组织、工作区和邀请权限；注册账号不会自动加入既有团队。</w:t>
      </w:r>
    </w:p>
    <w:p>
      <w:r>
        <w:rPr>
          <w:b w:val="0"/>
        </w:rPr>
        <w:t>• 注册失败或收不到邮件：核对用户名、密码规则和邮箱；检查垃圾邮件。页面提示自助注册未开启时联系管理员。</w:t>
      </w:r>
    </w:p>
    <w:p>
      <w:r>
        <w:rPr>
          <w:b w:val="0"/>
        </w:rPr>
        <w:t>• 忘记密码：从登录页进入“无法登录？”，按当前支持流程处理；不能假定自助重置已开放。</w:t>
      </w:r>
    </w:p>
    <w:p>
      <w:r>
        <w:rPr>
          <w:b w:val="0"/>
        </w:rPr>
        <w:t>• 浏览器授权成功但 Desktop 未登录：回到授权页面打开 Desktop，保持应用运行并重试登录。</w:t>
      </w:r>
    </w:p>
    <w:p>
      <w:pPr>
        <w:pStyle w:val="Heading2"/>
      </w:pPr>
      <w:r>
        <w:t>AI 与 MCP</w:t>
      </w:r>
    </w:p>
    <w:p>
      <w:r>
        <w:rPr>
          <w:b w:val="0"/>
        </w:rPr>
        <w:t>• AI 看不到 Plasmic 工具：检查 Desktop 是否运行且已登录，MCP 开关是否开启；重启客户端或刷新配置。</w:t>
      </w:r>
    </w:p>
    <w:p>
      <w:r>
        <w:rPr>
          <w:b w:val="0"/>
        </w:rPr>
        <w:t>• AI 连接了错误项目：先让 AI 读取应用状态，确认项目名称与链接；开始编辑前纠正目标。</w:t>
      </w:r>
    </w:p>
    <w:p>
      <w:r>
        <w:rPr>
          <w:b w:val="0"/>
        </w:rPr>
        <w:t>• Skill 未安装到目标客户端：先用 skill install --dry-run 查看检测结果，安装或初始化客户端后重试 skill install。</w:t>
      </w:r>
    </w:p>
    <w:p>
      <w:r>
        <w:rPr>
          <w:b w:val="0"/>
        </w:rPr>
        <w:t>• 移动应用后连接失败：重新打开 Desktop 的 MCP 窗口并生成配置，避免使用旧的绝对路径。</w:t>
      </w:r>
    </w:p>
    <w:p>
      <w:pPr>
        <w:pStyle w:val="Heading2"/>
      </w:pPr>
      <w:r>
        <w:t>CLI 和资源</w:t>
      </w:r>
    </w:p>
    <w:p>
      <w:pPr>
        <w:spacing w:before="80" w:after="160" w:line="280" w:lineRule="exact"/>
        <w:ind w:left="142"/>
        <w:shd w:fill="F2F4F7"/>
      </w:pPr>
      <w:r>
        <w:rPr>
          <w:rFonts w:ascii="Consolas" w:hAnsi="Consolas" w:eastAsia="Noto Sans CJK SC"/>
          <w:sz w:val="18"/>
        </w:rPr>
        <w:t>plasmickit --version</w:t>
        <w:br/>
        <w:t>plasmickit version check</w:t>
        <w:br/>
        <w:t>plasmickit references check</w:t>
        <w:br/>
        <w:t>plasmickit skill install --dry-run</w:t>
      </w:r>
    </w:p>
    <w:p>
      <w:r>
        <w:rPr>
          <w:b w:val="0"/>
        </w:rPr>
        <w:t>• 找不到 plasmickit 命令：确认 Node/npm 可用，重新打开终端；也可使用 npx -y @plasmickit/cli@latest。</w:t>
      </w:r>
    </w:p>
    <w:p>
      <w:r>
        <w:rPr>
          <w:b w:val="0"/>
        </w:rPr>
        <w:t>• 切换 Node 版本后 CLI 变旧：全局 npm 包通常按 Node 安装目录隔离，在当前环境重新安装最新版。</w:t>
      </w:r>
    </w:p>
    <w:p>
      <w:r>
        <w:rPr>
          <w:b w:val="0"/>
        </w:rPr>
        <w:t>• 资源加载失败：检查网络、代理和资源源可达性，修复后重跑 context resolve；不要把失败当成已加载最新规范。</w:t>
      </w:r>
    </w:p>
    <w:p>
      <w:r>
        <w:rPr>
          <w:b w:val="0"/>
        </w:rPr>
        <w:t>• 生成页面只有外观：补齐事件、状态与接口契约，并在 Preview 或实际工程中验证。</w:t>
      </w:r>
    </w:p>
    <w:p>
      <w:r>
        <w:rPr>
          <w:b w:val="0"/>
        </w:rPr>
        <w:t>排查时提供客户端与应用版本、目标项目、操作步骤和具体错误提示。不要在反馈或文档中附密码、验证码或会话凭据。</w:t>
      </w:r>
    </w:p>
    <w:p>
      <w:pPr>
        <w:pStyle w:val="Heading1"/>
        <w:pageBreakBefore/>
      </w:pPr>
      <w:r>
        <w:t>16 入口  版本与截图说明</w:t>
      </w:r>
    </w:p>
    <w:p>
      <w:pPr>
        <w:pStyle w:val="Heading2"/>
      </w:pPr>
      <w:r>
        <w:t>常用入口</w:t>
      </w:r>
    </w:p>
    <w:p>
      <w:hyperlink r:id="rId11">
        <w:r>
          <w:rPr>
            <w:color w:val="244E78"/>
            <w:rFonts w:eastAsia="Noto Sans CJK SC"/>
          </w:rPr>
          <w:t>产品与 Desktop 下载  https://shiguanglab.com/projects/zhijie#download</w:t>
        </w:r>
      </w:hyperlink>
    </w:p>
    <w:p>
      <w:hyperlink r:id="rId13">
        <w:r>
          <w:rPr>
            <w:color w:val="244E78"/>
            <w:rFonts w:eastAsia="Noto Sans CJK SC"/>
          </w:rPr>
          <w:t>Studio 网页编辑器  https://studio.plasmic.shiguanglab.com/</w:t>
        </w:r>
      </w:hyperlink>
    </w:p>
    <w:p>
      <w:hyperlink r:id="rId26">
        <w:r>
          <w:rPr>
            <w:color w:val="244E78"/>
            <w:rFonts w:eastAsia="Noto Sans CJK SC"/>
          </w:rPr>
          <w:t>拾光账号登录  https://shiguanglab.com/login</w:t>
        </w:r>
      </w:hyperlink>
    </w:p>
    <w:p>
      <w:hyperlink r:id="rId27">
        <w:r>
          <w:rPr>
            <w:color w:val="244E78"/>
            <w:rFonts w:eastAsia="Noto Sans CJK SC"/>
          </w:rPr>
          <w:t>拾光账号注册  https://shiguanglab.com/register</w:t>
        </w:r>
      </w:hyperlink>
    </w:p>
    <w:p>
      <w:hyperlink r:id="rId28">
        <w:r>
          <w:rPr>
            <w:color w:val="244E78"/>
            <w:rFonts w:eastAsia="Noto Sans CJK SC"/>
          </w:rPr>
          <w:t>登录帮助  https://shiguanglab.com/login-help</w:t>
        </w:r>
      </w:hyperlink>
    </w:p>
    <w:p>
      <w:hyperlink r:id="rId18">
        <w:r>
          <w:rPr>
            <w:color w:val="244E78"/>
            <w:rFonts w:eastAsia="Noto Sans CJK SC"/>
          </w:rPr>
          <w:t>Node.js 下载  https://nodejs.org/en/download</w:t>
        </w:r>
      </w:hyperlink>
    </w:p>
    <w:p>
      <w:hyperlink r:id="rId29">
        <w:r>
          <w:rPr>
            <w:color w:val="244E78"/>
            <w:rFonts w:eastAsia="Noto Sans CJK SC"/>
          </w:rPr>
          <w:t>Plasmickit npm 包  https://www.npmjs.com/package/@plasmickit/cli</w:t>
        </w:r>
      </w:hyperlink>
    </w:p>
    <w:p>
      <w:pPr>
        <w:pStyle w:val="Heading2"/>
      </w:pPr>
      <w:r>
        <w:t>本次核对的版本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57"/>
        <w:gridCol w:w="5613"/>
      </w:tblGrid>
      <w:tr>
        <w:trPr>
          <w:tblHeader/>
          <w:cantSplit/>
        </w:trPr>
        <w:tc>
          <w:tcPr>
            <w:tcW w:type="dxa" w:w="1984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产物</w:t>
            </w:r>
          </w:p>
        </w:tc>
        <w:tc>
          <w:tcPr>
            <w:tcW w:type="dxa" w:w="1757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核对版本</w:t>
            </w:r>
          </w:p>
        </w:tc>
        <w:tc>
          <w:tcPr>
            <w:tcW w:type="dxa" w:w="5613"/>
            <w:vAlign w:val="center"/>
            <w:shd w:fill="E8EEF5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/>
                <w:sz w:val="19"/>
              </w:rPr>
              <w:t>更新入口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Studio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0.0.85</w:t>
            </w:r>
          </w:p>
        </w:tc>
        <w:tc>
          <w:tcPr>
            <w:tcW w:type="dxa" w:w="561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在线服务由维护者更新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Desktop</w:t>
            </w:r>
          </w:p>
        </w:tc>
        <w:tc>
          <w:tcPr>
            <w:tcW w:type="dxa" w:w="175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0.0.62</w:t>
            </w:r>
          </w:p>
        </w:tc>
        <w:tc>
          <w:tcPr>
            <w:tcW w:type="dxa" w:w="5613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官网下载或应用软件更新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Plasmickit CLI</w:t>
            </w:r>
          </w:p>
        </w:tc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0.0.84</w:t>
            </w:r>
          </w:p>
        </w:tc>
        <w:tc>
          <w:tcPr>
            <w:tcW w:type="dxa" w:w="5613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npm install -g @plasmickit/cli@latest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规范资源</w:t>
            </w:r>
          </w:p>
        </w:tc>
        <w:tc>
          <w:tcPr>
            <w:tcW w:type="dxa" w:w="1757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0.0.87</w:t>
            </w:r>
          </w:p>
        </w:tc>
        <w:tc>
          <w:tcPr>
            <w:tcW w:type="dxa" w:w="5613"/>
            <w:vAlign w:val="center"/>
            <w:shd w:fill="F7F9FC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before="60" w:line="280" w:lineRule="exact"/>
            </w:pPr>
            <w:r>
              <w:rPr>
                <w:b w:val="0"/>
                <w:sz w:val="19"/>
              </w:rPr>
              <w:t>context resolve 或 references update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下载时以官网最新可用版本为准。版本号是本手册核对记录，不是必须固定使用的版本。示例命令使用 @latest。</w:t>
      </w:r>
    </w:p>
    <w:p>
      <w:pPr>
        <w:pStyle w:val="Heading2"/>
      </w:pPr>
      <w:r>
        <w:t>界面与示例来源</w:t>
      </w:r>
    </w:p>
    <w:p>
      <w:r>
        <w:rPr>
          <w:b w:val="0"/>
        </w:rPr>
        <w:t>下载、注册、网页登录、项目创建、编辑器、AI、预览和分享图于 2026 年 10 月 14 日从实际页面截取。Desktop 登录图沿用仓库 2026 年 10 月 11 日界面记录；MCP 图沿用 2026 年 10 月 10 日实现记录，其入口与客户端列表已按当前源码核对。</w:t>
      </w:r>
    </w:p>
    <w:p>
      <w:r>
        <w:rPr>
          <w:b w:val="0"/>
        </w:rPr>
        <w:t>编辑与预览图来自 Admin Templates 素材库，使用示例数据。分享图只保留操作区，未展示个人邮箱。截图时未创建新账号、提交 AI 请求、发布项目或改变共享权限。</w:t>
      </w:r>
    </w:p>
    <w:p>
      <w:r>
        <w:rPr>
          <w:b w:val="0"/>
        </w:rPr>
        <w:t>操作依据还包括当前 Desktop README、CLI 实现、注册页面实现，以及 CLI 加载的 prototype／codegen 工作流、模型读取和验收规范。不同 UI 语言、窗口尺寸和后续版本可能改变标签与排版，操作以当前可见界面为准。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年 10 月 14 日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织界使用指南  |  产品设计与研发代码生成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80" w:lineRule="exact"/>
      <w:outlineLvl w:val="0"/>
    </w:pPr>
    <w:rPr>
      <w:rFonts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40" w:lineRule="exact"/>
      <w:outlineLvl w:val="1"/>
    </w:pPr>
    <w:rPr>
      <w:rFonts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="Arial" w:hAnsi="Arial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00" w:lineRule="exact"/>
    </w:pPr>
    <w:rPr>
      <w:rFonts w:ascii="Arial" w:hAnsi="Arial" w:eastAsia="Noto Sans CJK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40"/>
    </w:pPr>
    <w:rPr>
      <w:rFonts w:ascii="Arial" w:hAnsi="Arial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Noto Sans CJK SC"/>
        <w:b/>
        <w:bCs/>
      </w:rPr>
    </w:tblStylePr>
    <w:tblStylePr w:type="lastCol">
      <w:rPr>
        <w:rFonts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higuanglab.com/projects/zhijie#download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studio.plasmic.shiguanglab.com/" TargetMode="External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nodejs.org/en/download" TargetMode="External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png"/><Relationship Id="rId25" Type="http://schemas.openxmlformats.org/officeDocument/2006/relationships/image" Target="media/image12.jpg"/><Relationship Id="rId26" Type="http://schemas.openxmlformats.org/officeDocument/2006/relationships/hyperlink" Target="https://shiguanglab.com/login" TargetMode="External"/><Relationship Id="rId27" Type="http://schemas.openxmlformats.org/officeDocument/2006/relationships/hyperlink" Target="https://shiguanglab.com/register" TargetMode="External"/><Relationship Id="rId28" Type="http://schemas.openxmlformats.org/officeDocument/2006/relationships/hyperlink" Target="https://shiguanglab.com/login-help" TargetMode="External"/><Relationship Id="rId29" Type="http://schemas.openxmlformats.org/officeDocument/2006/relationships/hyperlink" Target="https://www.npmjs.com/package/@plasmickit/c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织界产品设计与代码生成使用指南</dc:title>
  <dc:subject>安装 账号注册 产品原型设计 AI 连接 React 代码生成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