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BA52" w14:textId="1F874C4A" w:rsidR="00202985" w:rsidRPr="00C04BAC" w:rsidRDefault="00864FB2" w:rsidP="00202985">
      <w:pPr>
        <w:jc w:val="center"/>
        <w:rPr>
          <w:rFonts w:asciiTheme="majorEastAsia" w:eastAsiaTheme="majorEastAsia" w:hAnsiTheme="majorEastAsia"/>
          <w:b/>
          <w:bCs/>
          <w:sz w:val="28"/>
        </w:rPr>
      </w:pPr>
      <w:r>
        <w:rPr>
          <w:rFonts w:ascii="Times New Roman" w:eastAsiaTheme="minorEastAsia" w:hAnsi="Times New Roman"/>
          <w:noProof/>
          <w:sz w:val="24"/>
        </w:rPr>
        <mc:AlternateContent>
          <mc:Choice Requires="wps">
            <w:drawing>
              <wp:anchor distT="0" distB="0" distL="114300" distR="114300" simplePos="0" relativeHeight="251659264" behindDoc="0" locked="0" layoutInCell="1" allowOverlap="1" wp14:anchorId="215F55E0" wp14:editId="4A97DBD2">
                <wp:simplePos x="0" y="0"/>
                <wp:positionH relativeFrom="column">
                  <wp:posOffset>4166870</wp:posOffset>
                </wp:positionH>
                <wp:positionV relativeFrom="paragraph">
                  <wp:posOffset>151765</wp:posOffset>
                </wp:positionV>
                <wp:extent cx="2317750" cy="1282700"/>
                <wp:effectExtent l="57150" t="457200" r="82550" b="88900"/>
                <wp:wrapNone/>
                <wp:docPr id="1" name="吹き出し: 四角形 1"/>
                <wp:cNvGraphicFramePr/>
                <a:graphic xmlns:a="http://schemas.openxmlformats.org/drawingml/2006/main">
                  <a:graphicData uri="http://schemas.microsoft.com/office/word/2010/wordprocessingShape">
                    <wps:wsp>
                      <wps:cNvSpPr/>
                      <wps:spPr>
                        <a:xfrm>
                          <a:off x="0" y="0"/>
                          <a:ext cx="2317750" cy="1282700"/>
                        </a:xfrm>
                        <a:prstGeom prst="wedgeRectCallout">
                          <a:avLst>
                            <a:gd name="adj1" fmla="val -11689"/>
                            <a:gd name="adj2" fmla="val -83170"/>
                          </a:avLst>
                        </a:prstGeom>
                      </wps:spPr>
                      <wps:style>
                        <a:lnRef idx="1">
                          <a:schemeClr val="accent1"/>
                        </a:lnRef>
                        <a:fillRef idx="2">
                          <a:schemeClr val="accent1"/>
                        </a:fillRef>
                        <a:effectRef idx="1">
                          <a:schemeClr val="accent1"/>
                        </a:effectRef>
                        <a:fontRef idx="minor">
                          <a:schemeClr val="dk1"/>
                        </a:fontRef>
                      </wps:style>
                      <wps:txbx>
                        <w:txbxContent>
                          <w:p w14:paraId="04BBCDBA" w14:textId="0C73B997" w:rsidR="00864FB2" w:rsidRPr="008F20E4" w:rsidRDefault="00864FB2" w:rsidP="00864FB2">
                            <w:pPr>
                              <w:jc w:val="center"/>
                              <w:rPr>
                                <w:sz w:val="18"/>
                              </w:rPr>
                            </w:pPr>
                            <w:r>
                              <w:rPr>
                                <w:rFonts w:hint="eastAsia"/>
                                <w:sz w:val="18"/>
                              </w:rPr>
                              <w:t>所属コースに応じてヘッダを編集</w:t>
                            </w:r>
                          </w:p>
                          <w:p w14:paraId="4EA38FC6" w14:textId="284AEB2C" w:rsidR="00A8336D" w:rsidRPr="008F20E4" w:rsidRDefault="00A8336D" w:rsidP="00864FB2">
                            <w:pPr>
                              <w:jc w:val="center"/>
                              <w:rPr>
                                <w:sz w:val="18"/>
                              </w:rPr>
                            </w:pPr>
                            <w:r>
                              <w:rPr>
                                <w:rFonts w:hint="eastAsia"/>
                                <w:sz w:val="18"/>
                              </w:rPr>
                              <w:t>I</w:t>
                            </w:r>
                            <w:r>
                              <w:rPr>
                                <w:sz w:val="18"/>
                              </w:rPr>
                              <w:t>nformation Systems Course</w:t>
                            </w:r>
                          </w:p>
                          <w:p w14:paraId="5D2CD219" w14:textId="79DEC2AB" w:rsidR="00A8336D" w:rsidRPr="008F20E4" w:rsidRDefault="00A8336D" w:rsidP="00864FB2">
                            <w:pPr>
                              <w:jc w:val="center"/>
                              <w:rPr>
                                <w:sz w:val="18"/>
                              </w:rPr>
                            </w:pPr>
                            <w:r>
                              <w:rPr>
                                <w:rFonts w:hint="eastAsia"/>
                                <w:sz w:val="18"/>
                              </w:rPr>
                              <w:t>A</w:t>
                            </w:r>
                            <w:r>
                              <w:rPr>
                                <w:sz w:val="18"/>
                              </w:rPr>
                              <w:t>dvanced ICT Course</w:t>
                            </w:r>
                          </w:p>
                          <w:p w14:paraId="71DF003F" w14:textId="05119A90" w:rsidR="00A8336D" w:rsidRDefault="00A8336D" w:rsidP="00864FB2">
                            <w:pPr>
                              <w:jc w:val="center"/>
                              <w:rPr>
                                <w:sz w:val="18"/>
                              </w:rPr>
                            </w:pPr>
                            <w:r>
                              <w:rPr>
                                <w:rFonts w:hint="eastAsia"/>
                                <w:sz w:val="18"/>
                              </w:rPr>
                              <w:t>I</w:t>
                            </w:r>
                            <w:r>
                              <w:rPr>
                                <w:sz w:val="18"/>
                              </w:rPr>
                              <w:t>nformation Design Course</w:t>
                            </w:r>
                          </w:p>
                          <w:p w14:paraId="0F632A82" w14:textId="3F95C4CF" w:rsidR="008F20E4" w:rsidRDefault="008F20E4" w:rsidP="00864FB2">
                            <w:pPr>
                              <w:jc w:val="center"/>
                              <w:rPr>
                                <w:sz w:val="18"/>
                              </w:rPr>
                            </w:pPr>
                            <w:r>
                              <w:rPr>
                                <w:rFonts w:hint="eastAsia"/>
                                <w:sz w:val="18"/>
                              </w:rPr>
                              <w:t>C</w:t>
                            </w:r>
                            <w:r>
                              <w:rPr>
                                <w:sz w:val="18"/>
                              </w:rPr>
                              <w:t>omplex Systems Course</w:t>
                            </w:r>
                          </w:p>
                          <w:p w14:paraId="6FAC1CDA" w14:textId="24F18A15" w:rsidR="008F20E4" w:rsidRPr="008F20E4" w:rsidRDefault="008F20E4" w:rsidP="00864FB2">
                            <w:pPr>
                              <w:jc w:val="center"/>
                              <w:rPr>
                                <w:sz w:val="18"/>
                              </w:rPr>
                            </w:pPr>
                            <w:r>
                              <w:rPr>
                                <w:rFonts w:hint="eastAsia"/>
                                <w:sz w:val="18"/>
                              </w:rPr>
                              <w:t>I</w:t>
                            </w:r>
                            <w:r>
                              <w:rPr>
                                <w:sz w:val="18"/>
                              </w:rPr>
                              <w:t>ntelligent Systems Course</w:t>
                            </w:r>
                          </w:p>
                          <w:p w14:paraId="088E0199" w14:textId="77777777" w:rsidR="00A8336D" w:rsidRPr="008F20E4" w:rsidRDefault="00A8336D" w:rsidP="00864FB2">
                            <w:pPr>
                              <w:jc w:val="cente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F55E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left:0;text-align:left;margin-left:328.1pt;margin-top:11.95pt;width:182.5pt;height:1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" adj="8275,-7165" fillcolor="#a7bfde [1620]" strokecolor="#4579b8 [3044]">
                <v:fill color2="#e4ecf5 [500]" rotate="t" angle="180" colors="0 #a3c4ff;22938f #bfd5ff;1 #e5eeff" focus="100%" type="gradient"/>
                <v:shadow on="t" color="black" opacity="24903f" origin=",.5" offset="0,.55556mm"/>
                <v:textbox>
                  <w:txbxContent>
                    <w:p w14:paraId="04BBCDBA" w14:textId="0C73B997" w:rsidR="00864FB2" w:rsidRPr="008F20E4" w:rsidRDefault="00864FB2" w:rsidP="00864FB2">
                      <w:pPr>
                        <w:jc w:val="center"/>
                        <w:rPr>
                          <w:sz w:val="18"/>
                        </w:rPr>
                      </w:pPr>
                      <w:r>
                        <w:rPr>
                          <w:rFonts w:hint="eastAsia"/>
                          <w:sz w:val="18"/>
                        </w:rPr>
                        <w:t>所属コースに応じてヘッダを編集</w:t>
                      </w:r>
                    </w:p>
                    <w:p w14:paraId="4EA38FC6" w14:textId="284AEB2C" w:rsidR="00A8336D" w:rsidRPr="008F20E4" w:rsidRDefault="00A8336D" w:rsidP="00864FB2">
                      <w:pPr>
                        <w:jc w:val="center"/>
                        <w:rPr>
                          <w:sz w:val="18"/>
                        </w:rPr>
                      </w:pPr>
                      <w:r>
                        <w:rPr>
                          <w:rFonts w:hint="eastAsia"/>
                          <w:sz w:val="18"/>
                        </w:rPr>
                        <w:t>I</w:t>
                      </w:r>
                      <w:r>
                        <w:rPr>
                          <w:sz w:val="18"/>
                        </w:rPr>
                        <w:t>nformation Systems Course</w:t>
                      </w:r>
                    </w:p>
                    <w:p w14:paraId="5D2CD219" w14:textId="79DEC2AB" w:rsidR="00A8336D" w:rsidRPr="008F20E4" w:rsidRDefault="00A8336D" w:rsidP="00864FB2">
                      <w:pPr>
                        <w:jc w:val="center"/>
                        <w:rPr>
                          <w:sz w:val="18"/>
                        </w:rPr>
                      </w:pPr>
                      <w:r>
                        <w:rPr>
                          <w:rFonts w:hint="eastAsia"/>
                          <w:sz w:val="18"/>
                        </w:rPr>
                        <w:t>A</w:t>
                      </w:r>
                      <w:r>
                        <w:rPr>
                          <w:sz w:val="18"/>
                        </w:rPr>
                        <w:t>dvanced ICT Course</w:t>
                      </w:r>
                    </w:p>
                    <w:p w14:paraId="71DF003F" w14:textId="05119A90" w:rsidR="00A8336D" w:rsidRDefault="00A8336D" w:rsidP="00864FB2">
                      <w:pPr>
                        <w:jc w:val="center"/>
                        <w:rPr>
                          <w:sz w:val="18"/>
                        </w:rPr>
                      </w:pPr>
                      <w:r>
                        <w:rPr>
                          <w:rFonts w:hint="eastAsia"/>
                          <w:sz w:val="18"/>
                        </w:rPr>
                        <w:t>I</w:t>
                      </w:r>
                      <w:r>
                        <w:rPr>
                          <w:sz w:val="18"/>
                        </w:rPr>
                        <w:t>nformation Design Course</w:t>
                      </w:r>
                    </w:p>
                    <w:p w14:paraId="0F632A82" w14:textId="3F95C4CF" w:rsidR="008F20E4" w:rsidRDefault="008F20E4" w:rsidP="00864FB2">
                      <w:pPr>
                        <w:jc w:val="center"/>
                        <w:rPr>
                          <w:sz w:val="18"/>
                        </w:rPr>
                      </w:pPr>
                      <w:r>
                        <w:rPr>
                          <w:rFonts w:hint="eastAsia"/>
                          <w:sz w:val="18"/>
                        </w:rPr>
                        <w:t>C</w:t>
                      </w:r>
                      <w:r>
                        <w:rPr>
                          <w:sz w:val="18"/>
                        </w:rPr>
                        <w:t>omplex Systems Course</w:t>
                      </w:r>
                    </w:p>
                    <w:p w14:paraId="6FAC1CDA" w14:textId="24F18A15" w:rsidR="008F20E4" w:rsidRPr="008F20E4" w:rsidRDefault="008F20E4" w:rsidP="00864FB2">
                      <w:pPr>
                        <w:jc w:val="center"/>
                        <w:rPr>
                          <w:sz w:val="18"/>
                        </w:rPr>
                      </w:pPr>
                      <w:r>
                        <w:rPr>
                          <w:rFonts w:hint="eastAsia"/>
                          <w:sz w:val="18"/>
                        </w:rPr>
                        <w:t>I</w:t>
                      </w:r>
                      <w:r>
                        <w:rPr>
                          <w:sz w:val="18"/>
                        </w:rPr>
                        <w:t>ntelligent Systems Course</w:t>
                      </w:r>
                    </w:p>
                    <w:p w14:paraId="088E0199" w14:textId="77777777" w:rsidR="00A8336D" w:rsidRPr="008F20E4" w:rsidRDefault="00A8336D" w:rsidP="00864FB2">
                      <w:pPr>
                        <w:jc w:val="center"/>
                        <w:rPr>
                          <w:sz w:val="18"/>
                        </w:rPr>
                      </w:pPr>
                    </w:p>
                  </w:txbxContent>
                </v:textbox>
              </v:shape>
            </w:pict>
          </mc:Fallback>
        </mc:AlternateContent>
      </w:r>
      <w:r>
        <w:rPr>
          <w:rFonts w:asciiTheme="majorEastAsia" w:eastAsiaTheme="majorEastAsia" w:hAnsiTheme="majorEastAsia"/>
          <w:b/>
          <w:bCs/>
          <w:sz w:val="28"/>
        </w:rPr>
        <w:t>AIとの対話を通して省察的思考を促すプログラミング学習支援システムの開発</w:t>
      </w:r>
    </w:p>
    <w:p w14:paraId="27E6BA53" w14:textId="2ADFE77D" w:rsidR="00E462C2" w:rsidRPr="00C04BAC" w:rsidRDefault="004222F4" w:rsidP="00202985">
      <w:pPr>
        <w:jc w:val="center"/>
        <w:rPr>
          <w:rFonts w:ascii="Times New Roman" w:eastAsiaTheme="minorEastAsia" w:hAnsi="Times New Roman"/>
          <w:sz w:val="24"/>
        </w:rPr>
      </w:pPr>
      <w:r>
        <w:rPr>
          <w:rFonts w:ascii="Times New Roman" w:eastAsiaTheme="minorEastAsia" w:hAnsi="Times New Roman"/>
          <w:sz w:val="24"/>
          <w:highlight w:val="yellow"/>
        </w:rPr>
        <w:t xml:space="preserve">【学籍番号】　【氏名】</w:t>
      </w:r>
    </w:p>
    <w:p w14:paraId="27E6BA54" w14:textId="77777777" w:rsidR="00175183" w:rsidRPr="00C04BAC" w:rsidRDefault="004222F4" w:rsidP="00202985">
      <w:pPr>
        <w:jc w:val="center"/>
        <w:rPr>
          <w:rFonts w:ascii="Times New Roman" w:eastAsiaTheme="minorEastAsia" w:hAnsi="Times New Roman"/>
          <w:b/>
          <w:bCs/>
          <w:sz w:val="28"/>
        </w:rPr>
      </w:pPr>
      <w:r>
        <w:rPr>
          <w:rFonts w:ascii="Times New Roman" w:eastAsiaTheme="minorEastAsia" w:hAnsi="Times New Roman"/>
          <w:sz w:val="24"/>
        </w:rPr>
        <w:t>指導教員：</w:t>
      </w:r>
      <w:r>
        <w:rPr>
          <w:rFonts w:ascii="Times New Roman" w:eastAsiaTheme="minorEastAsia" w:hAnsi="Times New Roman"/>
          <w:sz w:val="24"/>
          <w:szCs w:val="24"/>
          <w:highlight w:val="yellow"/>
        </w:rPr>
        <w:t xml:space="preserve">【指導教員名】</w:t>
      </w:r>
    </w:p>
    <w:p w14:paraId="27E6BA55" w14:textId="77777777" w:rsidR="00202985" w:rsidRPr="00C04BAC" w:rsidRDefault="00175183" w:rsidP="00202985">
      <w:pPr>
        <w:jc w:val="center"/>
        <w:rPr>
          <w:rFonts w:ascii="Times New Roman" w:eastAsiaTheme="minorEastAsia" w:hAnsi="Times New Roman"/>
          <w:b/>
          <w:bCs/>
          <w:sz w:val="28"/>
        </w:rPr>
      </w:pPr>
      <w:r>
        <w:rPr>
          <w:rFonts w:ascii="Times New Roman" w:eastAsiaTheme="minorEastAsia" w:hAnsi="Times New Roman"/>
          <w:b/>
          <w:bCs/>
          <w:sz w:val="28"/>
        </w:rPr>
        <w:t xml:space="preserve">Development of a Programming Learning Support System that Encourages Reflective Thinking through Dialogue with AI</w:t>
      </w:r>
    </w:p>
    <w:p w14:paraId="27E6BA56" w14:textId="1DF06094" w:rsidR="00175183" w:rsidRPr="00C04BAC" w:rsidRDefault="000827AC" w:rsidP="00202985">
      <w:pPr>
        <w:jc w:val="center"/>
        <w:rPr>
          <w:rFonts w:ascii="Times New Roman" w:eastAsiaTheme="minorEastAsia" w:hAnsi="Times New Roman"/>
          <w:b/>
          <w:bCs/>
          <w:sz w:val="28"/>
        </w:rPr>
      </w:pPr>
      <w:r>
        <w:rPr>
          <w:rFonts w:ascii="Times New Roman" w:eastAsiaTheme="minorEastAsia" w:hAnsi="Times New Roman"/>
          <w:sz w:val="24"/>
          <w:highlight w:val="yellow"/>
        </w:rPr>
        <w:t xml:space="preserve">【氏名（ローマ字）】</w:t>
      </w:r>
    </w:p>
    <w:p w14:paraId="27E6BA57" w14:textId="77777777" w:rsidR="00175183" w:rsidRPr="00C04BAC" w:rsidRDefault="0076669F">
      <w:pPr>
        <w:rPr>
          <w:rFonts w:ascii="Times New Roman" w:eastAsiaTheme="minorEastAsia" w:hAnsi="Times New Roman"/>
          <w:color w:val="00B050"/>
          <w:sz w:val="20"/>
        </w:rPr>
      </w:pPr>
      <w:r>
        <w:rPr>
          <w:rFonts w:ascii="Times New Roman" w:eastAsiaTheme="minorEastAsia" w:hAnsi="Times New Roman"/>
          <w:color w:val="00B050"/>
          <w:sz w:val="20"/>
        </w:rPr>
        <w:t/>
      </w:r>
    </w:p>
    <w:p w14:paraId="27E6BA58" w14:textId="77777777" w:rsidR="004222F4" w:rsidRPr="00C04BAC" w:rsidRDefault="004222F4">
      <w:pPr>
        <w:rPr>
          <w:rFonts w:ascii="Times New Roman" w:eastAsiaTheme="minorEastAsia" w:hAnsi="Times New Roman"/>
          <w:sz w:val="20"/>
        </w:rPr>
      </w:pPr>
      <w:r>
        <w:rPr>
          <w:rFonts w:ascii="Times New Roman" w:eastAsiaTheme="minorEastAsia" w:hAnsi="Times New Roman"/>
          <w:sz w:val="20"/>
        </w:rPr>
        <w:t>概要：本研究では，学習者が予想と実行結果の違いから自分の判断を見直し，根拠をもって修正する省察的思考を，AIとの対話によって促すプログラミング学習支援システムを開発する．中山ら(2019)は，ペア対話と全体対話を取り入れたプログラミング学習により省察的思考が育成されることを示した．本研究ではこの対話相手を大規模言語モデル(LLM)に置き換え，同様の効果が得られるかを検証する．課題には，大学生向けに，2つの自習室で1台の換気装置を共有する制御を設計する問題を用いる．学習は個人思考，AIとのペア対話，実行確認，3つのAIグループと司会AIによる全体対話の4フェーズで構成する．実行結果の判定と説明はシステムが行い，LLMは省察を促す短い問いのみを生成する．現在までにシステムの実装を終えており，今後は予備実験で課題と時間配分を調整したうえで本実験を行う．</w:t>
      </w:r>
    </w:p>
    <w:p w14:paraId="27E6BA59" w14:textId="77777777" w:rsidR="0076669F" w:rsidRPr="00C04BAC" w:rsidRDefault="0076669F" w:rsidP="0076669F">
      <w:pPr>
        <w:rPr>
          <w:rFonts w:ascii="Times New Roman" w:eastAsiaTheme="minorEastAsia" w:hAnsi="Times New Roman"/>
          <w:color w:val="00B050"/>
          <w:sz w:val="20"/>
        </w:rPr>
      </w:pPr>
      <w:r>
        <w:rPr>
          <w:rFonts w:ascii="Times New Roman" w:eastAsiaTheme="minorEastAsia" w:hAnsi="Times New Roman"/>
          <w:color w:val="00B050"/>
          <w:sz w:val="20"/>
        </w:rPr>
        <w:t/>
      </w:r>
    </w:p>
    <w:p w14:paraId="27E6BA5A" w14:textId="77777777" w:rsidR="004222F4" w:rsidRPr="00C04BAC" w:rsidRDefault="004222F4">
      <w:pPr>
        <w:rPr>
          <w:rFonts w:ascii="Times New Roman" w:eastAsiaTheme="minorEastAsia" w:hAnsi="Times New Roman"/>
          <w:sz w:val="20"/>
        </w:rPr>
      </w:pPr>
      <w:r>
        <w:rPr>
          <w:rFonts w:ascii="Times New Roman" w:eastAsiaTheme="minorEastAsia" w:hAnsi="Times New Roman"/>
          <w:sz w:val="20"/>
        </w:rPr>
        <w:t>キーワード：省察的思考，プログラミング教育，大規模言語モデル，対話による学習支援</w:t>
      </w:r>
    </w:p>
    <w:p w14:paraId="27E6BA5B" w14:textId="77777777" w:rsidR="0076669F" w:rsidRPr="00C04BAC" w:rsidRDefault="0076669F" w:rsidP="0076669F">
      <w:pPr>
        <w:rPr>
          <w:rFonts w:ascii="Times New Roman" w:eastAsiaTheme="minorEastAsia" w:hAnsi="Times New Roman"/>
          <w:color w:val="00B050"/>
          <w:sz w:val="20"/>
        </w:rPr>
      </w:pPr>
      <w:r>
        <w:rPr>
          <w:rFonts w:ascii="Times New Roman" w:eastAsiaTheme="minorEastAsia" w:hAnsi="Times New Roman"/>
          <w:color w:val="00B050"/>
          <w:sz w:val="20"/>
        </w:rPr>
        <w:t/>
      </w:r>
    </w:p>
    <w:p w14:paraId="27E6BA5C" w14:textId="77777777" w:rsidR="00175183" w:rsidRPr="00C04BAC" w:rsidRDefault="00175183">
      <w:pPr>
        <w:rPr>
          <w:rFonts w:ascii="Times New Roman" w:eastAsiaTheme="minorEastAsia" w:hAnsi="Times New Roman"/>
        </w:rPr>
      </w:pPr>
      <w:r>
        <w:rPr>
          <w:rFonts w:ascii="Times New Roman" w:eastAsiaTheme="minorEastAsia" w:hAnsi="Times New Roman"/>
          <w:b/>
          <w:bCs/>
        </w:rPr>
        <w:t>Abstract:</w:t>
      </w:r>
      <w:r>
        <w:rPr>
          <w:rFonts w:ascii="Times New Roman" w:eastAsiaTheme="minorEastAsia" w:hAnsi="Times New Roman"/>
        </w:rPr>
        <w:t xml:space="preserve"> This study develops a programming learning support system that encourages reflective thinking, in which learners compare their predictions with execution results and revise their programs with reasons, through dialogue with AI. Nakayama et al. (2019) showed that programming lessons with pair and whole-class discussions foster reflective thinking. We replace these human dialogue partners with a large language model (LLM) and examine whether a similar effect can be obtained. The task, designed for university students, asks learners to design control rules for one ventilation unit shared by two study rooms. Learning consists of four phases: individual thinking, pair dialogue with AI, execution and checking, and group dialogue with three AI groups and an AI facilitator. The system evaluates and explains execution results, while the LLM only generates short questions that prompt reflection. The implementation is complete, and a pilot study will refine the task and time allocation before the main experiment.</w:t>
      </w:r>
    </w:p>
    <w:p w14:paraId="27E6BA5D" w14:textId="77777777" w:rsidR="0076669F" w:rsidRPr="00C04BAC" w:rsidRDefault="0076669F" w:rsidP="0076669F">
      <w:pPr>
        <w:rPr>
          <w:rFonts w:ascii="Times New Roman" w:eastAsiaTheme="minorEastAsia" w:hAnsi="Times New Roman"/>
          <w:color w:val="00B050"/>
          <w:sz w:val="20"/>
        </w:rPr>
      </w:pPr>
      <w:r>
        <w:rPr>
          <w:rFonts w:ascii="Times New Roman" w:eastAsiaTheme="minorEastAsia" w:hAnsi="Times New Roman"/>
          <w:color w:val="00B050"/>
          <w:sz w:val="20"/>
        </w:rPr>
        <w:t/>
      </w:r>
    </w:p>
    <w:p w14:paraId="27E6BA5E" w14:textId="77777777" w:rsidR="00175183" w:rsidRPr="00C04BAC" w:rsidRDefault="00175183">
      <w:pPr>
        <w:rPr>
          <w:rFonts w:ascii="Times New Roman" w:eastAsiaTheme="minorEastAsia" w:hAnsi="Times New Roman"/>
        </w:rPr>
      </w:pPr>
      <w:r>
        <w:rPr>
          <w:rFonts w:ascii="Times New Roman" w:eastAsiaTheme="minorEastAsia" w:hAnsi="Times New Roman"/>
          <w:b/>
          <w:bCs/>
        </w:rPr>
        <w:t>Keywords:</w:t>
      </w:r>
      <w:r>
        <w:rPr>
          <w:rFonts w:ascii="Times New Roman" w:eastAsiaTheme="minorEastAsia" w:hAnsi="Times New Roman"/>
        </w:rPr>
        <w:t xml:space="preserve"> Reflective Thinking, Programming Education, Large Language Model, Dialogue-based Learning Support</w:t>
      </w:r>
    </w:p>
    <w:p w14:paraId="27E6BA5F" w14:textId="77777777" w:rsidR="0076669F" w:rsidRPr="00C04BAC" w:rsidRDefault="0076669F" w:rsidP="0076669F">
      <w:pPr>
        <w:rPr>
          <w:rFonts w:ascii="Times New Roman" w:eastAsiaTheme="minorEastAsia" w:hAnsi="Times New Roman"/>
          <w:color w:val="00B050"/>
          <w:sz w:val="20"/>
        </w:rPr>
      </w:pPr>
      <w:r>
        <w:rPr>
          <w:rFonts w:ascii="Times New Roman" w:eastAsiaTheme="minorEastAsia" w:hAnsi="Times New Roman"/>
          <w:color w:val="00B050"/>
          <w:sz w:val="20"/>
        </w:rPr>
        <w:t/>
      </w:r>
      <w:r>
        <w:rPr>
          <w:rFonts w:ascii="Times New Roman" w:eastAsiaTheme="minorEastAsia" w:hAnsi="Times New Roman" w:hint="eastAsia"/>
          <w:color w:val="00B050"/>
          <w:sz w:val="20"/>
        </w:rPr>
        <w:t/>
      </w:r>
      <w:r>
        <w:rPr>
          <w:rFonts w:ascii="Times New Roman" w:eastAsiaTheme="minorEastAsia" w:hAnsi="Times New Roman"/>
          <w:color w:val="00B050"/>
          <w:sz w:val="20"/>
        </w:rPr>
        <w:t/>
      </w:r>
    </w:p>
    <w:p w14:paraId="27E6BA60" w14:textId="77777777" w:rsidR="00175183" w:rsidRPr="00C04BAC" w:rsidRDefault="00175183">
      <w:pPr>
        <w:rPr>
          <w:rFonts w:ascii="Times New Roman" w:eastAsiaTheme="minorEastAsia" w:hAnsi="Times New Roman"/>
          <w:b/>
          <w:bCs/>
          <w:sz w:val="22"/>
        </w:rPr>
        <w:sectPr w:rsidR="00175183" w:rsidRPr="00C04BAC" w:rsidSect="006D425F">
          <w:headerReference w:type="default" r:id="rId8"/>
          <w:type w:val="continuous"/>
          <w:pgSz w:w="11906" w:h="16838" w:code="9"/>
          <w:pgMar w:top="1701" w:right="1418" w:bottom="1701" w:left="1418" w:header="851" w:footer="992" w:gutter="0"/>
          <w:cols w:space="425"/>
          <w:docGrid w:type="linesAndChars" w:linePitch="298" w:charSpace="1219"/>
        </w:sect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1　背景と目的</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プログラミング学習では，プログラムを作って動かすだけでなく，予想と実行結果の違いから自分の判断を振り返り，根拠をもって修正する省察的思考が重要である．中山ら[1]は，小学6年理科「電気の利用」単元のプログラミング学習にペア対話と全体対話を取り入れることで，省察的思考が育成されることを示した．</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一方，このような対話を行うには，対話相手となる他の学習者と，議論を整理する教員が必要である．大規模言語モデル(LLM)は，学習者の発言やプログラムに応じた問いを生成できるため，対話相手の役割を担える可能性がある．ただし，LLMが正解のプログラムを示すと，学習者自身が考える機会が失われる．</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そこで本研究では，中山ら[1]のペア対話と全体対話をAIとの対話に置き換えたプログラミング学習支援Webアプリケーションを開発し，AIとの対話でも同様に省察的思考が促されるかを検証することを目的とする．</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2　</w:t>
      </w:r>
      <w:r>
        <w:rPr>
          <w:rFonts w:asciiTheme="majorEastAsia" w:eastAsiaTheme="majorEastAsia" w:hAnsiTheme="majorEastAsia"/>
          <w:b/>
          <w:bCs/>
          <w:sz w:val="24"/>
          <w:szCs w:val="24"/>
          <w:highlight w:val="yellow"/>
        </w:rPr>
        <w:t xml:space="preserve">【コース名】</w:t>
      </w:r>
      <w:r>
        <w:rPr>
          <w:rFonts w:asciiTheme="majorEastAsia" w:eastAsiaTheme="majorEastAsia" w:hAnsiTheme="majorEastAsia"/>
          <w:b/>
          <w:bCs/>
          <w:sz w:val="24"/>
          <w:szCs w:val="24"/>
        </w:rPr>
        <w:t xml:space="preserve">における本研究の位置づけ</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highlight w:val="yellow"/>
        </w:rPr>
        <w:t xml:space="preserve">【要記入】所属コースのカリキュラム・ポリシー</w:t>
      </w:r>
      <w:r>
        <w:rPr>
          <w:rStyle w:val="aa"/>
          <w:rFonts w:asciiTheme="minorEastAsia" w:eastAsiaTheme="minorEastAsia" w:hAnsiTheme="minorEastAsia"/>
          <w:bCs/>
          <w:sz w:val="20"/>
          <w:szCs w:val="20"/>
        </w:rPr>
        <w:footnoteReference w:id="1"/>
      </w:r>
      <w:r>
        <w:rPr>
          <w:rFonts w:ascii="Times New Roman" w:eastAsiaTheme="minorEastAsia" w:hAnsi="Times New Roman"/>
          <w:sz w:val="20"/>
          <w:szCs w:val="20"/>
          <w:highlight w:val="yellow"/>
        </w:rPr>
        <w:t xml:space="preserve">のうち，卒業研究に関する記述を参照して書く．本研究は，学習課題の分析と設計，Webシステムの設計・実装，LLMの活用，利用者実験による評価を含むため，これらとコースの方針との対応を述べる．</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3　関連研究</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中山ら[1]は，人が来たら自動ドアが開き，暗いときだけチャイムが鳴る入口の制御プログラムを題材とした．暗いときに常にチャイムが鳴る，暗くならないとドアが開かないといった誤りを含むプログラムを，ペア対話と全体対話を通して検討することで，省察的思考が育成されることを示した．</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本研究はこの学習の流れを踏襲し，対話相手をLLMに置き換える点が異なる．また，対象を大学生とするため，課題の難易度を高めた(4.2節)．</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highlight w:val="yellow"/>
        </w:rPr>
        <w:t xml:space="preserve">【要追記】LLMを用いたプログラミング学習支援や，対話による省察の支援に関する先行研究と，本研究との違い．</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4　提案システム</w:t>
      </w:r>
    </w:p>
    <w:p>
      <w:pPr>
        <w:rPr>
          <w:rFonts w:asciiTheme="majorEastAsia" w:eastAsiaTheme="majorEastAsia" w:hAnsiTheme="majorEastAsia"/>
          <w:b/>
          <w:bCs/>
          <w:sz w:val="22"/>
        </w:rPr>
      </w:pPr>
      <w:r>
        <w:rPr>
          <w:rFonts w:asciiTheme="majorEastAsia" w:eastAsiaTheme="majorEastAsia" w:hAnsiTheme="majorEastAsia"/>
          <w:b/>
          <w:bCs/>
          <w:sz w:val="22"/>
          <w:szCs w:val="22"/>
        </w:rPr>
        <w:t xml:space="preserve">4.1　学習の流れ</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本システムは，中山ら[1]の授業展開にならい，表1の4フェーズで学習を進める．①では1人で条件と優先方針を考え，最初のプログラムを作る．②ではAIに判断の理由を説明し，見落とした場面を考える．③では実行前に装置の動作を予想してから1ステップずつ実行し，予想と結果を比べて修正する．④では，方針の異なるA・B・Cグループの案と自分の案を比べ，最終的な修正と振り返りを行う．②〜④ではAIとの対話を利用できる．</w:t>
      </w:r>
    </w:p>
    <w:p>
      <w:pPr>
        <w:rPr>
          <w:rFonts w:ascii="Times New Roman" w:eastAsiaTheme="minorEastAsia" w:hAnsi="Times New Roman"/>
          <w:sz w:val="20"/>
        </w:rPr>
      </w:pPr>
    </w:p>
    <w:p>
      <w:pPr>
        <w:jc w:val="center"/>
        <w:rPr>
          <w:rFonts w:asciiTheme="majorEastAsia" w:eastAsiaTheme="majorEastAsia" w:hAnsiTheme="majorEastAsia"/>
          <w:sz w:val="20"/>
        </w:rPr>
      </w:pPr>
      <w:r>
        <w:rPr>
          <w:rFonts w:asciiTheme="majorEastAsia" w:eastAsiaTheme="majorEastAsia" w:hAnsiTheme="majorEastAsia"/>
          <w:sz w:val="20"/>
          <w:szCs w:val="20"/>
        </w:rPr>
        <w:t xml:space="preserve">表1　学習の4フェーズと時間配分（案）</w:t>
      </w:r>
    </w:p>
    <w:tbl>
      <w:tblPr>
        <w:tblW w:w="4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560"/>
        <w:gridCol w:w="560"/>
        <w:gridCol w:w="2180"/>
      </w:tblGrid>
      <w:tr>
        <w:tc>
          <w:tcPr>
            <w:tcW w:w="1560" w:type="dxa"/>
            <w:shd w:val="clear" w:color="auto" w:fill="E7E6E6"/>
          </w:tcPr>
          <w:p>
            <w:pPr>
              <w:snapToGrid w:val="false"/>
              <w:rPr>
                <w:rFonts w:asciiTheme="majorEastAsia" w:eastAsiaTheme="majorEastAsia" w:hAnsiTheme="majorEastAsia"/>
                <w:sz w:val="20"/>
              </w:rPr>
            </w:pPr>
            <w:r>
              <w:rPr>
                <w:rFonts w:asciiTheme="majorEastAsia" w:eastAsiaTheme="majorEastAsia" w:hAnsiTheme="majorEastAsia"/>
                <w:sz w:val="20"/>
                <w:szCs w:val="20"/>
              </w:rPr>
              <w:t xml:space="preserve">フェーズ</w:t>
            </w:r>
          </w:p>
        </w:tc>
        <w:tc>
          <w:tcPr>
            <w:tcW w:w="560" w:type="dxa"/>
            <w:shd w:val="clear" w:color="auto" w:fill="E7E6E6"/>
          </w:tcPr>
          <w:p>
            <w:pPr>
              <w:snapToGrid w:val="false"/>
              <w:rPr>
                <w:rFonts w:asciiTheme="majorEastAsia" w:eastAsiaTheme="majorEastAsia" w:hAnsiTheme="majorEastAsia"/>
                <w:sz w:val="20"/>
              </w:rPr>
            </w:pPr>
            <w:r>
              <w:rPr>
                <w:rFonts w:asciiTheme="majorEastAsia" w:eastAsiaTheme="majorEastAsia" w:hAnsiTheme="majorEastAsia"/>
                <w:sz w:val="20"/>
                <w:szCs w:val="20"/>
              </w:rPr>
              <w:t xml:space="preserve">時間</w:t>
            </w:r>
          </w:p>
        </w:tc>
        <w:tc>
          <w:tcPr>
            <w:tcW w:w="2180" w:type="dxa"/>
            <w:shd w:val="clear" w:color="auto" w:fill="E7E6E6"/>
          </w:tcPr>
          <w:p>
            <w:pPr>
              <w:snapToGrid w:val="false"/>
              <w:rPr>
                <w:rFonts w:asciiTheme="majorEastAsia" w:eastAsiaTheme="majorEastAsia" w:hAnsiTheme="majorEastAsia"/>
                <w:sz w:val="20"/>
              </w:rPr>
            </w:pPr>
            <w:r>
              <w:rPr>
                <w:rFonts w:asciiTheme="majorEastAsia" w:eastAsiaTheme="majorEastAsia" w:hAnsiTheme="majorEastAsia"/>
                <w:sz w:val="20"/>
                <w:szCs w:val="20"/>
              </w:rPr>
              <w:t xml:space="preserve">主な活動</w:t>
            </w:r>
          </w:p>
        </w:tc>
      </w:tr>
      <w:tr>
        <w:tc>
          <w:tcPr>
            <w:tcW w:w="1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① 1人で考える</w:t>
            </w:r>
          </w:p>
        </w:tc>
        <w:tc>
          <w:tcPr>
            <w:tcW w:w="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15分</w:t>
            </w:r>
          </w:p>
        </w:tc>
        <w:tc>
          <w:tcPr>
            <w:tcW w:w="218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条件と優先方針を考える</w:t>
            </w:r>
          </w:p>
        </w:tc>
      </w:tr>
      <w:tr>
        <w:tc>
          <w:tcPr>
            <w:tcW w:w="1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② ペアで対話する</w:t>
            </w:r>
          </w:p>
        </w:tc>
        <w:tc>
          <w:tcPr>
            <w:tcW w:w="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10分</w:t>
            </w:r>
          </w:p>
        </w:tc>
        <w:tc>
          <w:tcPr>
            <w:tcW w:w="218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AIに判断の理由を説明する</w:t>
            </w:r>
          </w:p>
        </w:tc>
      </w:tr>
      <w:tr>
        <w:tc>
          <w:tcPr>
            <w:tcW w:w="1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③ 実行して確認する</w:t>
            </w:r>
          </w:p>
        </w:tc>
        <w:tc>
          <w:tcPr>
            <w:tcW w:w="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20分</w:t>
            </w:r>
          </w:p>
        </w:tc>
        <w:tc>
          <w:tcPr>
            <w:tcW w:w="218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予想と結果を比べて修正する</w:t>
            </w:r>
          </w:p>
        </w:tc>
      </w:tr>
      <w:tr>
        <w:tc>
          <w:tcPr>
            <w:tcW w:w="1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④ 全体で対話する</w:t>
            </w:r>
          </w:p>
        </w:tc>
        <w:tc>
          <w:tcPr>
            <w:tcW w:w="56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15分</w:t>
            </w:r>
          </w:p>
        </w:tc>
        <w:tc>
          <w:tcPr>
            <w:tcW w:w="218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他の案と比べて振り返る</w:t>
            </w:r>
          </w:p>
        </w:tc>
      </w:tr>
    </w:tbl>
    <w:p>
      <w:pPr>
        <w:rPr>
          <w:rFonts w:ascii="Times New Roman" w:eastAsiaTheme="minorEastAsia" w:hAnsi="Times New Roman"/>
          <w:sz w:val="20"/>
        </w:rPr>
      </w:pPr>
    </w:p>
    <w:p>
      <w:pPr>
        <w:rPr>
          <w:rFonts w:asciiTheme="majorEastAsia" w:eastAsiaTheme="majorEastAsia" w:hAnsiTheme="majorEastAsia"/>
          <w:b/>
          <w:bCs/>
          <w:sz w:val="22"/>
        </w:rPr>
      </w:pPr>
      <w:r>
        <w:rPr>
          <w:rFonts w:asciiTheme="majorEastAsia" w:eastAsiaTheme="majorEastAsia" w:hAnsiTheme="majorEastAsia"/>
          <w:b/>
          <w:bCs/>
          <w:sz w:val="22"/>
          <w:szCs w:val="22"/>
        </w:rPr>
        <w:t xml:space="preserve">4.2　学習課題</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当初は中山ら[1]と同じ入口制御の課題を実装したが，入力が人の有無と昼夜の2つで，4つの場面を確かめれば済むため，大学生には易しすぎると考えた．そこで，大学の自習室A・Bで1台の換気装置を共有する制御の課題に変更した．学習者は各室の人の有無とCO₂濃度，点検モードを観測し，「A室を換気」「B室を換気」「停止」のいずれかを命令するルールを，換気要求の更新，部屋の選択，装置への命令の3段階で作る．</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装置には，同時に換気できない，2ステップ連続で運転した次は1ステップ停止する，別室への切り替えの間に1ステップ停止する，点検中は停止する，という制限がある．達成基準は表2のように数値で示し，換気を始める・終える条件や，濃度・待ち時間・継続のどれを優先するかは指定しない．達成後は，1,500ppm以上の有人室が換気を受けなかった延べ部屋ステップ数を，同じ入力で修正前より減らすことを求める．検証用の入力には，境界値，点検，同じ濃度の2室など8種類の経過を用意した．</w:t>
      </w:r>
    </w:p>
    <w:p>
      <w:pPr>
        <w:rPr>
          <w:rFonts w:ascii="Times New Roman" w:eastAsiaTheme="minorEastAsia" w:hAnsi="Times New Roman"/>
          <w:sz w:val="20"/>
        </w:rPr>
      </w:pPr>
    </w:p>
    <w:p>
      <w:pPr>
        <w:jc w:val="center"/>
        <w:rPr>
          <w:rFonts w:asciiTheme="majorEastAsia" w:eastAsiaTheme="majorEastAsia" w:hAnsiTheme="majorEastAsia"/>
          <w:sz w:val="20"/>
        </w:rPr>
      </w:pPr>
      <w:r>
        <w:rPr>
          <w:rFonts w:asciiTheme="majorEastAsia" w:eastAsiaTheme="majorEastAsia" w:hAnsiTheme="majorEastAsia"/>
          <w:sz w:val="20"/>
          <w:szCs w:val="20"/>
        </w:rPr>
        <w:t xml:space="preserve">表2　換気課題の達成基準</w:t>
      </w:r>
    </w:p>
    <w:tbl>
      <w:tblPr>
        <w:tblW w:w="4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000"/>
        <w:gridCol w:w="1300"/>
      </w:tblGrid>
      <w:tr>
        <w:tc>
          <w:tcPr>
            <w:tcW w:w="3000" w:type="dxa"/>
            <w:shd w:val="clear" w:color="auto" w:fill="E7E6E6"/>
          </w:tcPr>
          <w:p>
            <w:pPr>
              <w:snapToGrid w:val="false"/>
              <w:rPr>
                <w:rFonts w:asciiTheme="majorEastAsia" w:eastAsiaTheme="majorEastAsia" w:hAnsiTheme="majorEastAsia"/>
                <w:sz w:val="20"/>
              </w:rPr>
            </w:pPr>
            <w:r>
              <w:rPr>
                <w:rFonts w:asciiTheme="majorEastAsia" w:eastAsiaTheme="majorEastAsia" w:hAnsiTheme="majorEastAsia"/>
                <w:sz w:val="20"/>
                <w:szCs w:val="20"/>
              </w:rPr>
              <w:t xml:space="preserve">項目</w:t>
            </w:r>
          </w:p>
        </w:tc>
        <w:tc>
          <w:tcPr>
            <w:tcW w:w="1300" w:type="dxa"/>
            <w:shd w:val="clear" w:color="auto" w:fill="E7E6E6"/>
          </w:tcPr>
          <w:p>
            <w:pPr>
              <w:snapToGrid w:val="false"/>
              <w:rPr>
                <w:rFonts w:asciiTheme="majorEastAsia" w:eastAsiaTheme="majorEastAsia" w:hAnsiTheme="majorEastAsia"/>
                <w:sz w:val="20"/>
              </w:rPr>
            </w:pPr>
            <w:r>
              <w:rPr>
                <w:rFonts w:asciiTheme="majorEastAsia" w:eastAsiaTheme="majorEastAsia" w:hAnsiTheme="majorEastAsia"/>
                <w:sz w:val="20"/>
                <w:szCs w:val="20"/>
              </w:rPr>
              <w:t xml:space="preserve">基準</w:t>
            </w:r>
          </w:p>
        </w:tc>
      </w:tr>
      <w:tr>
        <w:tc>
          <w:tcPr>
            <w:tcW w:w="30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有人かつ1,000ppm以上の部屋の連続未対応時間</w:t>
            </w:r>
          </w:p>
        </w:tc>
        <w:tc>
          <w:tcPr>
            <w:tcW w:w="13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4ステップ以内</w:t>
            </w:r>
          </w:p>
        </w:tc>
      </w:tr>
      <w:tr>
        <w:tc>
          <w:tcPr>
            <w:tcW w:w="30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無人または800ppm以下の部屋への運転</w:t>
            </w:r>
          </w:p>
        </w:tc>
        <w:tc>
          <w:tcPr>
            <w:tcW w:w="13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0回</w:t>
            </w:r>
          </w:p>
        </w:tc>
      </w:tr>
      <w:tr>
        <w:tc>
          <w:tcPr>
            <w:tcW w:w="30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装置の制限への違反</w:t>
            </w:r>
          </w:p>
        </w:tc>
        <w:tc>
          <w:tcPr>
            <w:tcW w:w="1300" w:type="dxa"/>
          </w:tcPr>
          <w:p>
            <w:pPr>
              <w:snapToGrid w:val="false"/>
              <w:rPr>
                <w:rFonts w:ascii="Times New Roman" w:eastAsiaTheme="minorEastAsia" w:hAnsi="Times New Roman"/>
                <w:sz w:val="20"/>
              </w:rPr>
            </w:pPr>
            <w:r>
              <w:rPr>
                <w:rFonts w:ascii="Times New Roman" w:eastAsiaTheme="minorEastAsia" w:hAnsi="Times New Roman"/>
                <w:sz w:val="20"/>
                <w:szCs w:val="20"/>
              </w:rPr>
              <w:t xml:space="preserve">0回</w:t>
            </w:r>
          </w:p>
        </w:tc>
      </w:tr>
    </w:tbl>
    <w:p>
      <w:pPr>
        <w:rPr>
          <w:rFonts w:ascii="Times New Roman" w:eastAsiaTheme="minorEastAsia" w:hAnsi="Times New Roman"/>
          <w:sz w:val="20"/>
        </w:rPr>
      </w:pP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達成の判定は最後に実行した範囲での確認であり，すべての入力に対する正しさを保証するものではない．また，濃度は入力として与え，換気による濃度変化の物理計算は行わない．</w:t>
      </w:r>
    </w:p>
    <w:p>
      <w:pPr>
        <w:rPr>
          <w:rFonts w:ascii="Times New Roman" w:eastAsiaTheme="minorEastAsia" w:hAnsi="Times New Roman"/>
          <w:sz w:val="20"/>
        </w:rPr>
      </w:pPr>
    </w:p>
    <w:p>
      <w:pPr>
        <w:rPr>
          <w:rFonts w:asciiTheme="majorEastAsia" w:eastAsiaTheme="majorEastAsia" w:hAnsiTheme="majorEastAsia"/>
          <w:b/>
          <w:bCs/>
          <w:sz w:val="22"/>
        </w:rPr>
      </w:pPr>
      <w:r>
        <w:rPr>
          <w:rFonts w:asciiTheme="majorEastAsia" w:eastAsiaTheme="majorEastAsia" w:hAnsiTheme="majorEastAsia"/>
          <w:b/>
          <w:bCs/>
          <w:sz w:val="22"/>
          <w:szCs w:val="22"/>
        </w:rPr>
        <w:t xml:space="preserve">4.3　AIとの対話</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ペア対話では，LLMが学習者のプログラム，実行履歴，予想，修正理由を受け取り，具体的な場面に触れながら，予想・根拠・反例に関する問いを1つ返す．全体対話では，濃度の高い部屋を重視するA，待ち時間の長い部屋を重視するB，運転の継続と前回の要求の保持を重視するCの3グループと司会を，それぞれ独立したLLMの呼び出しで担当させる．A→B→Cの順に前の発言を踏まえて発言し，最後に司会が相違点を整理して問いかける．各グループの案は実際にシミュレーションで評価し，確認済みの結果を対話に示す．</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LLMが完成したプログラムを示さないよう，実行結果の判定と説明はシステムが生成し，LLMは省察を促す短い問いだけを生成する．生成に失敗した場合や形式に合わない応答の場合は，あらかじめ用意した補助応答を表示する．</w:t>
      </w:r>
    </w:p>
    <w:p>
      <w:pPr>
        <w:rPr>
          <w:rFonts w:ascii="Times New Roman" w:eastAsiaTheme="minorEastAsia" w:hAnsi="Times New Roman"/>
          <w:sz w:val="20"/>
        </w:rPr>
      </w:pPr>
    </w:p>
    <w:p>
      <w:pPr>
        <w:rPr>
          <w:rFonts w:asciiTheme="majorEastAsia" w:eastAsiaTheme="majorEastAsia" w:hAnsiTheme="majorEastAsia"/>
          <w:b/>
          <w:bCs/>
          <w:sz w:val="22"/>
        </w:rPr>
      </w:pPr>
      <w:r>
        <w:rPr>
          <w:rFonts w:asciiTheme="majorEastAsia" w:eastAsiaTheme="majorEastAsia" w:hAnsiTheme="majorEastAsia"/>
          <w:b/>
          <w:bCs/>
          <w:sz w:val="22"/>
          <w:szCs w:val="22"/>
        </w:rPr>
        <w:t xml:space="preserve">4.4　実装</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フロントエンドはVue 3，バックエンドはPythonのFastAPIで実装した(図1)．LLMはGemini APIとOllamaによるローカルLLMを共通のインタフェースで呼び出せるようにし，全体対話ではグループと司会ごとに異なるモデルを割り当てられる．ログには，実行前の予想，実行履歴，変更前後のプログラム，修正理由，対話内容，使用したLLMの情報をイベントIDとともに記録する．シミュレーションと対話のAPIについて47件の単体テストを作成し，すべて通過することを確認している．</w:t>
      </w:r>
    </w:p>
    <w:p>
      <w:pPr>
        <w:rPr>
          <w:rFonts w:ascii="Times New Roman" w:eastAsiaTheme="minorEastAsia" w:hAnsi="Times New Roman"/>
          <w:sz w:val="20"/>
        </w:rPr>
      </w:pPr>
    </w:p>
    <w:p>
      <w:pPr>
        <w:jc w:val="center"/>
        <w:rPr>
          <w:rFonts w:ascii="Times New Roman" w:eastAsiaTheme="minorEastAsia" w:hAnsi="Times New Roman"/>
          <w:sz w:val="20"/>
        </w:rPr>
      </w:pPr>
      <w:r>
        <w:rPr>
          <w:rFonts w:ascii="Times New Roman" w:eastAsiaTheme="minorEastAsia" w:hAnsi="Times New Roman"/>
          <w:sz w:val="20"/>
          <w:szCs w:val="20"/>
          <w:highlight w:val="yellow"/>
        </w:rPr>
        <w:t xml:space="preserve">【図1：学習画面のスクリーンショットを挿入】</w:t>
      </w:r>
    </w:p>
    <w:p>
      <w:pPr>
        <w:jc w:val="center"/>
        <w:rPr>
          <w:rFonts w:asciiTheme="majorEastAsia" w:eastAsiaTheme="majorEastAsia" w:hAnsiTheme="majorEastAsia"/>
          <w:sz w:val="20"/>
        </w:rPr>
      </w:pPr>
      <w:r>
        <w:rPr>
          <w:rFonts w:asciiTheme="majorEastAsia" w:eastAsiaTheme="majorEastAsia" w:hAnsiTheme="majorEastAsia"/>
          <w:sz w:val="20"/>
          <w:szCs w:val="20"/>
        </w:rPr>
        <w:t xml:space="preserve">図1　学習画面</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5　実験計画と評価方法</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講義でプログラミングに少し触れた大学生を対象に，1人90分の実験を計画している．内訳は，事前アンケート5分，課題と操作の説明・練習10分，表1の4フェーズ計60分，事後アンケート5分，予備時間10分である．</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評価には，システムが記録するログと事前・事後アンケートを用いる．ログからは，実行前の予想とその理由，修正の有無と修正理由，修正前後の改善指標の変化を分析し，根拠を伴う修正が行われたかを確認する．</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highlight w:val="yellow"/>
        </w:rPr>
        <w:t xml:space="preserve">【要検討】省察的思考の評価の観点・尺度，比較条件の有無，参加人数．</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6　現状と課題</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現在までに，換気課題，4フェーズの学習画面，AIとの対話，ログの記録と出力の実装を終えた．実験は未実施であり，記録されたログは動作確認のものに限られる．</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課題は3点ある．第一に，換気課題が大学生に適した難易度か，90分で4フェーズを終えられるかは確認できていない．第二に，全体対話では1ラウンドで最大4回LLMを呼び出すため，応答の待ち時間が学習の妨げにならないか確かめる必要がある．第三に，LLMの問いが正解を示さずに省察を促しているかを，生成された対話の内容から確かめる必要がある．</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7　結言と今後の予定</w:t>
      </w:r>
    </w:p>
    <w:p>
      <w:pPr>
        <w:ind w:firstLineChars="100" w:firstLine="206"/>
        <w:jc w:val="both"/>
        <w:rPr>
          <w:rFonts w:ascii="Times New Roman" w:eastAsiaTheme="minorEastAsia" w:hAnsi="Times New Roman"/>
          <w:sz w:val="20"/>
        </w:rPr>
      </w:pPr>
      <w:r>
        <w:rPr>
          <w:rFonts w:ascii="Times New Roman" w:eastAsiaTheme="minorEastAsia" w:hAnsi="Times New Roman"/>
          <w:sz w:val="20"/>
          <w:szCs w:val="20"/>
        </w:rPr>
        <w:t xml:space="preserve">本報告では，中山ら[1]のペア対話と全体対話をAIとの対話に置き換えたプログラミング学習支援システムについて，学習課題と対話の設計，および実装の現状を述べた．今後は予備実験を行い，課題の説明に必要な時間，根拠を伴う修正の有無，装置の制限の理解を確認して，課題と時間配分を調整する．そのうえで本実験を行い，ログとアンケートから省察的思考への効果を分析する．</w:t>
      </w:r>
    </w:p>
    <w:p>
      <w:pPr>
        <w:rPr>
          <w:rFonts w:ascii="Times New Roman" w:eastAsiaTheme="minorEastAsia" w:hAnsi="Times New Roman"/>
          <w:sz w:val="20"/>
        </w:rPr>
      </w:pPr>
    </w:p>
    <w:p>
      <w:pPr>
        <w:rPr>
          <w:rFonts w:asciiTheme="majorEastAsia" w:eastAsiaTheme="majorEastAsia" w:hAnsiTheme="majorEastAsia"/>
          <w:b/>
          <w:bCs/>
          <w:sz w:val="24"/>
        </w:rPr>
      </w:pPr>
      <w:r>
        <w:rPr>
          <w:rFonts w:asciiTheme="majorEastAsia" w:eastAsiaTheme="majorEastAsia" w:hAnsiTheme="majorEastAsia"/>
          <w:b/>
          <w:bCs/>
          <w:sz w:val="24"/>
          <w:szCs w:val="24"/>
        </w:rPr>
        <w:t xml:space="preserve">参考文献</w:t>
      </w:r>
    </w:p>
    <w:p>
      <w:pPr>
        <w:ind w:left="206" w:hangingChars="100" w:hanging="206"/>
        <w:rPr>
          <w:rFonts w:ascii="Times New Roman" w:eastAsiaTheme="minorEastAsia" w:hAnsi="Times New Roman"/>
          <w:sz w:val="20"/>
        </w:rPr>
      </w:pPr>
      <w:r>
        <w:rPr>
          <w:rFonts w:ascii="Times New Roman" w:eastAsiaTheme="minorEastAsia" w:hAnsi="Times New Roman"/>
          <w:sz w:val="20"/>
          <w:szCs w:val="20"/>
        </w:rPr>
        <w:t xml:space="preserve">[1] 中山貴司，川崎弘作，木下博義，プログラミング学習を通した批判的思考の育成に関する研究：小学6年理科「電気の利用」単元における省察的思考に着目して，日本教科教育学会誌，21(1)，53-67，2019．</w:t>
      </w:r>
    </w:p>
    <w:p>
      <w:pPr>
        <w:ind w:left="206" w:hangingChars="100" w:hanging="206"/>
        <w:rPr>
          <w:rFonts w:ascii="Times New Roman" w:eastAsiaTheme="minorEastAsia" w:hAnsi="Times New Roman"/>
          <w:sz w:val="20"/>
        </w:rPr>
      </w:pPr>
      <w:r>
        <w:rPr>
          <w:rFonts w:ascii="Times New Roman" w:eastAsiaTheme="minorEastAsia" w:hAnsi="Times New Roman"/>
          <w:sz w:val="20"/>
          <w:szCs w:val="20"/>
          <w:highlight w:val="yellow"/>
        </w:rPr>
        <w:t xml:space="preserve">[2] 【要追記】関連研究で挙げる文献．</w:t>
      </w:r>
    </w:p>
    <w:sectPr w:rsidR="00175183" w:rsidRPr="00C04BAC" w:rsidSect="006D425F">
      <w:type w:val="continuous"/>
      <w:pgSz w:w="11906" w:h="16838" w:code="9"/>
      <w:pgMar w:top="1701" w:right="1418" w:bottom="1701" w:left="1418" w:header="851" w:footer="992" w:gutter="0"/>
      <w:cols w:num="2" w:space="420"/>
      <w:docGrid w:type="linesAndChars" w:linePitch="298" w:charSpace="1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0AF4" w14:textId="77777777" w:rsidR="00C428A2" w:rsidRDefault="00C428A2">
      <w:r>
        <w:separator/>
      </w:r>
    </w:p>
  </w:endnote>
  <w:endnote w:type="continuationSeparator" w:id="0">
    <w:p w14:paraId="7110CF0C" w14:textId="77777777" w:rsidR="00C428A2" w:rsidRDefault="00C42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4076" w14:textId="77777777" w:rsidR="00C428A2" w:rsidRDefault="00C428A2">
      <w:r>
        <w:separator/>
      </w:r>
    </w:p>
  </w:footnote>
  <w:footnote w:type="continuationSeparator" w:id="0">
    <w:p w14:paraId="75528387" w14:textId="77777777" w:rsidR="00C428A2" w:rsidRDefault="00C428A2">
      <w:r>
        <w:continuationSeparator/>
      </w:r>
    </w:p>
  </w:footnote>
  <w:footnote w:id="1">
    <w:p w14:paraId="4FF2F2F6" w14:textId="455D5C54" w:rsidR="00926D65" w:rsidRDefault="00926D65">
      <w:pPr>
        <w:pStyle w:val="a9"/>
      </w:pPr>
      <w:r>
        <w:rPr>
          <w:rStyle w:val="aa"/>
        </w:rPr>
        <w:footnoteRef/>
      </w:r>
      <w:r>
        <w:t xml:space="preserve"> </w:t>
      </w:r>
      <w:r w:rsidR="004F001E" w:rsidRPr="004F001E">
        <w:t>https://www.fun.ac.jp/curriculum-policy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6BA88" w14:textId="77777777" w:rsidR="00175183" w:rsidRPr="003219B2" w:rsidRDefault="00175183">
    <w:pPr>
      <w:pStyle w:val="a7"/>
      <w:rPr>
        <w:rFonts w:ascii="Times New Roman" w:hAnsi="Times New Roman"/>
        <w:sz w:val="20"/>
        <w:szCs w:val="20"/>
      </w:rPr>
    </w:pPr>
    <w:r w:rsidRPr="003219B2">
      <w:rPr>
        <w:rFonts w:ascii="Times New Roman" w:hAnsi="Times New Roman"/>
        <w:sz w:val="20"/>
        <w:szCs w:val="20"/>
      </w:rPr>
      <w:t>F</w:t>
    </w:r>
    <w:r w:rsidR="00202985" w:rsidRPr="003219B2">
      <w:rPr>
        <w:rFonts w:ascii="Times New Roman" w:hAnsi="Times New Roman"/>
        <w:sz w:val="20"/>
        <w:szCs w:val="20"/>
      </w:rPr>
      <w:t>UN Graduation Study</w:t>
    </w:r>
  </w:p>
  <w:p w14:paraId="27E6BA89" w14:textId="77777777" w:rsidR="00175183" w:rsidRPr="003219B2" w:rsidRDefault="00202985" w:rsidP="003B363F">
    <w:pPr>
      <w:pStyle w:val="a7"/>
      <w:rPr>
        <w:rFonts w:ascii="Times New Roman" w:hAnsi="Times New Roman"/>
        <w:sz w:val="20"/>
        <w:szCs w:val="20"/>
      </w:rPr>
    </w:pPr>
    <w:r w:rsidRPr="003219B2">
      <w:rPr>
        <w:rFonts w:ascii="Times New Roman" w:hAnsi="Times New Roman"/>
        <w:sz w:val="20"/>
        <w:szCs w:val="20"/>
      </w:rPr>
      <w:t>Midterm</w:t>
    </w:r>
    <w:r w:rsidR="003219B2">
      <w:rPr>
        <w:rFonts w:ascii="Times New Roman" w:hAnsi="Times New Roman"/>
        <w:sz w:val="20"/>
        <w:szCs w:val="20"/>
      </w:rPr>
      <w:t xml:space="preserve"> Report</w:t>
    </w:r>
    <w:r w:rsidR="003219B2">
      <w:rPr>
        <w:rFonts w:ascii="Times New Roman" w:hAnsi="Times New Roman" w:hint="eastAsia"/>
        <w:sz w:val="20"/>
        <w:szCs w:val="20"/>
      </w:rPr>
      <w:t xml:space="preserve">                                                      </w:t>
    </w:r>
    <w:r w:rsidR="003B363F" w:rsidRPr="003219B2">
      <w:rPr>
        <w:rFonts w:ascii="Times New Roman" w:hAnsi="Times New Roman"/>
        <w:sz w:val="20"/>
        <w:szCs w:val="20"/>
      </w:rPr>
      <w:t>Information Systems Course</w:t>
    </w:r>
  </w:p>
  <w:p w14:paraId="27E6BA8A" w14:textId="77777777" w:rsidR="00175183" w:rsidRPr="003219B2" w:rsidRDefault="00175183">
    <w:pPr>
      <w:pStyle w:val="a7"/>
      <w:rPr>
        <w:rFonts w:ascii="Times New Roman" w:hAnsi="Times New Roman"/>
        <w:sz w:val="20"/>
        <w:szCs w:val="20"/>
      </w:rPr>
    </w:pPr>
    <w:r w:rsidRPr="003219B2">
      <w:rPr>
        <w:rFonts w:ascii="Times New Roman" w:hAnsi="Times New Roman"/>
        <w:sz w:val="20"/>
        <w:szCs w:val="20"/>
      </w:rPr>
      <w:t>_____________________________________________________________________________</w:t>
    </w:r>
    <w:r w:rsidR="00C04BAC" w:rsidRPr="003219B2">
      <w:rPr>
        <w:rFonts w:ascii="Times New Roman" w:hAnsi="Times New Roman"/>
        <w:sz w:val="20"/>
        <w:szCs w:val="20"/>
      </w:rPr>
      <w:t>_____</w:t>
    </w:r>
    <w:r w:rsidRPr="003219B2">
      <w:rPr>
        <w:rFonts w:ascii="Times New Roman" w:hAnsi="Times New Roman"/>
        <w:sz w:val="20"/>
        <w:szCs w:val="20"/>
      </w:rPr>
      <w:t>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7AD"/>
    <w:multiLevelType w:val="hybridMultilevel"/>
    <w:tmpl w:val="4F70F67C"/>
    <w:lvl w:ilvl="0" w:tplc="1AF2F9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0565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8"/>
  <w:drawingGridVerticalSpacing w:val="14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1526"/>
    <w:rsid w:val="00016D20"/>
    <w:rsid w:val="000827AC"/>
    <w:rsid w:val="000F5445"/>
    <w:rsid w:val="001440EF"/>
    <w:rsid w:val="00145D62"/>
    <w:rsid w:val="00167486"/>
    <w:rsid w:val="00175183"/>
    <w:rsid w:val="001A4395"/>
    <w:rsid w:val="00202985"/>
    <w:rsid w:val="002432D3"/>
    <w:rsid w:val="002826A1"/>
    <w:rsid w:val="002A291A"/>
    <w:rsid w:val="00303753"/>
    <w:rsid w:val="003219B2"/>
    <w:rsid w:val="003B363F"/>
    <w:rsid w:val="003C0F27"/>
    <w:rsid w:val="003E6B75"/>
    <w:rsid w:val="004222F4"/>
    <w:rsid w:val="0042767C"/>
    <w:rsid w:val="00434809"/>
    <w:rsid w:val="00471FFE"/>
    <w:rsid w:val="00482AA4"/>
    <w:rsid w:val="00496835"/>
    <w:rsid w:val="004F001E"/>
    <w:rsid w:val="00507427"/>
    <w:rsid w:val="005324DD"/>
    <w:rsid w:val="005C0139"/>
    <w:rsid w:val="00666605"/>
    <w:rsid w:val="006D425F"/>
    <w:rsid w:val="006D6995"/>
    <w:rsid w:val="006E42BA"/>
    <w:rsid w:val="0076669F"/>
    <w:rsid w:val="00771FC4"/>
    <w:rsid w:val="007844E7"/>
    <w:rsid w:val="00820994"/>
    <w:rsid w:val="0084203A"/>
    <w:rsid w:val="00864FB2"/>
    <w:rsid w:val="008C3FDA"/>
    <w:rsid w:val="008D5CAE"/>
    <w:rsid w:val="008D5D62"/>
    <w:rsid w:val="008F20E4"/>
    <w:rsid w:val="009258AA"/>
    <w:rsid w:val="00926D65"/>
    <w:rsid w:val="009274BC"/>
    <w:rsid w:val="009329F5"/>
    <w:rsid w:val="009378CF"/>
    <w:rsid w:val="00971D31"/>
    <w:rsid w:val="00A378D9"/>
    <w:rsid w:val="00A8336D"/>
    <w:rsid w:val="00AB66DF"/>
    <w:rsid w:val="00BD26BD"/>
    <w:rsid w:val="00BF41B3"/>
    <w:rsid w:val="00C04BAC"/>
    <w:rsid w:val="00C26FC8"/>
    <w:rsid w:val="00C428A2"/>
    <w:rsid w:val="00CA4773"/>
    <w:rsid w:val="00DB40FB"/>
    <w:rsid w:val="00DB669C"/>
    <w:rsid w:val="00DC09E1"/>
    <w:rsid w:val="00DD3970"/>
    <w:rsid w:val="00E3282B"/>
    <w:rsid w:val="00E462C2"/>
    <w:rsid w:val="00EC5710"/>
    <w:rsid w:val="00EF1526"/>
    <w:rsid w:val="00EF5242"/>
    <w:rsid w:val="00EF5E66"/>
    <w:rsid w:val="00F221C9"/>
    <w:rsid w:val="00FE14D6"/>
    <w:rsid w:val="00FF16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7E6BA52"/>
  <w15:docId w15:val="{FDC335D2-32A2-4AA3-9E21-C2CF73B3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rFonts w:eastAsia="ＭＳ ゴシック"/>
      <w:b/>
      <w:bCs/>
      <w:sz w:val="28"/>
    </w:rPr>
  </w:style>
  <w:style w:type="paragraph" w:styleId="2">
    <w:name w:val="heading 2"/>
    <w:basedOn w:val="a"/>
    <w:next w:val="a"/>
    <w:qFormat/>
    <w:pPr>
      <w:keepNext/>
      <w:jc w:val="center"/>
      <w:outlineLvl w:val="1"/>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20"/>
    </w:rPr>
  </w:style>
  <w:style w:type="character" w:styleId="a4">
    <w:name w:val="Hyperlink"/>
    <w:basedOn w:val="a0"/>
    <w:rPr>
      <w:color w:val="0000FF"/>
      <w:u w:val="single"/>
    </w:rPr>
  </w:style>
  <w:style w:type="character" w:styleId="a5">
    <w:name w:val="FollowedHyperlink"/>
    <w:basedOn w:val="a0"/>
    <w:rPr>
      <w:color w:val="800080"/>
      <w:u w:val="single"/>
    </w:rPr>
  </w:style>
  <w:style w:type="paragraph" w:styleId="a6">
    <w:name w:val="Body Text Indent"/>
    <w:basedOn w:val="a"/>
    <w:pPr>
      <w:ind w:firstLineChars="100" w:firstLine="200"/>
    </w:pPr>
    <w:rPr>
      <w:rFonts w:ascii="Times New Roman" w:hAnsi="Times New Roman"/>
      <w:sz w:val="20"/>
    </w:rPr>
  </w:style>
  <w:style w:type="paragraph" w:styleId="a7">
    <w:name w:val="header"/>
    <w:basedOn w:val="a"/>
    <w:pPr>
      <w:tabs>
        <w:tab w:val="center" w:pos="4252"/>
        <w:tab w:val="right" w:pos="8504"/>
      </w:tabs>
      <w:snapToGrid w:val="0"/>
    </w:pPr>
  </w:style>
  <w:style w:type="paragraph" w:styleId="a8">
    <w:name w:val="footer"/>
    <w:basedOn w:val="a"/>
    <w:pPr>
      <w:tabs>
        <w:tab w:val="center" w:pos="4252"/>
        <w:tab w:val="right" w:pos="8504"/>
      </w:tabs>
      <w:snapToGrid w:val="0"/>
    </w:pPr>
  </w:style>
  <w:style w:type="paragraph" w:styleId="a9">
    <w:name w:val="footnote text"/>
    <w:basedOn w:val="a"/>
    <w:semiHidden/>
    <w:pPr>
      <w:snapToGrid w:val="0"/>
      <w:jc w:val="left"/>
    </w:pPr>
  </w:style>
  <w:style w:type="character" w:styleId="aa">
    <w:name w:val="footnote reference"/>
    <w:basedOn w:val="a0"/>
    <w:semiHidden/>
    <w:rPr>
      <w:vertAlign w:val="superscript"/>
    </w:rPr>
  </w:style>
  <w:style w:type="character" w:styleId="ab">
    <w:name w:val="annotation reference"/>
    <w:basedOn w:val="a0"/>
    <w:semiHidden/>
    <w:unhideWhenUsed/>
    <w:rsid w:val="00864FB2"/>
    <w:rPr>
      <w:sz w:val="18"/>
      <w:szCs w:val="18"/>
    </w:rPr>
  </w:style>
  <w:style w:type="paragraph" w:styleId="ac">
    <w:name w:val="annotation text"/>
    <w:basedOn w:val="a"/>
    <w:link w:val="ad"/>
    <w:semiHidden/>
    <w:unhideWhenUsed/>
    <w:rsid w:val="00864FB2"/>
    <w:pPr>
      <w:jc w:val="left"/>
    </w:pPr>
  </w:style>
  <w:style w:type="character" w:customStyle="1" w:styleId="ad">
    <w:name w:val="コメント文字列 (文字)"/>
    <w:basedOn w:val="a0"/>
    <w:link w:val="ac"/>
    <w:semiHidden/>
    <w:rsid w:val="00864FB2"/>
    <w:rPr>
      <w:kern w:val="2"/>
      <w:sz w:val="21"/>
      <w:szCs w:val="24"/>
    </w:rPr>
  </w:style>
  <w:style w:type="paragraph" w:styleId="ae">
    <w:name w:val="annotation subject"/>
    <w:basedOn w:val="ac"/>
    <w:next w:val="ac"/>
    <w:link w:val="af"/>
    <w:semiHidden/>
    <w:unhideWhenUsed/>
    <w:rsid w:val="00864FB2"/>
    <w:rPr>
      <w:b/>
      <w:bCs/>
    </w:rPr>
  </w:style>
  <w:style w:type="character" w:customStyle="1" w:styleId="af">
    <w:name w:val="コメント内容 (文字)"/>
    <w:basedOn w:val="ad"/>
    <w:link w:val="ae"/>
    <w:semiHidden/>
    <w:rsid w:val="00864FB2"/>
    <w:rPr>
      <w:b/>
      <w:bCs/>
      <w:kern w:val="2"/>
      <w:sz w:val="21"/>
      <w:szCs w:val="24"/>
    </w:rPr>
  </w:style>
  <w:style w:type="paragraph" w:styleId="af0">
    <w:name w:val="Balloon Text"/>
    <w:basedOn w:val="a"/>
    <w:link w:val="af1"/>
    <w:rsid w:val="00864FB2"/>
    <w:rPr>
      <w:rFonts w:asciiTheme="majorHAnsi" w:eastAsiaTheme="majorEastAsia" w:hAnsiTheme="majorHAnsi" w:cstheme="majorBidi"/>
      <w:sz w:val="18"/>
      <w:szCs w:val="18"/>
    </w:rPr>
  </w:style>
  <w:style w:type="character" w:customStyle="1" w:styleId="af1">
    <w:name w:val="吹き出し (文字)"/>
    <w:basedOn w:val="a0"/>
    <w:link w:val="af0"/>
    <w:rsid w:val="00864FB2"/>
    <w:rPr>
      <w:rFonts w:asciiTheme="majorHAnsi" w:eastAsiaTheme="majorEastAsia" w:hAnsiTheme="majorHAnsi" w:cstheme="majorBidi"/>
      <w:kern w:val="2"/>
      <w:sz w:val="18"/>
      <w:szCs w:val="18"/>
    </w:rPr>
  </w:style>
  <w:style w:type="character" w:styleId="af2">
    <w:name w:val="Placeholder Text"/>
    <w:basedOn w:val="a0"/>
    <w:uiPriority w:val="99"/>
    <w:semiHidden/>
    <w:rsid w:val="00EF52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3717">
      <w:bodyDiv w:val="1"/>
      <w:marLeft w:val="0"/>
      <w:marRight w:val="0"/>
      <w:marTop w:val="0"/>
      <w:marBottom w:val="0"/>
      <w:divBdr>
        <w:top w:val="none" w:sz="0" w:space="0" w:color="auto"/>
        <w:left w:val="none" w:sz="0" w:space="0" w:color="auto"/>
        <w:bottom w:val="none" w:sz="0" w:space="0" w:color="auto"/>
        <w:right w:val="none" w:sz="0" w:space="0" w:color="auto"/>
      </w:divBdr>
    </w:div>
    <w:div w:id="518741495">
      <w:bodyDiv w:val="1"/>
      <w:marLeft w:val="0"/>
      <w:marRight w:val="0"/>
      <w:marTop w:val="0"/>
      <w:marBottom w:val="0"/>
      <w:divBdr>
        <w:top w:val="none" w:sz="0" w:space="0" w:color="auto"/>
        <w:left w:val="none" w:sz="0" w:space="0" w:color="auto"/>
        <w:bottom w:val="none" w:sz="0" w:space="0" w:color="auto"/>
        <w:right w:val="none" w:sz="0" w:space="0" w:color="auto"/>
      </w:divBdr>
    </w:div>
    <w:div w:id="197979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7F080-5B3C-4239-BAD1-AF842BA80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199</Words>
  <Characters>1135</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中間報告書</vt:lpstr>
      <vt:lpstr>特別研究費成果報告書雛形</vt:lpstr>
    </vt:vector>
  </TitlesOfParts>
  <Company>FUTURE UNIVERSITY HAKODATE</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中間報告書</dc:title>
  <dc:creator>Masaaki Wada</dc:creator>
  <cp:lastModifiedBy>Nagasaki Takeshi</cp:lastModifiedBy>
  <cp:revision>2</cp:revision>
  <cp:lastPrinted>2017-10-16T08:05:00Z</cp:lastPrinted>
  <dcterms:created xsi:type="dcterms:W3CDTF">2017-10-16T03:46:00Z</dcterms:created>
  <dcterms:modified xsi:type="dcterms:W3CDTF">2026-08-25T05:36:00Z</dcterms:modified>
</cp:coreProperties>
</file>