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7C828" w14:textId="77777777" w:rsidR="001E4859" w:rsidRDefault="001E4859" w:rsidP="001E4859">
      <w:pPr>
        <w:jc w:val="cente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4859">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Study 0</w:t>
      </w: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1E4859">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bookmarkStart w:id="0" w:name="_Hlk187180171"/>
      <w:bookmarkStart w:id="1" w:name="_Hlk187186797"/>
      <w:bookmarkStart w:id="2" w:name="_Hlk187190515"/>
      <w:r w:rsidRPr="001E4859">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BSCCL</w:t>
      </w:r>
      <w:bookmarkEnd w:id="1"/>
      <w:r w:rsidRPr="001E4859">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bookmarkEnd w:id="2"/>
    <w:p w14:paraId="0ED90821" w14:textId="6D463E7A" w:rsidR="001E4859" w:rsidRDefault="001E4859" w:rsidP="00DD5BA6">
      <w:pPr>
        <w:spacing w:before="240" w:line="360" w:lineRule="auto"/>
        <w:jc w:val="both"/>
        <w:rPr>
          <w:rFonts w:ascii="Times New Roman" w:hAnsi="Times New Roman" w:cs="Times New Roman"/>
          <w:sz w:val="24"/>
          <w:szCs w:val="24"/>
        </w:rPr>
      </w:pPr>
      <w:r w:rsidRPr="001E4859">
        <w:rPr>
          <w:rFonts w:ascii="Times New Roman" w:hAnsi="Times New Roman" w:cs="Times New Roman"/>
          <w:sz w:val="24"/>
          <w:szCs w:val="24"/>
        </w:rPr>
        <w:t>BSCCL</w:t>
      </w:r>
      <w:bookmarkEnd w:id="0"/>
      <w:r w:rsidRPr="001E4859">
        <w:rPr>
          <w:rFonts w:ascii="Times New Roman" w:hAnsi="Times New Roman" w:cs="Times New Roman"/>
          <w:sz w:val="24"/>
          <w:szCs w:val="24"/>
        </w:rPr>
        <w:t xml:space="preserve"> stands for </w:t>
      </w:r>
      <w:r w:rsidRPr="001E4859">
        <w:rPr>
          <w:rFonts w:ascii="Times New Roman" w:hAnsi="Times New Roman" w:cs="Times New Roman"/>
          <w:b/>
          <w:bCs/>
          <w:sz w:val="24"/>
          <w:szCs w:val="24"/>
        </w:rPr>
        <w:t>Bangladesh Submarine Cable Company Limited</w:t>
      </w:r>
      <w:r w:rsidRPr="001E4859">
        <w:rPr>
          <w:rFonts w:ascii="Times New Roman" w:hAnsi="Times New Roman" w:cs="Times New Roman"/>
          <w:sz w:val="24"/>
          <w:szCs w:val="24"/>
        </w:rPr>
        <w:t>. It is a state-owned company in Bangladesh responsible for providing high-speed internet connectivity through submarine cable systems. BSCCL manages the country's submarine cable operations, ensuring international data transmission and connectivity. It plays a critical role in the country's telecommunication infrastructure by operating and maintaining submarine cable systems that connect Bangladesh to global internet networks.</w:t>
      </w:r>
    </w:p>
    <w:p w14:paraId="42EC2CF1" w14:textId="59185025" w:rsidR="001E4859" w:rsidRPr="00085DE4" w:rsidRDefault="001E4859">
      <w:pPr>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5DE4">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Progress Over the Last </w:t>
      </w:r>
      <w:r w:rsidRPr="00085DE4">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085DE4">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Years</w:t>
      </w:r>
    </w:p>
    <w:p w14:paraId="0026C10F" w14:textId="4EB6A3AB" w:rsidR="001E4859" w:rsidRDefault="001E4859" w:rsidP="00DD5BA6">
      <w:pPr>
        <w:spacing w:before="240" w:line="360" w:lineRule="auto"/>
        <w:jc w:val="both"/>
        <w:rPr>
          <w:rFonts w:ascii="Times New Roman" w:hAnsi="Times New Roman" w:cs="Times New Roman"/>
          <w:sz w:val="24"/>
          <w:szCs w:val="24"/>
        </w:rPr>
      </w:pPr>
      <w:r w:rsidRPr="001E4859">
        <w:rPr>
          <w:rFonts w:ascii="Times New Roman" w:hAnsi="Times New Roman" w:cs="Times New Roman"/>
          <w:sz w:val="24"/>
          <w:szCs w:val="24"/>
        </w:rPr>
        <w:t>Over the past eight years (201</w:t>
      </w:r>
      <w:r w:rsidR="002D52D8">
        <w:rPr>
          <w:rFonts w:ascii="Times New Roman" w:hAnsi="Times New Roman" w:cs="Times New Roman"/>
          <w:sz w:val="24"/>
          <w:szCs w:val="24"/>
        </w:rPr>
        <w:t>3</w:t>
      </w:r>
      <w:r w:rsidRPr="001E4859">
        <w:rPr>
          <w:rFonts w:ascii="Times New Roman" w:hAnsi="Times New Roman" w:cs="Times New Roman"/>
          <w:sz w:val="24"/>
          <w:szCs w:val="24"/>
        </w:rPr>
        <w:t>–202</w:t>
      </w:r>
      <w:r>
        <w:rPr>
          <w:rFonts w:ascii="Times New Roman" w:hAnsi="Times New Roman" w:cs="Times New Roman"/>
          <w:sz w:val="24"/>
          <w:szCs w:val="24"/>
        </w:rPr>
        <w:t>4</w:t>
      </w:r>
      <w:r w:rsidRPr="001E4859">
        <w:rPr>
          <w:rFonts w:ascii="Times New Roman" w:hAnsi="Times New Roman" w:cs="Times New Roman"/>
          <w:sz w:val="24"/>
          <w:szCs w:val="24"/>
        </w:rPr>
        <w:t>), Grameenphone has demonstrated consistent growth in revenue and profitability, supported by significant investments in technology and infrastructure. However, operational costs, regulatory challenges, and market competition have influenced its financial stability. The company has also emphasized sustainability and customer-centric innovations during this period</w:t>
      </w:r>
      <w:r>
        <w:rPr>
          <w:rFonts w:ascii="Times New Roman" w:hAnsi="Times New Roman" w:cs="Times New Roman"/>
          <w:sz w:val="24"/>
          <w:szCs w:val="24"/>
        </w:rPr>
        <w:t>.</w:t>
      </w:r>
    </w:p>
    <w:p w14:paraId="63CAF46B" w14:textId="06F9EC78" w:rsidR="001E4859" w:rsidRDefault="00F108FA" w:rsidP="00DD5BA6">
      <w:pP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08FA">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BSCCL</w:t>
      </w:r>
      <w:r w:rsidR="001E4859" w:rsidRPr="001E4859">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E4859" w:rsidRPr="00085DE4">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Ratio</w:t>
      </w:r>
      <w:r w:rsidR="001E4859" w:rsidRPr="001E4859">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Analysis (201</w:t>
      </w:r>
      <w:r w:rsidR="001E4859">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1E4859" w:rsidRPr="001E4859">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w:t>
      </w:r>
      <w:r w:rsidR="00694B0A">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1E4859" w:rsidRPr="001E4859">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2772D7" w14:textId="142D51FB" w:rsidR="001E4859" w:rsidRPr="00085DE4" w:rsidRDefault="001E4859" w:rsidP="001E4859">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DE4">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01.Profitability Ratios</w:t>
      </w:r>
    </w:p>
    <w:p w14:paraId="1D0D7C13" w14:textId="77777777" w:rsidR="002D52D8" w:rsidRDefault="001E4859" w:rsidP="00DD5BA6">
      <w:pPr>
        <w:spacing w:before="240" w:line="360" w:lineRule="auto"/>
        <w:ind w:firstLine="720"/>
        <w:jc w:val="both"/>
        <w:rPr>
          <w:rFonts w:ascii="Times New Roman" w:hAnsi="Times New Roman" w:cs="Times New Roman"/>
          <w:sz w:val="24"/>
          <w:szCs w:val="24"/>
        </w:rPr>
      </w:pPr>
      <w:r w:rsidRPr="001E4859">
        <w:rPr>
          <w:rFonts w:ascii="Times New Roman" w:hAnsi="Times New Roman" w:cs="Times New Roman"/>
          <w:sz w:val="24"/>
          <w:szCs w:val="24"/>
        </w:rPr>
        <w:t xml:space="preserve">Gross Profit Margin </w:t>
      </w:r>
      <w:r w:rsidR="002D52D8">
        <w:rPr>
          <w:rFonts w:ascii="Times New Roman" w:hAnsi="Times New Roman" w:cs="Times New Roman"/>
          <w:sz w:val="24"/>
          <w:szCs w:val="24"/>
        </w:rPr>
        <w:t xml:space="preserve">= </w:t>
      </w:r>
      <w:r w:rsidRPr="001E4859">
        <w:rPr>
          <w:rFonts w:ascii="Times New Roman" w:hAnsi="Times New Roman" w:cs="Times New Roman"/>
          <w:sz w:val="24"/>
          <w:szCs w:val="24"/>
        </w:rPr>
        <w:t>((Gross Profit ÷ Revenue) × 100)</w:t>
      </w:r>
      <w:r w:rsidR="002D52D8">
        <w:rPr>
          <w:rFonts w:ascii="Times New Roman" w:hAnsi="Times New Roman" w:cs="Times New Roman"/>
          <w:sz w:val="24"/>
          <w:szCs w:val="24"/>
        </w:rPr>
        <w:t xml:space="preserve">; </w:t>
      </w:r>
      <w:r w:rsidRPr="001E4859">
        <w:rPr>
          <w:rFonts w:ascii="Times New Roman" w:hAnsi="Times New Roman" w:cs="Times New Roman"/>
          <w:sz w:val="24"/>
          <w:szCs w:val="24"/>
        </w:rPr>
        <w:t>This measures operational efficiency and profitability</w:t>
      </w:r>
      <w:r w:rsidR="002D52D8">
        <w:rPr>
          <w:rFonts w:ascii="Times New Roman" w:hAnsi="Times New Roman" w:cs="Times New Roman"/>
          <w:sz w:val="24"/>
          <w:szCs w:val="24"/>
        </w:rPr>
        <w:t>.</w:t>
      </w:r>
    </w:p>
    <w:p w14:paraId="0763B629" w14:textId="18705B3C" w:rsidR="00C7721D" w:rsidRPr="00C7721D" w:rsidRDefault="00C7721D" w:rsidP="00C7721D">
      <w:pPr>
        <w:spacing w:before="240" w:line="276" w:lineRule="auto"/>
        <w:rPr>
          <w:rFonts w:ascii="Times New Roman" w:hAnsi="Times New Roman" w:cs="Times New Roman"/>
          <w:b/>
          <w:bCs/>
          <w:sz w:val="24"/>
          <w:szCs w:val="24"/>
        </w:rPr>
      </w:pPr>
      <w:r w:rsidRPr="00C7721D">
        <w:rPr>
          <w:rFonts w:ascii="Times New Roman" w:hAnsi="Times New Roman" w:cs="Times New Roman"/>
          <w:b/>
          <w:bCs/>
          <w:sz w:val="24"/>
          <w:szCs w:val="24"/>
        </w:rPr>
        <w:t>Analysis:</w:t>
      </w:r>
    </w:p>
    <w:tbl>
      <w:tblPr>
        <w:tblStyle w:val="TableGrid"/>
        <w:tblW w:w="9370" w:type="dxa"/>
        <w:tblLook w:val="04A0" w:firstRow="1" w:lastRow="0" w:firstColumn="1" w:lastColumn="0" w:noHBand="0" w:noVBand="1"/>
      </w:tblPr>
      <w:tblGrid>
        <w:gridCol w:w="2342"/>
        <w:gridCol w:w="2342"/>
        <w:gridCol w:w="2343"/>
        <w:gridCol w:w="2343"/>
      </w:tblGrid>
      <w:tr w:rsidR="002D52D8" w14:paraId="457C7ECC" w14:textId="77777777" w:rsidTr="002D52D8">
        <w:trPr>
          <w:trHeight w:val="295"/>
        </w:trPr>
        <w:tc>
          <w:tcPr>
            <w:tcW w:w="2342" w:type="dxa"/>
          </w:tcPr>
          <w:p w14:paraId="694D9455" w14:textId="5CC7A033" w:rsidR="002D52D8" w:rsidRPr="00C635E8" w:rsidRDefault="002D52D8" w:rsidP="002D52D8">
            <w:pPr>
              <w:jc w:val="center"/>
              <w:rPr>
                <w:rFonts w:ascii="Times New Roman" w:hAnsi="Times New Roman" w:cs="Times New Roman"/>
                <w:b/>
                <w:bCs/>
                <w:sz w:val="24"/>
                <w:szCs w:val="24"/>
              </w:rPr>
            </w:pPr>
            <w:r w:rsidRPr="00C635E8">
              <w:rPr>
                <w:rFonts w:ascii="Times New Roman" w:hAnsi="Times New Roman" w:cs="Times New Roman"/>
                <w:b/>
                <w:bCs/>
                <w:sz w:val="24"/>
                <w:szCs w:val="24"/>
              </w:rPr>
              <w:t>Year</w:t>
            </w:r>
          </w:p>
        </w:tc>
        <w:tc>
          <w:tcPr>
            <w:tcW w:w="2342" w:type="dxa"/>
          </w:tcPr>
          <w:p w14:paraId="604065A8" w14:textId="4A188985" w:rsidR="002D52D8" w:rsidRPr="00C635E8" w:rsidRDefault="002D52D8" w:rsidP="002D52D8">
            <w:pPr>
              <w:jc w:val="center"/>
              <w:rPr>
                <w:rFonts w:ascii="Times New Roman" w:hAnsi="Times New Roman" w:cs="Times New Roman"/>
                <w:b/>
                <w:bCs/>
                <w:sz w:val="24"/>
                <w:szCs w:val="24"/>
              </w:rPr>
            </w:pPr>
            <w:r w:rsidRPr="00C635E8">
              <w:rPr>
                <w:rFonts w:ascii="Times New Roman" w:hAnsi="Times New Roman" w:cs="Times New Roman"/>
                <w:b/>
                <w:bCs/>
                <w:sz w:val="24"/>
                <w:szCs w:val="24"/>
              </w:rPr>
              <w:t>GPM</w:t>
            </w:r>
          </w:p>
        </w:tc>
        <w:tc>
          <w:tcPr>
            <w:tcW w:w="2343" w:type="dxa"/>
          </w:tcPr>
          <w:p w14:paraId="2188C3A3" w14:textId="77CA8FCC" w:rsidR="002D52D8" w:rsidRPr="00C635E8" w:rsidRDefault="002D52D8" w:rsidP="002D52D8">
            <w:pPr>
              <w:jc w:val="center"/>
              <w:rPr>
                <w:rFonts w:ascii="Times New Roman" w:hAnsi="Times New Roman" w:cs="Times New Roman"/>
                <w:b/>
                <w:bCs/>
                <w:sz w:val="24"/>
                <w:szCs w:val="24"/>
              </w:rPr>
            </w:pPr>
            <w:r w:rsidRPr="00C635E8">
              <w:rPr>
                <w:rFonts w:ascii="Times New Roman" w:hAnsi="Times New Roman" w:cs="Times New Roman"/>
                <w:b/>
                <w:bCs/>
                <w:sz w:val="24"/>
                <w:szCs w:val="24"/>
              </w:rPr>
              <w:t>Gross Profit</w:t>
            </w:r>
          </w:p>
        </w:tc>
        <w:tc>
          <w:tcPr>
            <w:tcW w:w="2343" w:type="dxa"/>
          </w:tcPr>
          <w:p w14:paraId="16C60362" w14:textId="7D877889" w:rsidR="002D52D8" w:rsidRPr="00C635E8" w:rsidRDefault="002D52D8" w:rsidP="002D52D8">
            <w:pPr>
              <w:jc w:val="center"/>
              <w:rPr>
                <w:rFonts w:ascii="Times New Roman" w:hAnsi="Times New Roman" w:cs="Times New Roman"/>
                <w:b/>
                <w:bCs/>
                <w:sz w:val="24"/>
                <w:szCs w:val="24"/>
              </w:rPr>
            </w:pPr>
            <w:r w:rsidRPr="00C635E8">
              <w:rPr>
                <w:rFonts w:ascii="Times New Roman" w:hAnsi="Times New Roman" w:cs="Times New Roman"/>
                <w:b/>
                <w:bCs/>
                <w:sz w:val="24"/>
                <w:szCs w:val="24"/>
              </w:rPr>
              <w:t>Revenue</w:t>
            </w:r>
          </w:p>
        </w:tc>
      </w:tr>
      <w:tr w:rsidR="002D52D8" w14:paraId="7A02209F" w14:textId="77777777" w:rsidTr="002D52D8">
        <w:trPr>
          <w:trHeight w:val="282"/>
        </w:trPr>
        <w:tc>
          <w:tcPr>
            <w:tcW w:w="2342" w:type="dxa"/>
          </w:tcPr>
          <w:p w14:paraId="54193ACA" w14:textId="13636A3C" w:rsidR="002D52D8" w:rsidRDefault="002D52D8" w:rsidP="002D52D8">
            <w:pPr>
              <w:jc w:val="center"/>
              <w:rPr>
                <w:rFonts w:ascii="Times New Roman" w:hAnsi="Times New Roman" w:cs="Times New Roman"/>
                <w:sz w:val="24"/>
                <w:szCs w:val="24"/>
              </w:rPr>
            </w:pPr>
            <w:bookmarkStart w:id="3" w:name="_Hlk187189671"/>
            <w:r>
              <w:rPr>
                <w:rFonts w:ascii="Times New Roman" w:hAnsi="Times New Roman" w:cs="Times New Roman"/>
                <w:sz w:val="24"/>
                <w:szCs w:val="24"/>
              </w:rPr>
              <w:t>2013-14</w:t>
            </w:r>
          </w:p>
        </w:tc>
        <w:tc>
          <w:tcPr>
            <w:tcW w:w="2342" w:type="dxa"/>
          </w:tcPr>
          <w:p w14:paraId="66F139B0" w14:textId="5D3A65A9" w:rsidR="002D52D8" w:rsidRDefault="00C635E8" w:rsidP="00C635E8">
            <w:pPr>
              <w:jc w:val="center"/>
              <w:rPr>
                <w:rFonts w:ascii="Times New Roman" w:hAnsi="Times New Roman" w:cs="Times New Roman"/>
                <w:sz w:val="24"/>
                <w:szCs w:val="24"/>
              </w:rPr>
            </w:pPr>
            <w:r>
              <w:rPr>
                <w:rFonts w:ascii="Times New Roman" w:hAnsi="Times New Roman" w:cs="Times New Roman"/>
                <w:sz w:val="24"/>
                <w:szCs w:val="24"/>
              </w:rPr>
              <w:t>68.7%</w:t>
            </w:r>
          </w:p>
        </w:tc>
        <w:tc>
          <w:tcPr>
            <w:tcW w:w="2343" w:type="dxa"/>
          </w:tcPr>
          <w:p w14:paraId="4F3EFAC4" w14:textId="0EE13F31" w:rsidR="002D52D8" w:rsidRDefault="002D52D8" w:rsidP="00C635E8">
            <w:pPr>
              <w:jc w:val="center"/>
              <w:rPr>
                <w:rFonts w:ascii="Times New Roman" w:hAnsi="Times New Roman" w:cs="Times New Roman"/>
                <w:sz w:val="24"/>
                <w:szCs w:val="24"/>
              </w:rPr>
            </w:pPr>
            <w:r w:rsidRPr="002D52D8">
              <w:rPr>
                <w:rFonts w:ascii="Times New Roman" w:hAnsi="Times New Roman" w:cs="Times New Roman"/>
                <w:sz w:val="24"/>
                <w:szCs w:val="24"/>
              </w:rPr>
              <w:t>517,828,751</w:t>
            </w:r>
          </w:p>
        </w:tc>
        <w:tc>
          <w:tcPr>
            <w:tcW w:w="2343" w:type="dxa"/>
          </w:tcPr>
          <w:p w14:paraId="3E270546" w14:textId="612312C4"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753,744,790</w:t>
            </w:r>
          </w:p>
        </w:tc>
      </w:tr>
      <w:tr w:rsidR="002D52D8" w14:paraId="7215406D" w14:textId="77777777" w:rsidTr="002D52D8">
        <w:trPr>
          <w:trHeight w:val="295"/>
        </w:trPr>
        <w:tc>
          <w:tcPr>
            <w:tcW w:w="2342" w:type="dxa"/>
          </w:tcPr>
          <w:p w14:paraId="3EAA7DEE" w14:textId="5AE79BFA" w:rsidR="002D52D8" w:rsidRDefault="002D52D8" w:rsidP="002D52D8">
            <w:pPr>
              <w:jc w:val="center"/>
              <w:rPr>
                <w:rFonts w:ascii="Times New Roman" w:hAnsi="Times New Roman" w:cs="Times New Roman"/>
                <w:sz w:val="24"/>
                <w:szCs w:val="24"/>
              </w:rPr>
            </w:pPr>
            <w:r>
              <w:rPr>
                <w:rFonts w:ascii="Times New Roman" w:hAnsi="Times New Roman" w:cs="Times New Roman"/>
                <w:sz w:val="24"/>
                <w:szCs w:val="24"/>
              </w:rPr>
              <w:t>2014-15</w:t>
            </w:r>
          </w:p>
        </w:tc>
        <w:tc>
          <w:tcPr>
            <w:tcW w:w="2342" w:type="dxa"/>
          </w:tcPr>
          <w:p w14:paraId="2DADEB34" w14:textId="0108CC5D" w:rsidR="002D52D8" w:rsidRDefault="00C635E8" w:rsidP="00C635E8">
            <w:pPr>
              <w:jc w:val="center"/>
              <w:rPr>
                <w:rFonts w:ascii="Times New Roman" w:hAnsi="Times New Roman" w:cs="Times New Roman"/>
                <w:sz w:val="24"/>
                <w:szCs w:val="24"/>
              </w:rPr>
            </w:pPr>
            <w:r>
              <w:rPr>
                <w:rFonts w:ascii="Times New Roman" w:hAnsi="Times New Roman" w:cs="Times New Roman"/>
                <w:sz w:val="24"/>
                <w:szCs w:val="24"/>
              </w:rPr>
              <w:t>51.65%</w:t>
            </w:r>
          </w:p>
        </w:tc>
        <w:tc>
          <w:tcPr>
            <w:tcW w:w="2343" w:type="dxa"/>
          </w:tcPr>
          <w:p w14:paraId="0424F845" w14:textId="063038EB" w:rsidR="002D52D8" w:rsidRDefault="002D52D8" w:rsidP="00C635E8">
            <w:pPr>
              <w:jc w:val="center"/>
              <w:rPr>
                <w:rFonts w:ascii="Times New Roman" w:hAnsi="Times New Roman" w:cs="Times New Roman"/>
                <w:sz w:val="24"/>
                <w:szCs w:val="24"/>
              </w:rPr>
            </w:pPr>
            <w:r w:rsidRPr="002D52D8">
              <w:rPr>
                <w:rFonts w:ascii="Times New Roman" w:hAnsi="Times New Roman" w:cs="Times New Roman"/>
                <w:sz w:val="24"/>
                <w:szCs w:val="24"/>
              </w:rPr>
              <w:t>279,302,944</w:t>
            </w:r>
          </w:p>
        </w:tc>
        <w:tc>
          <w:tcPr>
            <w:tcW w:w="2343" w:type="dxa"/>
          </w:tcPr>
          <w:p w14:paraId="19552265" w14:textId="7D314D1D"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540,683,784</w:t>
            </w:r>
          </w:p>
        </w:tc>
      </w:tr>
      <w:tr w:rsidR="002D52D8" w14:paraId="148E27B7" w14:textId="77777777" w:rsidTr="002D52D8">
        <w:trPr>
          <w:trHeight w:val="295"/>
        </w:trPr>
        <w:tc>
          <w:tcPr>
            <w:tcW w:w="2342" w:type="dxa"/>
          </w:tcPr>
          <w:p w14:paraId="3455773B" w14:textId="0DC0E1A2" w:rsidR="002D52D8" w:rsidRDefault="002D52D8" w:rsidP="002D52D8">
            <w:pPr>
              <w:jc w:val="center"/>
              <w:rPr>
                <w:rFonts w:ascii="Times New Roman" w:hAnsi="Times New Roman" w:cs="Times New Roman"/>
                <w:sz w:val="24"/>
                <w:szCs w:val="24"/>
              </w:rPr>
            </w:pPr>
            <w:r>
              <w:rPr>
                <w:rFonts w:ascii="Times New Roman" w:hAnsi="Times New Roman" w:cs="Times New Roman"/>
                <w:sz w:val="24"/>
                <w:szCs w:val="24"/>
              </w:rPr>
              <w:t>20</w:t>
            </w:r>
            <w:r w:rsidR="001F7624">
              <w:rPr>
                <w:rFonts w:ascii="Times New Roman" w:hAnsi="Times New Roman" w:cs="Times New Roman"/>
                <w:sz w:val="24"/>
                <w:szCs w:val="24"/>
              </w:rPr>
              <w:t>16-17</w:t>
            </w:r>
          </w:p>
        </w:tc>
        <w:tc>
          <w:tcPr>
            <w:tcW w:w="2342" w:type="dxa"/>
          </w:tcPr>
          <w:p w14:paraId="4DCBDFFC" w14:textId="19B913A0" w:rsidR="002D52D8" w:rsidRDefault="00C635E8" w:rsidP="00C635E8">
            <w:pPr>
              <w:jc w:val="center"/>
              <w:rPr>
                <w:rFonts w:ascii="Times New Roman" w:hAnsi="Times New Roman" w:cs="Times New Roman"/>
                <w:sz w:val="24"/>
                <w:szCs w:val="24"/>
              </w:rPr>
            </w:pPr>
            <w:r>
              <w:rPr>
                <w:rFonts w:ascii="Times New Roman" w:hAnsi="Times New Roman" w:cs="Times New Roman"/>
                <w:sz w:val="24"/>
                <w:szCs w:val="24"/>
              </w:rPr>
              <w:t>65.85%</w:t>
            </w:r>
          </w:p>
        </w:tc>
        <w:tc>
          <w:tcPr>
            <w:tcW w:w="2343" w:type="dxa"/>
          </w:tcPr>
          <w:p w14:paraId="215CA050" w14:textId="294AB1D3" w:rsidR="002D52D8" w:rsidRDefault="002D52D8" w:rsidP="00C635E8">
            <w:pPr>
              <w:jc w:val="center"/>
              <w:rPr>
                <w:rFonts w:ascii="Times New Roman" w:hAnsi="Times New Roman" w:cs="Times New Roman"/>
                <w:sz w:val="24"/>
                <w:szCs w:val="24"/>
              </w:rPr>
            </w:pPr>
            <w:r w:rsidRPr="002D52D8">
              <w:rPr>
                <w:rFonts w:ascii="Times New Roman" w:hAnsi="Times New Roman" w:cs="Times New Roman"/>
                <w:sz w:val="24"/>
                <w:szCs w:val="24"/>
              </w:rPr>
              <w:t>682,676,986</w:t>
            </w:r>
          </w:p>
        </w:tc>
        <w:tc>
          <w:tcPr>
            <w:tcW w:w="2343" w:type="dxa"/>
          </w:tcPr>
          <w:p w14:paraId="797EE7C3" w14:textId="571B7610"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1,036,725,252</w:t>
            </w:r>
          </w:p>
        </w:tc>
      </w:tr>
      <w:tr w:rsidR="002D52D8" w14:paraId="6D78359A" w14:textId="77777777" w:rsidTr="002D52D8">
        <w:trPr>
          <w:trHeight w:val="282"/>
        </w:trPr>
        <w:tc>
          <w:tcPr>
            <w:tcW w:w="2342" w:type="dxa"/>
          </w:tcPr>
          <w:p w14:paraId="2C966555" w14:textId="4E129358" w:rsidR="002D52D8" w:rsidRDefault="002D52D8" w:rsidP="002D52D8">
            <w:pPr>
              <w:jc w:val="center"/>
              <w:rPr>
                <w:rFonts w:ascii="Times New Roman" w:hAnsi="Times New Roman" w:cs="Times New Roman"/>
                <w:sz w:val="24"/>
                <w:szCs w:val="24"/>
              </w:rPr>
            </w:pPr>
            <w:r>
              <w:rPr>
                <w:rFonts w:ascii="Times New Roman" w:hAnsi="Times New Roman" w:cs="Times New Roman"/>
                <w:sz w:val="24"/>
                <w:szCs w:val="24"/>
              </w:rPr>
              <w:t>201</w:t>
            </w:r>
            <w:r w:rsidR="001F7624">
              <w:rPr>
                <w:rFonts w:ascii="Times New Roman" w:hAnsi="Times New Roman" w:cs="Times New Roman"/>
                <w:sz w:val="24"/>
                <w:szCs w:val="24"/>
              </w:rPr>
              <w:t>7-18</w:t>
            </w:r>
          </w:p>
        </w:tc>
        <w:tc>
          <w:tcPr>
            <w:tcW w:w="2342" w:type="dxa"/>
          </w:tcPr>
          <w:p w14:paraId="20BA3D28" w14:textId="5EBB4DB5" w:rsidR="002D52D8" w:rsidRDefault="00C635E8" w:rsidP="00C635E8">
            <w:pPr>
              <w:jc w:val="center"/>
              <w:rPr>
                <w:rFonts w:ascii="Times New Roman" w:hAnsi="Times New Roman" w:cs="Times New Roman"/>
                <w:sz w:val="24"/>
                <w:szCs w:val="24"/>
              </w:rPr>
            </w:pPr>
            <w:r>
              <w:rPr>
                <w:rFonts w:ascii="Times New Roman" w:hAnsi="Times New Roman" w:cs="Times New Roman"/>
                <w:sz w:val="24"/>
                <w:szCs w:val="24"/>
              </w:rPr>
              <w:t>56.39%</w:t>
            </w:r>
          </w:p>
        </w:tc>
        <w:tc>
          <w:tcPr>
            <w:tcW w:w="2343" w:type="dxa"/>
          </w:tcPr>
          <w:p w14:paraId="23C8E1C1" w14:textId="3041F83C" w:rsidR="002D52D8" w:rsidRDefault="002D52D8" w:rsidP="00C635E8">
            <w:pPr>
              <w:jc w:val="center"/>
              <w:rPr>
                <w:rFonts w:ascii="Times New Roman" w:hAnsi="Times New Roman" w:cs="Times New Roman"/>
                <w:sz w:val="24"/>
                <w:szCs w:val="24"/>
              </w:rPr>
            </w:pPr>
            <w:r w:rsidRPr="002D52D8">
              <w:rPr>
                <w:rFonts w:ascii="Times New Roman" w:hAnsi="Times New Roman" w:cs="Times New Roman"/>
                <w:sz w:val="24"/>
                <w:szCs w:val="24"/>
              </w:rPr>
              <w:t>792,267,089</w:t>
            </w:r>
          </w:p>
        </w:tc>
        <w:tc>
          <w:tcPr>
            <w:tcW w:w="2343" w:type="dxa"/>
          </w:tcPr>
          <w:p w14:paraId="6C8961C2" w14:textId="10743A91"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1,405,036,220</w:t>
            </w:r>
          </w:p>
        </w:tc>
      </w:tr>
      <w:tr w:rsidR="002D52D8" w14:paraId="056FB53A" w14:textId="77777777" w:rsidTr="002D52D8">
        <w:trPr>
          <w:trHeight w:val="295"/>
        </w:trPr>
        <w:tc>
          <w:tcPr>
            <w:tcW w:w="2342" w:type="dxa"/>
          </w:tcPr>
          <w:p w14:paraId="37AD44F7" w14:textId="63F8F17E" w:rsidR="002D52D8" w:rsidRDefault="002D52D8" w:rsidP="002D52D8">
            <w:pPr>
              <w:jc w:val="center"/>
              <w:rPr>
                <w:rFonts w:ascii="Times New Roman" w:hAnsi="Times New Roman" w:cs="Times New Roman"/>
                <w:sz w:val="24"/>
                <w:szCs w:val="24"/>
              </w:rPr>
            </w:pPr>
            <w:r>
              <w:rPr>
                <w:rFonts w:ascii="Times New Roman" w:hAnsi="Times New Roman" w:cs="Times New Roman"/>
                <w:sz w:val="24"/>
                <w:szCs w:val="24"/>
              </w:rPr>
              <w:t>201</w:t>
            </w:r>
            <w:r w:rsidR="001F7624">
              <w:rPr>
                <w:rFonts w:ascii="Times New Roman" w:hAnsi="Times New Roman" w:cs="Times New Roman"/>
                <w:sz w:val="24"/>
                <w:szCs w:val="24"/>
              </w:rPr>
              <w:t>8-19</w:t>
            </w:r>
          </w:p>
        </w:tc>
        <w:tc>
          <w:tcPr>
            <w:tcW w:w="2342" w:type="dxa"/>
          </w:tcPr>
          <w:p w14:paraId="0D3B807D" w14:textId="7CDF70DA" w:rsidR="002D52D8" w:rsidRDefault="00C635E8" w:rsidP="00C635E8">
            <w:pPr>
              <w:jc w:val="center"/>
              <w:rPr>
                <w:rFonts w:ascii="Times New Roman" w:hAnsi="Times New Roman" w:cs="Times New Roman"/>
                <w:sz w:val="24"/>
                <w:szCs w:val="24"/>
              </w:rPr>
            </w:pPr>
            <w:r>
              <w:rPr>
                <w:rFonts w:ascii="Times New Roman" w:hAnsi="Times New Roman" w:cs="Times New Roman"/>
                <w:sz w:val="24"/>
                <w:szCs w:val="24"/>
              </w:rPr>
              <w:t>26.26%</w:t>
            </w:r>
          </w:p>
        </w:tc>
        <w:tc>
          <w:tcPr>
            <w:tcW w:w="2343" w:type="dxa"/>
          </w:tcPr>
          <w:p w14:paraId="3EBCFD33" w14:textId="5B7C8283" w:rsidR="002D52D8" w:rsidRDefault="002D52D8" w:rsidP="00C635E8">
            <w:pPr>
              <w:jc w:val="center"/>
              <w:rPr>
                <w:rFonts w:ascii="Times New Roman" w:hAnsi="Times New Roman" w:cs="Times New Roman"/>
                <w:sz w:val="24"/>
                <w:szCs w:val="24"/>
              </w:rPr>
            </w:pPr>
            <w:r w:rsidRPr="002D52D8">
              <w:rPr>
                <w:rFonts w:ascii="Times New Roman" w:hAnsi="Times New Roman" w:cs="Times New Roman"/>
                <w:sz w:val="24"/>
                <w:szCs w:val="24"/>
              </w:rPr>
              <w:t>1,334,911,461</w:t>
            </w:r>
          </w:p>
        </w:tc>
        <w:tc>
          <w:tcPr>
            <w:tcW w:w="2343" w:type="dxa"/>
          </w:tcPr>
          <w:p w14:paraId="734A536F" w14:textId="6061826A"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1,955,665,973</w:t>
            </w:r>
          </w:p>
        </w:tc>
      </w:tr>
      <w:tr w:rsidR="002D52D8" w14:paraId="1A59D758" w14:textId="77777777" w:rsidTr="002D52D8">
        <w:trPr>
          <w:trHeight w:val="282"/>
        </w:trPr>
        <w:tc>
          <w:tcPr>
            <w:tcW w:w="2342" w:type="dxa"/>
          </w:tcPr>
          <w:p w14:paraId="298814C4" w14:textId="00DDC2EA" w:rsidR="002D52D8" w:rsidRDefault="002D52D8" w:rsidP="002D52D8">
            <w:pPr>
              <w:jc w:val="center"/>
              <w:rPr>
                <w:rFonts w:ascii="Times New Roman" w:hAnsi="Times New Roman" w:cs="Times New Roman"/>
                <w:sz w:val="24"/>
                <w:szCs w:val="24"/>
              </w:rPr>
            </w:pPr>
            <w:r>
              <w:rPr>
                <w:rFonts w:ascii="Times New Roman" w:hAnsi="Times New Roman" w:cs="Times New Roman"/>
                <w:sz w:val="24"/>
                <w:szCs w:val="24"/>
              </w:rPr>
              <w:t>201</w:t>
            </w:r>
            <w:r w:rsidR="001F7624">
              <w:rPr>
                <w:rFonts w:ascii="Times New Roman" w:hAnsi="Times New Roman" w:cs="Times New Roman"/>
                <w:sz w:val="24"/>
                <w:szCs w:val="24"/>
              </w:rPr>
              <w:t>9-20</w:t>
            </w:r>
          </w:p>
        </w:tc>
        <w:tc>
          <w:tcPr>
            <w:tcW w:w="2342" w:type="dxa"/>
          </w:tcPr>
          <w:p w14:paraId="64915A80" w14:textId="41D1BC9D" w:rsidR="002D52D8" w:rsidRDefault="00C635E8" w:rsidP="00C635E8">
            <w:pPr>
              <w:jc w:val="center"/>
              <w:rPr>
                <w:rFonts w:ascii="Times New Roman" w:hAnsi="Times New Roman" w:cs="Times New Roman"/>
                <w:sz w:val="24"/>
                <w:szCs w:val="24"/>
              </w:rPr>
            </w:pPr>
            <w:r>
              <w:rPr>
                <w:rFonts w:ascii="Times New Roman" w:hAnsi="Times New Roman" w:cs="Times New Roman"/>
                <w:sz w:val="24"/>
                <w:szCs w:val="24"/>
              </w:rPr>
              <w:t>75.82%</w:t>
            </w:r>
          </w:p>
        </w:tc>
        <w:tc>
          <w:tcPr>
            <w:tcW w:w="2343" w:type="dxa"/>
          </w:tcPr>
          <w:p w14:paraId="3749BC4A" w14:textId="25B77DEA" w:rsidR="002D52D8" w:rsidRDefault="002D52D8" w:rsidP="00C635E8">
            <w:pPr>
              <w:jc w:val="center"/>
              <w:rPr>
                <w:rFonts w:ascii="Times New Roman" w:hAnsi="Times New Roman" w:cs="Times New Roman"/>
                <w:sz w:val="24"/>
                <w:szCs w:val="24"/>
              </w:rPr>
            </w:pPr>
            <w:r w:rsidRPr="002D52D8">
              <w:rPr>
                <w:rFonts w:ascii="Times New Roman" w:hAnsi="Times New Roman" w:cs="Times New Roman"/>
                <w:sz w:val="24"/>
                <w:szCs w:val="24"/>
              </w:rPr>
              <w:t>1,894,475,457</w:t>
            </w:r>
          </w:p>
        </w:tc>
        <w:tc>
          <w:tcPr>
            <w:tcW w:w="2343" w:type="dxa"/>
          </w:tcPr>
          <w:p w14:paraId="22C929EB" w14:textId="3FBF2268"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2,498,642,388</w:t>
            </w:r>
          </w:p>
        </w:tc>
      </w:tr>
      <w:tr w:rsidR="002D52D8" w14:paraId="5D94DF8B" w14:textId="77777777" w:rsidTr="002D52D8">
        <w:trPr>
          <w:trHeight w:val="295"/>
        </w:trPr>
        <w:tc>
          <w:tcPr>
            <w:tcW w:w="2342" w:type="dxa"/>
          </w:tcPr>
          <w:p w14:paraId="03A6FC93" w14:textId="4DA5222B" w:rsidR="002D52D8" w:rsidRDefault="002D52D8" w:rsidP="002D52D8">
            <w:pPr>
              <w:jc w:val="center"/>
              <w:rPr>
                <w:rFonts w:ascii="Times New Roman" w:hAnsi="Times New Roman" w:cs="Times New Roman"/>
                <w:sz w:val="24"/>
                <w:szCs w:val="24"/>
              </w:rPr>
            </w:pPr>
            <w:r>
              <w:rPr>
                <w:rFonts w:ascii="Times New Roman" w:hAnsi="Times New Roman" w:cs="Times New Roman"/>
                <w:sz w:val="24"/>
                <w:szCs w:val="24"/>
              </w:rPr>
              <w:t>20</w:t>
            </w:r>
            <w:r w:rsidR="001F7624">
              <w:rPr>
                <w:rFonts w:ascii="Times New Roman" w:hAnsi="Times New Roman" w:cs="Times New Roman"/>
                <w:sz w:val="24"/>
                <w:szCs w:val="24"/>
              </w:rPr>
              <w:t>20-21</w:t>
            </w:r>
          </w:p>
        </w:tc>
        <w:tc>
          <w:tcPr>
            <w:tcW w:w="2342" w:type="dxa"/>
          </w:tcPr>
          <w:p w14:paraId="38345052" w14:textId="0F16BE06" w:rsidR="002D52D8" w:rsidRDefault="00C635E8" w:rsidP="00C635E8">
            <w:pPr>
              <w:jc w:val="center"/>
              <w:rPr>
                <w:rFonts w:ascii="Times New Roman" w:hAnsi="Times New Roman" w:cs="Times New Roman"/>
                <w:sz w:val="24"/>
                <w:szCs w:val="24"/>
              </w:rPr>
            </w:pPr>
            <w:r>
              <w:rPr>
                <w:rFonts w:ascii="Times New Roman" w:hAnsi="Times New Roman" w:cs="Times New Roman"/>
                <w:sz w:val="24"/>
                <w:szCs w:val="24"/>
              </w:rPr>
              <w:t>82.6%</w:t>
            </w:r>
          </w:p>
        </w:tc>
        <w:tc>
          <w:tcPr>
            <w:tcW w:w="2343" w:type="dxa"/>
          </w:tcPr>
          <w:p w14:paraId="49FA271D" w14:textId="67E13F06"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2,848,613,515</w:t>
            </w:r>
          </w:p>
        </w:tc>
        <w:tc>
          <w:tcPr>
            <w:tcW w:w="2343" w:type="dxa"/>
          </w:tcPr>
          <w:p w14:paraId="1CBB6EC3" w14:textId="224329EC"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3,448,526,860</w:t>
            </w:r>
          </w:p>
        </w:tc>
      </w:tr>
      <w:tr w:rsidR="002D52D8" w14:paraId="43AB4A74" w14:textId="77777777" w:rsidTr="002D52D8">
        <w:trPr>
          <w:trHeight w:val="295"/>
        </w:trPr>
        <w:tc>
          <w:tcPr>
            <w:tcW w:w="2342" w:type="dxa"/>
          </w:tcPr>
          <w:p w14:paraId="3350B3E2" w14:textId="76F1517A" w:rsidR="002D52D8" w:rsidRDefault="002D52D8" w:rsidP="002D52D8">
            <w:pPr>
              <w:jc w:val="center"/>
              <w:rPr>
                <w:rFonts w:ascii="Times New Roman" w:hAnsi="Times New Roman" w:cs="Times New Roman"/>
                <w:sz w:val="24"/>
                <w:szCs w:val="24"/>
              </w:rPr>
            </w:pPr>
            <w:r>
              <w:rPr>
                <w:rFonts w:ascii="Times New Roman" w:hAnsi="Times New Roman" w:cs="Times New Roman"/>
                <w:sz w:val="24"/>
                <w:szCs w:val="24"/>
              </w:rPr>
              <w:t>202</w:t>
            </w:r>
            <w:r w:rsidR="001F7624">
              <w:rPr>
                <w:rFonts w:ascii="Times New Roman" w:hAnsi="Times New Roman" w:cs="Times New Roman"/>
                <w:sz w:val="24"/>
                <w:szCs w:val="24"/>
              </w:rPr>
              <w:t>1-22</w:t>
            </w:r>
          </w:p>
        </w:tc>
        <w:tc>
          <w:tcPr>
            <w:tcW w:w="2342" w:type="dxa"/>
          </w:tcPr>
          <w:p w14:paraId="3A11BD85" w14:textId="24C31E90" w:rsidR="002D52D8" w:rsidRDefault="00C635E8" w:rsidP="00C635E8">
            <w:pPr>
              <w:jc w:val="center"/>
              <w:rPr>
                <w:rFonts w:ascii="Times New Roman" w:hAnsi="Times New Roman" w:cs="Times New Roman"/>
                <w:sz w:val="24"/>
                <w:szCs w:val="24"/>
              </w:rPr>
            </w:pPr>
            <w:r>
              <w:rPr>
                <w:rFonts w:ascii="Times New Roman" w:hAnsi="Times New Roman" w:cs="Times New Roman"/>
                <w:sz w:val="24"/>
                <w:szCs w:val="24"/>
              </w:rPr>
              <w:t>84.84%</w:t>
            </w:r>
          </w:p>
        </w:tc>
        <w:tc>
          <w:tcPr>
            <w:tcW w:w="2343" w:type="dxa"/>
          </w:tcPr>
          <w:p w14:paraId="55A057AE" w14:textId="1AB4C7E6"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3,747,781,217</w:t>
            </w:r>
          </w:p>
        </w:tc>
        <w:tc>
          <w:tcPr>
            <w:tcW w:w="2343" w:type="dxa"/>
          </w:tcPr>
          <w:p w14:paraId="0350892E" w14:textId="0A3BEF1A"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4,417,441,269</w:t>
            </w:r>
          </w:p>
        </w:tc>
      </w:tr>
      <w:tr w:rsidR="002D52D8" w14:paraId="22B75215" w14:textId="77777777" w:rsidTr="002D52D8">
        <w:trPr>
          <w:trHeight w:val="282"/>
        </w:trPr>
        <w:tc>
          <w:tcPr>
            <w:tcW w:w="2342" w:type="dxa"/>
          </w:tcPr>
          <w:p w14:paraId="1D542C72" w14:textId="4AE3A6C6" w:rsidR="002D52D8" w:rsidRDefault="002D52D8" w:rsidP="002D52D8">
            <w:pPr>
              <w:jc w:val="center"/>
              <w:rPr>
                <w:rFonts w:ascii="Times New Roman" w:hAnsi="Times New Roman" w:cs="Times New Roman"/>
                <w:sz w:val="24"/>
                <w:szCs w:val="24"/>
              </w:rPr>
            </w:pPr>
            <w:r>
              <w:rPr>
                <w:rFonts w:ascii="Times New Roman" w:hAnsi="Times New Roman" w:cs="Times New Roman"/>
                <w:sz w:val="24"/>
                <w:szCs w:val="24"/>
              </w:rPr>
              <w:t>202</w:t>
            </w:r>
            <w:r w:rsidR="001F7624">
              <w:rPr>
                <w:rFonts w:ascii="Times New Roman" w:hAnsi="Times New Roman" w:cs="Times New Roman"/>
                <w:sz w:val="24"/>
                <w:szCs w:val="24"/>
              </w:rPr>
              <w:t>2-23</w:t>
            </w:r>
          </w:p>
        </w:tc>
        <w:tc>
          <w:tcPr>
            <w:tcW w:w="2342" w:type="dxa"/>
          </w:tcPr>
          <w:p w14:paraId="4139D5E6" w14:textId="4179848F" w:rsidR="002D52D8" w:rsidRDefault="00C635E8" w:rsidP="00C635E8">
            <w:pPr>
              <w:jc w:val="center"/>
              <w:rPr>
                <w:rFonts w:ascii="Times New Roman" w:hAnsi="Times New Roman" w:cs="Times New Roman"/>
                <w:sz w:val="24"/>
                <w:szCs w:val="24"/>
              </w:rPr>
            </w:pPr>
            <w:r>
              <w:rPr>
                <w:rFonts w:ascii="Times New Roman" w:hAnsi="Times New Roman" w:cs="Times New Roman"/>
                <w:sz w:val="24"/>
                <w:szCs w:val="24"/>
              </w:rPr>
              <w:t>82.99%</w:t>
            </w:r>
          </w:p>
        </w:tc>
        <w:tc>
          <w:tcPr>
            <w:tcW w:w="2343" w:type="dxa"/>
          </w:tcPr>
          <w:p w14:paraId="62CFB324" w14:textId="05AEDB09"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4,277,924,681</w:t>
            </w:r>
          </w:p>
        </w:tc>
        <w:tc>
          <w:tcPr>
            <w:tcW w:w="2343" w:type="dxa"/>
          </w:tcPr>
          <w:p w14:paraId="55185D12" w14:textId="4F8BB939"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5,154,911,960</w:t>
            </w:r>
          </w:p>
        </w:tc>
      </w:tr>
      <w:tr w:rsidR="002D52D8" w14:paraId="496A25D0" w14:textId="77777777" w:rsidTr="002D52D8">
        <w:trPr>
          <w:trHeight w:val="295"/>
        </w:trPr>
        <w:tc>
          <w:tcPr>
            <w:tcW w:w="2342" w:type="dxa"/>
          </w:tcPr>
          <w:p w14:paraId="6DD4C199" w14:textId="5C77BE2C" w:rsidR="002D52D8" w:rsidRDefault="002D52D8" w:rsidP="002D52D8">
            <w:pPr>
              <w:jc w:val="center"/>
              <w:rPr>
                <w:rFonts w:ascii="Times New Roman" w:hAnsi="Times New Roman" w:cs="Times New Roman"/>
                <w:sz w:val="24"/>
                <w:szCs w:val="24"/>
              </w:rPr>
            </w:pPr>
            <w:r>
              <w:rPr>
                <w:rFonts w:ascii="Times New Roman" w:hAnsi="Times New Roman" w:cs="Times New Roman"/>
                <w:sz w:val="24"/>
                <w:szCs w:val="24"/>
              </w:rPr>
              <w:t>202</w:t>
            </w:r>
            <w:r w:rsidR="001F7624">
              <w:rPr>
                <w:rFonts w:ascii="Times New Roman" w:hAnsi="Times New Roman" w:cs="Times New Roman"/>
                <w:sz w:val="24"/>
                <w:szCs w:val="24"/>
              </w:rPr>
              <w:t>3-24</w:t>
            </w:r>
          </w:p>
        </w:tc>
        <w:tc>
          <w:tcPr>
            <w:tcW w:w="2342" w:type="dxa"/>
          </w:tcPr>
          <w:p w14:paraId="1613FFD9" w14:textId="22534747" w:rsidR="002D52D8" w:rsidRDefault="009D53DB" w:rsidP="00C635E8">
            <w:pPr>
              <w:jc w:val="center"/>
              <w:rPr>
                <w:rFonts w:ascii="Times New Roman" w:hAnsi="Times New Roman" w:cs="Times New Roman"/>
                <w:sz w:val="24"/>
                <w:szCs w:val="24"/>
              </w:rPr>
            </w:pPr>
            <w:r>
              <w:rPr>
                <w:rFonts w:ascii="Times New Roman" w:hAnsi="Times New Roman" w:cs="Times New Roman"/>
                <w:sz w:val="24"/>
                <w:szCs w:val="24"/>
              </w:rPr>
              <w:t>79.07%</w:t>
            </w:r>
          </w:p>
        </w:tc>
        <w:tc>
          <w:tcPr>
            <w:tcW w:w="2343" w:type="dxa"/>
          </w:tcPr>
          <w:p w14:paraId="184AE5A7" w14:textId="45ACBEEA"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3,151,488,184</w:t>
            </w:r>
          </w:p>
        </w:tc>
        <w:tc>
          <w:tcPr>
            <w:tcW w:w="2343" w:type="dxa"/>
          </w:tcPr>
          <w:p w14:paraId="0C58E587" w14:textId="7263C1E4" w:rsidR="002D52D8" w:rsidRDefault="00694B0A" w:rsidP="00C635E8">
            <w:pPr>
              <w:jc w:val="center"/>
              <w:rPr>
                <w:rFonts w:ascii="Times New Roman" w:hAnsi="Times New Roman" w:cs="Times New Roman"/>
                <w:sz w:val="24"/>
                <w:szCs w:val="24"/>
              </w:rPr>
            </w:pPr>
            <w:r w:rsidRPr="00694B0A">
              <w:rPr>
                <w:rFonts w:ascii="Times New Roman" w:hAnsi="Times New Roman" w:cs="Times New Roman"/>
                <w:sz w:val="24"/>
                <w:szCs w:val="24"/>
              </w:rPr>
              <w:t>3,985,484,227</w:t>
            </w:r>
          </w:p>
        </w:tc>
      </w:tr>
      <w:bookmarkEnd w:id="3"/>
    </w:tbl>
    <w:p w14:paraId="2235D5AB" w14:textId="18064451" w:rsidR="001E4859" w:rsidRDefault="001E4859" w:rsidP="002D52D8">
      <w:pPr>
        <w:ind w:firstLine="720"/>
        <w:rPr>
          <w:rFonts w:ascii="Times New Roman" w:hAnsi="Times New Roman" w:cs="Times New Roman"/>
          <w:sz w:val="24"/>
          <w:szCs w:val="24"/>
        </w:rPr>
      </w:pPr>
    </w:p>
    <w:p w14:paraId="1D850DEB" w14:textId="1473A1C0" w:rsidR="00435024" w:rsidRDefault="009D53DB" w:rsidP="00DD5BA6">
      <w:pPr>
        <w:spacing w:before="240" w:line="360" w:lineRule="auto"/>
        <w:jc w:val="both"/>
        <w:rPr>
          <w:rFonts w:ascii="Times New Roman" w:hAnsi="Times New Roman" w:cs="Times New Roman"/>
          <w:sz w:val="24"/>
          <w:szCs w:val="24"/>
        </w:rPr>
      </w:pPr>
      <w:r w:rsidRPr="009D53DB">
        <w:rPr>
          <w:rFonts w:ascii="Times New Roman" w:hAnsi="Times New Roman" w:cs="Times New Roman"/>
          <w:b/>
          <w:bCs/>
          <w:sz w:val="24"/>
          <w:szCs w:val="24"/>
        </w:rPr>
        <w:lastRenderedPageBreak/>
        <w:t>Insight:</w:t>
      </w:r>
      <w:r w:rsidRPr="009D53DB">
        <w:rPr>
          <w:rFonts w:ascii="Times New Roman" w:hAnsi="Times New Roman" w:cs="Times New Roman"/>
          <w:sz w:val="24"/>
          <w:szCs w:val="24"/>
        </w:rPr>
        <w:t xml:space="preserve"> The gross profit margin is </w:t>
      </w:r>
      <w:r>
        <w:rPr>
          <w:rFonts w:ascii="Times New Roman" w:hAnsi="Times New Roman" w:cs="Times New Roman"/>
          <w:sz w:val="24"/>
          <w:szCs w:val="24"/>
        </w:rPr>
        <w:t>mostly between 70-80%</w:t>
      </w:r>
      <w:r w:rsidRPr="009D53DB">
        <w:rPr>
          <w:rFonts w:ascii="Times New Roman" w:hAnsi="Times New Roman" w:cs="Times New Roman"/>
          <w:sz w:val="24"/>
          <w:szCs w:val="24"/>
        </w:rPr>
        <w:t xml:space="preserve">, reflecting </w:t>
      </w:r>
      <w:r w:rsidR="00435024">
        <w:rPr>
          <w:rFonts w:ascii="Times New Roman" w:hAnsi="Times New Roman" w:cs="Times New Roman"/>
          <w:sz w:val="24"/>
          <w:szCs w:val="24"/>
        </w:rPr>
        <w:t>good</w:t>
      </w:r>
      <w:r w:rsidRPr="009D53DB">
        <w:rPr>
          <w:rFonts w:ascii="Times New Roman" w:hAnsi="Times New Roman" w:cs="Times New Roman"/>
          <w:sz w:val="24"/>
          <w:szCs w:val="24"/>
        </w:rPr>
        <w:t xml:space="preserve"> operational efficiency</w:t>
      </w:r>
      <w:r>
        <w:rPr>
          <w:rFonts w:ascii="Times New Roman" w:hAnsi="Times New Roman" w:cs="Times New Roman"/>
          <w:sz w:val="24"/>
          <w:szCs w:val="24"/>
        </w:rPr>
        <w:t>.</w:t>
      </w:r>
    </w:p>
    <w:p w14:paraId="30CAD251" w14:textId="6EB93A5B" w:rsidR="00435024" w:rsidRDefault="00535B63" w:rsidP="009D53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00A620" wp14:editId="68A6D4D9">
            <wp:extent cx="5617029" cy="2136161"/>
            <wp:effectExtent l="0" t="0" r="3175" b="16510"/>
            <wp:docPr id="125562128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C48783" w14:textId="173A9326" w:rsidR="004E7B08" w:rsidRDefault="001F7624" w:rsidP="009D53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1B0EDC" wp14:editId="1BCA7241">
            <wp:extent cx="5486400" cy="2458891"/>
            <wp:effectExtent l="0" t="0" r="0" b="17780"/>
            <wp:docPr id="14122028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A09613" w14:textId="2FFE1585" w:rsidR="004E7B08" w:rsidRPr="00085DE4" w:rsidRDefault="004E7B08" w:rsidP="009D53DB">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DE4">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 Liquidity Ratios</w:t>
      </w:r>
    </w:p>
    <w:p w14:paraId="19E0A271" w14:textId="7BEC5935" w:rsidR="004E7B08" w:rsidRPr="004E7B08" w:rsidRDefault="004E7B08" w:rsidP="00DD5BA6">
      <w:pPr>
        <w:spacing w:before="240" w:line="360" w:lineRule="auto"/>
        <w:ind w:firstLine="720"/>
        <w:jc w:val="both"/>
        <w:rPr>
          <w:rFonts w:ascii="Times New Roman" w:hAnsi="Times New Roman" w:cs="Times New Roman"/>
          <w:sz w:val="24"/>
          <w:szCs w:val="24"/>
        </w:rPr>
      </w:pPr>
      <w:r w:rsidRPr="004E7B08">
        <w:rPr>
          <w:rFonts w:ascii="Times New Roman" w:hAnsi="Times New Roman" w:cs="Times New Roman"/>
          <w:sz w:val="24"/>
          <w:szCs w:val="24"/>
        </w:rPr>
        <w:t>Current Ratio</w:t>
      </w:r>
      <w:r w:rsidR="00207849">
        <w:rPr>
          <w:rFonts w:ascii="Times New Roman" w:hAnsi="Times New Roman" w:cs="Times New Roman"/>
          <w:sz w:val="24"/>
          <w:szCs w:val="24"/>
        </w:rPr>
        <w:t xml:space="preserve"> =</w:t>
      </w:r>
      <w:r w:rsidRPr="004E7B08">
        <w:rPr>
          <w:rFonts w:ascii="Times New Roman" w:hAnsi="Times New Roman" w:cs="Times New Roman"/>
          <w:sz w:val="24"/>
          <w:szCs w:val="24"/>
        </w:rPr>
        <w:t xml:space="preserve"> (Current Assets ÷ Current Liabilities)</w:t>
      </w:r>
      <w:r>
        <w:rPr>
          <w:rFonts w:ascii="Times New Roman" w:hAnsi="Times New Roman" w:cs="Times New Roman"/>
          <w:sz w:val="24"/>
          <w:szCs w:val="24"/>
        </w:rPr>
        <w:t xml:space="preserve">; </w:t>
      </w:r>
      <w:r w:rsidRPr="004E7B08">
        <w:rPr>
          <w:rFonts w:ascii="Times New Roman" w:hAnsi="Times New Roman" w:cs="Times New Roman"/>
          <w:sz w:val="24"/>
          <w:szCs w:val="24"/>
        </w:rPr>
        <w:t>This ratio evaluates the company's ability to meet short-term obligations with short-term assets.</w:t>
      </w:r>
    </w:p>
    <w:p w14:paraId="3E3E6828" w14:textId="2EE1605D" w:rsidR="004E7B08" w:rsidRPr="00C7721D" w:rsidRDefault="004E7B08" w:rsidP="004E7B08">
      <w:pPr>
        <w:rPr>
          <w:rFonts w:ascii="Times New Roman" w:hAnsi="Times New Roman" w:cs="Times New Roman"/>
          <w:b/>
          <w:bCs/>
          <w:sz w:val="24"/>
          <w:szCs w:val="24"/>
        </w:rPr>
      </w:pPr>
      <w:r w:rsidRPr="00C7721D">
        <w:rPr>
          <w:rFonts w:ascii="Times New Roman" w:hAnsi="Times New Roman" w:cs="Times New Roman"/>
          <w:b/>
          <w:bCs/>
          <w:sz w:val="24"/>
          <w:szCs w:val="24"/>
        </w:rPr>
        <w:t>Analysis:</w:t>
      </w:r>
    </w:p>
    <w:tbl>
      <w:tblPr>
        <w:tblStyle w:val="TableGrid"/>
        <w:tblW w:w="9370" w:type="dxa"/>
        <w:tblLook w:val="04A0" w:firstRow="1" w:lastRow="0" w:firstColumn="1" w:lastColumn="0" w:noHBand="0" w:noVBand="1"/>
      </w:tblPr>
      <w:tblGrid>
        <w:gridCol w:w="2342"/>
        <w:gridCol w:w="2342"/>
        <w:gridCol w:w="2343"/>
        <w:gridCol w:w="2343"/>
      </w:tblGrid>
      <w:tr w:rsidR="004E7B08" w14:paraId="0C1B8D82" w14:textId="77777777" w:rsidTr="00481CEA">
        <w:trPr>
          <w:trHeight w:val="295"/>
        </w:trPr>
        <w:tc>
          <w:tcPr>
            <w:tcW w:w="2342" w:type="dxa"/>
          </w:tcPr>
          <w:p w14:paraId="25C16DB1" w14:textId="61D16571" w:rsidR="004E7B08" w:rsidRPr="00C635E8" w:rsidRDefault="00207849" w:rsidP="00481CEA">
            <w:pPr>
              <w:jc w:val="center"/>
              <w:rPr>
                <w:rFonts w:ascii="Times New Roman" w:hAnsi="Times New Roman" w:cs="Times New Roman"/>
                <w:b/>
                <w:bCs/>
                <w:sz w:val="24"/>
                <w:szCs w:val="24"/>
              </w:rPr>
            </w:pPr>
            <w:bookmarkStart w:id="4" w:name="_Hlk187188019"/>
            <w:r>
              <w:rPr>
                <w:rFonts w:ascii="Times New Roman" w:hAnsi="Times New Roman" w:cs="Times New Roman"/>
                <w:b/>
                <w:bCs/>
                <w:sz w:val="24"/>
                <w:szCs w:val="24"/>
              </w:rPr>
              <w:t>Year</w:t>
            </w:r>
          </w:p>
        </w:tc>
        <w:tc>
          <w:tcPr>
            <w:tcW w:w="2342" w:type="dxa"/>
          </w:tcPr>
          <w:p w14:paraId="0899E8F6" w14:textId="322CA7B4" w:rsidR="004E7B08" w:rsidRPr="00C635E8" w:rsidRDefault="004E7B08" w:rsidP="00481CEA">
            <w:pPr>
              <w:jc w:val="center"/>
              <w:rPr>
                <w:rFonts w:ascii="Times New Roman" w:hAnsi="Times New Roman" w:cs="Times New Roman"/>
                <w:b/>
                <w:bCs/>
                <w:sz w:val="24"/>
                <w:szCs w:val="24"/>
              </w:rPr>
            </w:pPr>
            <w:r>
              <w:rPr>
                <w:rFonts w:ascii="Times New Roman" w:hAnsi="Times New Roman" w:cs="Times New Roman"/>
                <w:b/>
                <w:bCs/>
                <w:sz w:val="24"/>
                <w:szCs w:val="24"/>
              </w:rPr>
              <w:t>Current Ratio</w:t>
            </w:r>
          </w:p>
        </w:tc>
        <w:tc>
          <w:tcPr>
            <w:tcW w:w="2343" w:type="dxa"/>
          </w:tcPr>
          <w:p w14:paraId="138AC7B0" w14:textId="28219B62" w:rsidR="004E7B08" w:rsidRPr="00C635E8" w:rsidRDefault="004E7B08" w:rsidP="00481CEA">
            <w:pPr>
              <w:jc w:val="center"/>
              <w:rPr>
                <w:rFonts w:ascii="Times New Roman" w:hAnsi="Times New Roman" w:cs="Times New Roman"/>
                <w:b/>
                <w:bCs/>
                <w:sz w:val="24"/>
                <w:szCs w:val="24"/>
              </w:rPr>
            </w:pPr>
            <w:r>
              <w:rPr>
                <w:rFonts w:ascii="Times New Roman" w:hAnsi="Times New Roman" w:cs="Times New Roman"/>
                <w:b/>
                <w:bCs/>
                <w:sz w:val="24"/>
                <w:szCs w:val="24"/>
              </w:rPr>
              <w:t>Current Asset</w:t>
            </w:r>
          </w:p>
        </w:tc>
        <w:tc>
          <w:tcPr>
            <w:tcW w:w="2343" w:type="dxa"/>
          </w:tcPr>
          <w:p w14:paraId="4E1B65C1" w14:textId="3F1B3816" w:rsidR="004E7B08" w:rsidRPr="00C635E8" w:rsidRDefault="004E7B08" w:rsidP="00481CEA">
            <w:pPr>
              <w:jc w:val="center"/>
              <w:rPr>
                <w:rFonts w:ascii="Times New Roman" w:hAnsi="Times New Roman" w:cs="Times New Roman"/>
                <w:b/>
                <w:bCs/>
                <w:sz w:val="24"/>
                <w:szCs w:val="24"/>
              </w:rPr>
            </w:pPr>
            <w:r>
              <w:rPr>
                <w:rFonts w:ascii="Times New Roman" w:hAnsi="Times New Roman" w:cs="Times New Roman"/>
                <w:b/>
                <w:bCs/>
                <w:sz w:val="24"/>
                <w:szCs w:val="24"/>
              </w:rPr>
              <w:t>Current Liability</w:t>
            </w:r>
          </w:p>
        </w:tc>
      </w:tr>
      <w:tr w:rsidR="004E7B08" w14:paraId="2C38EFBC" w14:textId="77777777" w:rsidTr="00481CEA">
        <w:trPr>
          <w:trHeight w:val="282"/>
        </w:trPr>
        <w:tc>
          <w:tcPr>
            <w:tcW w:w="2342" w:type="dxa"/>
          </w:tcPr>
          <w:p w14:paraId="18107963" w14:textId="77777777" w:rsidR="004E7B08" w:rsidRDefault="004E7B08" w:rsidP="00481CEA">
            <w:pPr>
              <w:jc w:val="center"/>
              <w:rPr>
                <w:rFonts w:ascii="Times New Roman" w:hAnsi="Times New Roman" w:cs="Times New Roman"/>
                <w:sz w:val="24"/>
                <w:szCs w:val="24"/>
              </w:rPr>
            </w:pPr>
            <w:r>
              <w:rPr>
                <w:rFonts w:ascii="Times New Roman" w:hAnsi="Times New Roman" w:cs="Times New Roman"/>
                <w:sz w:val="24"/>
                <w:szCs w:val="24"/>
              </w:rPr>
              <w:t>2013-14</w:t>
            </w:r>
          </w:p>
        </w:tc>
        <w:tc>
          <w:tcPr>
            <w:tcW w:w="2342" w:type="dxa"/>
          </w:tcPr>
          <w:p w14:paraId="4B0D978B" w14:textId="2717DCD5"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6.49</w:t>
            </w:r>
          </w:p>
        </w:tc>
        <w:tc>
          <w:tcPr>
            <w:tcW w:w="2343" w:type="dxa"/>
          </w:tcPr>
          <w:p w14:paraId="637B7B66" w14:textId="121F37FC"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2,599,323,034</w:t>
            </w:r>
          </w:p>
        </w:tc>
        <w:tc>
          <w:tcPr>
            <w:tcW w:w="2343" w:type="dxa"/>
          </w:tcPr>
          <w:p w14:paraId="1339D1F9" w14:textId="325BBA0D"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400,772,368</w:t>
            </w:r>
          </w:p>
        </w:tc>
      </w:tr>
      <w:tr w:rsidR="004E7B08" w14:paraId="0A1057C4" w14:textId="77777777" w:rsidTr="00481CEA">
        <w:trPr>
          <w:trHeight w:val="295"/>
        </w:trPr>
        <w:tc>
          <w:tcPr>
            <w:tcW w:w="2342" w:type="dxa"/>
          </w:tcPr>
          <w:p w14:paraId="1F51D491" w14:textId="77777777" w:rsidR="004E7B08" w:rsidRDefault="004E7B08" w:rsidP="00481CEA">
            <w:pPr>
              <w:jc w:val="center"/>
              <w:rPr>
                <w:rFonts w:ascii="Times New Roman" w:hAnsi="Times New Roman" w:cs="Times New Roman"/>
                <w:sz w:val="24"/>
                <w:szCs w:val="24"/>
              </w:rPr>
            </w:pPr>
            <w:r>
              <w:rPr>
                <w:rFonts w:ascii="Times New Roman" w:hAnsi="Times New Roman" w:cs="Times New Roman"/>
                <w:sz w:val="24"/>
                <w:szCs w:val="24"/>
              </w:rPr>
              <w:t>2014-15</w:t>
            </w:r>
          </w:p>
        </w:tc>
        <w:tc>
          <w:tcPr>
            <w:tcW w:w="2342" w:type="dxa"/>
          </w:tcPr>
          <w:p w14:paraId="21548D47" w14:textId="2C2FE5AD"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2.40</w:t>
            </w:r>
          </w:p>
        </w:tc>
        <w:tc>
          <w:tcPr>
            <w:tcW w:w="2343" w:type="dxa"/>
          </w:tcPr>
          <w:p w14:paraId="43BCA506" w14:textId="0B6E1716"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1,553,310,091</w:t>
            </w:r>
          </w:p>
        </w:tc>
        <w:tc>
          <w:tcPr>
            <w:tcW w:w="2343" w:type="dxa"/>
          </w:tcPr>
          <w:p w14:paraId="3713B4EA" w14:textId="732FEB61"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647,317,577</w:t>
            </w:r>
          </w:p>
        </w:tc>
      </w:tr>
      <w:tr w:rsidR="004E7B08" w14:paraId="006369EB" w14:textId="77777777" w:rsidTr="00481CEA">
        <w:trPr>
          <w:trHeight w:val="295"/>
        </w:trPr>
        <w:tc>
          <w:tcPr>
            <w:tcW w:w="2342" w:type="dxa"/>
          </w:tcPr>
          <w:p w14:paraId="3003BD1E" w14:textId="77777777" w:rsidR="004E7B08" w:rsidRDefault="004E7B08" w:rsidP="00481CEA">
            <w:pPr>
              <w:jc w:val="center"/>
              <w:rPr>
                <w:rFonts w:ascii="Times New Roman" w:hAnsi="Times New Roman" w:cs="Times New Roman"/>
                <w:sz w:val="24"/>
                <w:szCs w:val="24"/>
              </w:rPr>
            </w:pPr>
            <w:r>
              <w:rPr>
                <w:rFonts w:ascii="Times New Roman" w:hAnsi="Times New Roman" w:cs="Times New Roman"/>
                <w:sz w:val="24"/>
                <w:szCs w:val="24"/>
              </w:rPr>
              <w:t>2016-17</w:t>
            </w:r>
          </w:p>
        </w:tc>
        <w:tc>
          <w:tcPr>
            <w:tcW w:w="2342" w:type="dxa"/>
          </w:tcPr>
          <w:p w14:paraId="1A7AE33F" w14:textId="7F374F27"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3.49</w:t>
            </w:r>
          </w:p>
        </w:tc>
        <w:tc>
          <w:tcPr>
            <w:tcW w:w="2343" w:type="dxa"/>
          </w:tcPr>
          <w:p w14:paraId="776C95F7" w14:textId="1377D9F9"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2,712,755,209</w:t>
            </w:r>
          </w:p>
        </w:tc>
        <w:tc>
          <w:tcPr>
            <w:tcW w:w="2343" w:type="dxa"/>
          </w:tcPr>
          <w:p w14:paraId="1BC219C5" w14:textId="32FA9AA5"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778,384,565</w:t>
            </w:r>
          </w:p>
        </w:tc>
      </w:tr>
      <w:tr w:rsidR="004E7B08" w14:paraId="5389C7B1" w14:textId="77777777" w:rsidTr="00481CEA">
        <w:trPr>
          <w:trHeight w:val="282"/>
        </w:trPr>
        <w:tc>
          <w:tcPr>
            <w:tcW w:w="2342" w:type="dxa"/>
          </w:tcPr>
          <w:p w14:paraId="00E31D90" w14:textId="77777777" w:rsidR="004E7B08" w:rsidRDefault="004E7B08" w:rsidP="00481CEA">
            <w:pPr>
              <w:jc w:val="center"/>
              <w:rPr>
                <w:rFonts w:ascii="Times New Roman" w:hAnsi="Times New Roman" w:cs="Times New Roman"/>
                <w:sz w:val="24"/>
                <w:szCs w:val="24"/>
              </w:rPr>
            </w:pPr>
            <w:r>
              <w:rPr>
                <w:rFonts w:ascii="Times New Roman" w:hAnsi="Times New Roman" w:cs="Times New Roman"/>
                <w:sz w:val="24"/>
                <w:szCs w:val="24"/>
              </w:rPr>
              <w:t>2017-18</w:t>
            </w:r>
          </w:p>
        </w:tc>
        <w:tc>
          <w:tcPr>
            <w:tcW w:w="2342" w:type="dxa"/>
          </w:tcPr>
          <w:p w14:paraId="23F1D1D7" w14:textId="0F274DA8"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2.48</w:t>
            </w:r>
          </w:p>
        </w:tc>
        <w:tc>
          <w:tcPr>
            <w:tcW w:w="2343" w:type="dxa"/>
          </w:tcPr>
          <w:p w14:paraId="0F0BF39F" w14:textId="2AA6FB4B"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3,166,318,254</w:t>
            </w:r>
          </w:p>
        </w:tc>
        <w:tc>
          <w:tcPr>
            <w:tcW w:w="2343" w:type="dxa"/>
          </w:tcPr>
          <w:p w14:paraId="588DD0A2" w14:textId="5AAC2D1F"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1,277,640,618</w:t>
            </w:r>
          </w:p>
        </w:tc>
      </w:tr>
      <w:tr w:rsidR="004E7B08" w14:paraId="2D86C14C" w14:textId="77777777" w:rsidTr="00481CEA">
        <w:trPr>
          <w:trHeight w:val="295"/>
        </w:trPr>
        <w:tc>
          <w:tcPr>
            <w:tcW w:w="2342" w:type="dxa"/>
          </w:tcPr>
          <w:p w14:paraId="67BEC044" w14:textId="77777777" w:rsidR="004E7B08" w:rsidRDefault="004E7B08" w:rsidP="00481CEA">
            <w:pPr>
              <w:jc w:val="center"/>
              <w:rPr>
                <w:rFonts w:ascii="Times New Roman" w:hAnsi="Times New Roman" w:cs="Times New Roman"/>
                <w:sz w:val="24"/>
                <w:szCs w:val="24"/>
              </w:rPr>
            </w:pPr>
            <w:r>
              <w:rPr>
                <w:rFonts w:ascii="Times New Roman" w:hAnsi="Times New Roman" w:cs="Times New Roman"/>
                <w:sz w:val="24"/>
                <w:szCs w:val="24"/>
              </w:rPr>
              <w:t>2018-19</w:t>
            </w:r>
          </w:p>
        </w:tc>
        <w:tc>
          <w:tcPr>
            <w:tcW w:w="2342" w:type="dxa"/>
          </w:tcPr>
          <w:p w14:paraId="1BE2F148" w14:textId="40C304EE"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2.60</w:t>
            </w:r>
          </w:p>
        </w:tc>
        <w:tc>
          <w:tcPr>
            <w:tcW w:w="2343" w:type="dxa"/>
          </w:tcPr>
          <w:p w14:paraId="6C4F254E" w14:textId="7EA7B4B1"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4,547,382,812</w:t>
            </w:r>
          </w:p>
        </w:tc>
        <w:tc>
          <w:tcPr>
            <w:tcW w:w="2343" w:type="dxa"/>
          </w:tcPr>
          <w:p w14:paraId="33570C7C" w14:textId="7F2C2EBF"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1,747,312,724</w:t>
            </w:r>
          </w:p>
        </w:tc>
      </w:tr>
      <w:tr w:rsidR="004E7B08" w14:paraId="564D0922" w14:textId="77777777" w:rsidTr="00481CEA">
        <w:trPr>
          <w:trHeight w:val="282"/>
        </w:trPr>
        <w:tc>
          <w:tcPr>
            <w:tcW w:w="2342" w:type="dxa"/>
          </w:tcPr>
          <w:p w14:paraId="25B248B1" w14:textId="77777777" w:rsidR="004E7B08" w:rsidRDefault="004E7B08" w:rsidP="00481CEA">
            <w:pPr>
              <w:jc w:val="center"/>
              <w:rPr>
                <w:rFonts w:ascii="Times New Roman" w:hAnsi="Times New Roman" w:cs="Times New Roman"/>
                <w:sz w:val="24"/>
                <w:szCs w:val="24"/>
              </w:rPr>
            </w:pPr>
            <w:r>
              <w:rPr>
                <w:rFonts w:ascii="Times New Roman" w:hAnsi="Times New Roman" w:cs="Times New Roman"/>
                <w:sz w:val="24"/>
                <w:szCs w:val="24"/>
              </w:rPr>
              <w:t>2019-20</w:t>
            </w:r>
          </w:p>
        </w:tc>
        <w:tc>
          <w:tcPr>
            <w:tcW w:w="2342" w:type="dxa"/>
          </w:tcPr>
          <w:p w14:paraId="439B7E19" w14:textId="51A726B5"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2.60</w:t>
            </w:r>
          </w:p>
        </w:tc>
        <w:tc>
          <w:tcPr>
            <w:tcW w:w="2343" w:type="dxa"/>
          </w:tcPr>
          <w:p w14:paraId="3F417014" w14:textId="0B55D131"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5,665,478,464</w:t>
            </w:r>
          </w:p>
        </w:tc>
        <w:tc>
          <w:tcPr>
            <w:tcW w:w="2343" w:type="dxa"/>
          </w:tcPr>
          <w:p w14:paraId="4C7597CA" w14:textId="54E234A6"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2,175,928,393</w:t>
            </w:r>
          </w:p>
        </w:tc>
      </w:tr>
      <w:tr w:rsidR="004E7B08" w14:paraId="1DA05A07" w14:textId="77777777" w:rsidTr="00481CEA">
        <w:trPr>
          <w:trHeight w:val="295"/>
        </w:trPr>
        <w:tc>
          <w:tcPr>
            <w:tcW w:w="2342" w:type="dxa"/>
          </w:tcPr>
          <w:p w14:paraId="646434A4" w14:textId="77777777" w:rsidR="004E7B08" w:rsidRDefault="004E7B08" w:rsidP="00481CEA">
            <w:pPr>
              <w:jc w:val="center"/>
              <w:rPr>
                <w:rFonts w:ascii="Times New Roman" w:hAnsi="Times New Roman" w:cs="Times New Roman"/>
                <w:sz w:val="24"/>
                <w:szCs w:val="24"/>
              </w:rPr>
            </w:pPr>
            <w:r>
              <w:rPr>
                <w:rFonts w:ascii="Times New Roman" w:hAnsi="Times New Roman" w:cs="Times New Roman"/>
                <w:sz w:val="24"/>
                <w:szCs w:val="24"/>
              </w:rPr>
              <w:t>2020-21</w:t>
            </w:r>
          </w:p>
        </w:tc>
        <w:tc>
          <w:tcPr>
            <w:tcW w:w="2342" w:type="dxa"/>
          </w:tcPr>
          <w:p w14:paraId="734468DE" w14:textId="78F08F12"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3.40</w:t>
            </w:r>
          </w:p>
        </w:tc>
        <w:tc>
          <w:tcPr>
            <w:tcW w:w="2343" w:type="dxa"/>
          </w:tcPr>
          <w:p w14:paraId="2277FF11" w14:textId="4D793E6D"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7,086,118,262</w:t>
            </w:r>
          </w:p>
        </w:tc>
        <w:tc>
          <w:tcPr>
            <w:tcW w:w="2343" w:type="dxa"/>
          </w:tcPr>
          <w:p w14:paraId="7080F0BC" w14:textId="660955AD"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2,084,957,245</w:t>
            </w:r>
          </w:p>
        </w:tc>
      </w:tr>
      <w:tr w:rsidR="004E7B08" w14:paraId="25D2A655" w14:textId="77777777" w:rsidTr="00481CEA">
        <w:trPr>
          <w:trHeight w:val="295"/>
        </w:trPr>
        <w:tc>
          <w:tcPr>
            <w:tcW w:w="2342" w:type="dxa"/>
          </w:tcPr>
          <w:p w14:paraId="2BAA9097" w14:textId="77777777" w:rsidR="004E7B08" w:rsidRDefault="004E7B08" w:rsidP="00481CEA">
            <w:pPr>
              <w:jc w:val="center"/>
              <w:rPr>
                <w:rFonts w:ascii="Times New Roman" w:hAnsi="Times New Roman" w:cs="Times New Roman"/>
                <w:sz w:val="24"/>
                <w:szCs w:val="24"/>
              </w:rPr>
            </w:pPr>
            <w:r>
              <w:rPr>
                <w:rFonts w:ascii="Times New Roman" w:hAnsi="Times New Roman" w:cs="Times New Roman"/>
                <w:sz w:val="24"/>
                <w:szCs w:val="24"/>
              </w:rPr>
              <w:lastRenderedPageBreak/>
              <w:t>2021-22</w:t>
            </w:r>
          </w:p>
        </w:tc>
        <w:tc>
          <w:tcPr>
            <w:tcW w:w="2342" w:type="dxa"/>
          </w:tcPr>
          <w:p w14:paraId="4979C6B9" w14:textId="0384AA9B"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3.32</w:t>
            </w:r>
          </w:p>
        </w:tc>
        <w:tc>
          <w:tcPr>
            <w:tcW w:w="2343" w:type="dxa"/>
          </w:tcPr>
          <w:p w14:paraId="5FC98730" w14:textId="1DDF0A2B"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8,721,400,799</w:t>
            </w:r>
          </w:p>
        </w:tc>
        <w:tc>
          <w:tcPr>
            <w:tcW w:w="2343" w:type="dxa"/>
          </w:tcPr>
          <w:p w14:paraId="5154306D" w14:textId="187A3769"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2,626,441,902</w:t>
            </w:r>
          </w:p>
        </w:tc>
      </w:tr>
      <w:tr w:rsidR="004E7B08" w14:paraId="614FDB28" w14:textId="77777777" w:rsidTr="00481CEA">
        <w:trPr>
          <w:trHeight w:val="282"/>
        </w:trPr>
        <w:tc>
          <w:tcPr>
            <w:tcW w:w="2342" w:type="dxa"/>
          </w:tcPr>
          <w:p w14:paraId="1D43D177" w14:textId="77777777" w:rsidR="004E7B08" w:rsidRDefault="004E7B08" w:rsidP="00481CEA">
            <w:pPr>
              <w:jc w:val="center"/>
              <w:rPr>
                <w:rFonts w:ascii="Times New Roman" w:hAnsi="Times New Roman" w:cs="Times New Roman"/>
                <w:sz w:val="24"/>
                <w:szCs w:val="24"/>
              </w:rPr>
            </w:pPr>
            <w:r>
              <w:rPr>
                <w:rFonts w:ascii="Times New Roman" w:hAnsi="Times New Roman" w:cs="Times New Roman"/>
                <w:sz w:val="24"/>
                <w:szCs w:val="24"/>
              </w:rPr>
              <w:t>2022-23</w:t>
            </w:r>
          </w:p>
        </w:tc>
        <w:tc>
          <w:tcPr>
            <w:tcW w:w="2342" w:type="dxa"/>
          </w:tcPr>
          <w:p w14:paraId="4DC779C0" w14:textId="1CF6E99D"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3.35</w:t>
            </w:r>
          </w:p>
        </w:tc>
        <w:tc>
          <w:tcPr>
            <w:tcW w:w="2343" w:type="dxa"/>
          </w:tcPr>
          <w:p w14:paraId="7896AB70" w14:textId="06910004"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7,688,620,099</w:t>
            </w:r>
          </w:p>
        </w:tc>
        <w:tc>
          <w:tcPr>
            <w:tcW w:w="2343" w:type="dxa"/>
          </w:tcPr>
          <w:p w14:paraId="473BEF15" w14:textId="6850FD5D"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2,291,700,780</w:t>
            </w:r>
          </w:p>
        </w:tc>
      </w:tr>
      <w:tr w:rsidR="004E7B08" w14:paraId="66B8563F" w14:textId="77777777" w:rsidTr="00481CEA">
        <w:trPr>
          <w:trHeight w:val="295"/>
        </w:trPr>
        <w:tc>
          <w:tcPr>
            <w:tcW w:w="2342" w:type="dxa"/>
          </w:tcPr>
          <w:p w14:paraId="4F978843" w14:textId="77777777" w:rsidR="004E7B08" w:rsidRDefault="004E7B08" w:rsidP="00481CEA">
            <w:pPr>
              <w:jc w:val="center"/>
              <w:rPr>
                <w:rFonts w:ascii="Times New Roman" w:hAnsi="Times New Roman" w:cs="Times New Roman"/>
                <w:sz w:val="24"/>
                <w:szCs w:val="24"/>
              </w:rPr>
            </w:pPr>
            <w:r>
              <w:rPr>
                <w:rFonts w:ascii="Times New Roman" w:hAnsi="Times New Roman" w:cs="Times New Roman"/>
                <w:sz w:val="24"/>
                <w:szCs w:val="24"/>
              </w:rPr>
              <w:t>2023-24</w:t>
            </w:r>
          </w:p>
        </w:tc>
        <w:tc>
          <w:tcPr>
            <w:tcW w:w="2342" w:type="dxa"/>
          </w:tcPr>
          <w:p w14:paraId="0353606A" w14:textId="134DF00C"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4.20</w:t>
            </w:r>
          </w:p>
        </w:tc>
        <w:tc>
          <w:tcPr>
            <w:tcW w:w="2343" w:type="dxa"/>
          </w:tcPr>
          <w:p w14:paraId="30A66F77" w14:textId="7DEA7477"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8,173,854,655</w:t>
            </w:r>
          </w:p>
        </w:tc>
        <w:tc>
          <w:tcPr>
            <w:tcW w:w="2343" w:type="dxa"/>
          </w:tcPr>
          <w:p w14:paraId="7C0F0178" w14:textId="0258AA4B" w:rsidR="004E7B08" w:rsidRDefault="00050639" w:rsidP="00481CEA">
            <w:pPr>
              <w:jc w:val="center"/>
              <w:rPr>
                <w:rFonts w:ascii="Times New Roman" w:hAnsi="Times New Roman" w:cs="Times New Roman"/>
                <w:sz w:val="24"/>
                <w:szCs w:val="24"/>
              </w:rPr>
            </w:pPr>
            <w:r w:rsidRPr="00050639">
              <w:rPr>
                <w:rFonts w:ascii="Times New Roman" w:hAnsi="Times New Roman" w:cs="Times New Roman"/>
                <w:sz w:val="24"/>
                <w:szCs w:val="24"/>
              </w:rPr>
              <w:t>1,946,098,816</w:t>
            </w:r>
          </w:p>
        </w:tc>
      </w:tr>
    </w:tbl>
    <w:p w14:paraId="6D5D0CD0" w14:textId="77777777" w:rsidR="004E7B08" w:rsidRDefault="004E7B08" w:rsidP="004E7B08">
      <w:pPr>
        <w:rPr>
          <w:rFonts w:ascii="Times New Roman" w:hAnsi="Times New Roman" w:cs="Times New Roman"/>
          <w:sz w:val="24"/>
          <w:szCs w:val="24"/>
        </w:rPr>
      </w:pPr>
    </w:p>
    <w:bookmarkEnd w:id="4"/>
    <w:p w14:paraId="44FEFD08" w14:textId="66A4DA63" w:rsidR="00207849" w:rsidRDefault="00207849" w:rsidP="004E7B08">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2510C921" wp14:editId="690798E6">
            <wp:extent cx="5486400" cy="2412787"/>
            <wp:effectExtent l="0" t="0" r="0" b="6985"/>
            <wp:docPr id="4014500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77042A" w14:textId="083F3169" w:rsidR="00207849" w:rsidRPr="00F30893" w:rsidRDefault="00207849" w:rsidP="004E7B08">
      <w:pPr>
        <w:rPr>
          <w:rFonts w:ascii="Times New Roman" w:hAnsi="Times New Roman" w:cs="Times New Roman"/>
          <w:b/>
          <w:bCs/>
          <w:sz w:val="24"/>
          <w:szCs w:val="24"/>
        </w:rPr>
      </w:pPr>
      <w:r w:rsidRPr="00F30893">
        <w:rPr>
          <w:rFonts w:ascii="Times New Roman" w:hAnsi="Times New Roman" w:cs="Times New Roman"/>
          <w:b/>
          <w:bCs/>
          <w:sz w:val="24"/>
          <w:szCs w:val="24"/>
        </w:rPr>
        <w:t>Quick Ratio:</w:t>
      </w:r>
    </w:p>
    <w:p w14:paraId="043EECCC" w14:textId="3D2BD798" w:rsidR="001E1C97" w:rsidRDefault="00207849" w:rsidP="004E7B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55E1AD" wp14:editId="0E0F2584">
            <wp:extent cx="5486400" cy="2312894"/>
            <wp:effectExtent l="0" t="0" r="0" b="11430"/>
            <wp:docPr id="110611309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389AA0" w14:textId="6C029698" w:rsidR="001E1C97" w:rsidRPr="00085DE4" w:rsidRDefault="001E1C97" w:rsidP="004E7B08">
      <w:pP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DE4">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 Debt Ratio</w:t>
      </w:r>
    </w:p>
    <w:p w14:paraId="6383BEFC" w14:textId="32F7C748" w:rsidR="001E1C97" w:rsidRDefault="001E1C97" w:rsidP="00DD5BA6">
      <w:pPr>
        <w:spacing w:before="240" w:line="360" w:lineRule="auto"/>
        <w:jc w:val="both"/>
        <w:rPr>
          <w:rFonts w:ascii="Times New Roman" w:hAnsi="Times New Roman" w:cs="Times New Roman"/>
          <w:sz w:val="24"/>
          <w:szCs w:val="24"/>
        </w:rPr>
      </w:pPr>
      <w:r w:rsidRPr="001E1C97">
        <w:rPr>
          <w:rFonts w:ascii="Times New Roman" w:hAnsi="Times New Roman" w:cs="Times New Roman"/>
          <w:sz w:val="24"/>
          <w:szCs w:val="24"/>
        </w:rPr>
        <w:t>Debt Ratio</w:t>
      </w:r>
      <w:r w:rsidR="00C7721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E1C97">
        <w:rPr>
          <w:rFonts w:ascii="Times New Roman" w:hAnsi="Times New Roman" w:cs="Times New Roman"/>
          <w:sz w:val="24"/>
          <w:szCs w:val="24"/>
        </w:rPr>
        <w:t>(Total Liabilities ÷ Total Equity)</w:t>
      </w:r>
      <w:r>
        <w:rPr>
          <w:rFonts w:ascii="Times New Roman" w:hAnsi="Times New Roman" w:cs="Times New Roman"/>
          <w:sz w:val="24"/>
          <w:szCs w:val="24"/>
        </w:rPr>
        <w:t>;</w:t>
      </w:r>
      <w:r w:rsidRPr="001E1C97">
        <w:rPr>
          <w:rFonts w:ascii="Times New Roman" w:hAnsi="Times New Roman" w:cs="Times New Roman"/>
          <w:sz w:val="24"/>
          <w:szCs w:val="24"/>
        </w:rPr>
        <w:t xml:space="preserve"> This ratio measures the financial leverage of the company.</w:t>
      </w:r>
    </w:p>
    <w:p w14:paraId="40C63EDD" w14:textId="3E9EC696" w:rsidR="001E1C97" w:rsidRPr="00C7721D" w:rsidRDefault="001E1C97" w:rsidP="001E1C97">
      <w:pPr>
        <w:rPr>
          <w:rFonts w:ascii="Times New Roman" w:hAnsi="Times New Roman" w:cs="Times New Roman"/>
          <w:b/>
          <w:bCs/>
          <w:sz w:val="24"/>
          <w:szCs w:val="24"/>
        </w:rPr>
      </w:pPr>
      <w:r w:rsidRPr="00C7721D">
        <w:rPr>
          <w:rFonts w:ascii="Times New Roman" w:hAnsi="Times New Roman" w:cs="Times New Roman"/>
          <w:b/>
          <w:bCs/>
          <w:sz w:val="24"/>
          <w:szCs w:val="24"/>
        </w:rPr>
        <w:t>Analysis:</w:t>
      </w:r>
    </w:p>
    <w:tbl>
      <w:tblPr>
        <w:tblStyle w:val="TableGrid"/>
        <w:tblW w:w="9370" w:type="dxa"/>
        <w:tblLook w:val="04A0" w:firstRow="1" w:lastRow="0" w:firstColumn="1" w:lastColumn="0" w:noHBand="0" w:noVBand="1"/>
      </w:tblPr>
      <w:tblGrid>
        <w:gridCol w:w="2342"/>
        <w:gridCol w:w="2153"/>
        <w:gridCol w:w="2532"/>
        <w:gridCol w:w="2343"/>
      </w:tblGrid>
      <w:tr w:rsidR="001E1C97" w14:paraId="2619B801" w14:textId="77777777" w:rsidTr="00DD5109">
        <w:trPr>
          <w:trHeight w:val="295"/>
        </w:trPr>
        <w:tc>
          <w:tcPr>
            <w:tcW w:w="2342" w:type="dxa"/>
          </w:tcPr>
          <w:p w14:paraId="6FBB1229" w14:textId="77777777" w:rsidR="001E1C97" w:rsidRPr="00C635E8" w:rsidRDefault="001E1C97" w:rsidP="00481CEA">
            <w:pPr>
              <w:jc w:val="center"/>
              <w:rPr>
                <w:rFonts w:ascii="Times New Roman" w:hAnsi="Times New Roman" w:cs="Times New Roman"/>
                <w:b/>
                <w:bCs/>
                <w:sz w:val="24"/>
                <w:szCs w:val="24"/>
              </w:rPr>
            </w:pPr>
            <w:bookmarkStart w:id="5" w:name="_Hlk187189514"/>
            <w:r>
              <w:rPr>
                <w:rFonts w:ascii="Times New Roman" w:hAnsi="Times New Roman" w:cs="Times New Roman"/>
                <w:b/>
                <w:bCs/>
                <w:sz w:val="24"/>
                <w:szCs w:val="24"/>
              </w:rPr>
              <w:t>Year</w:t>
            </w:r>
          </w:p>
        </w:tc>
        <w:tc>
          <w:tcPr>
            <w:tcW w:w="2153" w:type="dxa"/>
          </w:tcPr>
          <w:p w14:paraId="76B4A2F5" w14:textId="2888CF20" w:rsidR="001E1C97" w:rsidRPr="00C635E8" w:rsidRDefault="001E1C97" w:rsidP="00481CEA">
            <w:pPr>
              <w:jc w:val="center"/>
              <w:rPr>
                <w:rFonts w:ascii="Times New Roman" w:hAnsi="Times New Roman" w:cs="Times New Roman"/>
                <w:b/>
                <w:bCs/>
                <w:sz w:val="24"/>
                <w:szCs w:val="24"/>
              </w:rPr>
            </w:pPr>
            <w:r>
              <w:rPr>
                <w:rFonts w:ascii="Times New Roman" w:hAnsi="Times New Roman" w:cs="Times New Roman"/>
                <w:b/>
                <w:bCs/>
                <w:sz w:val="24"/>
                <w:szCs w:val="24"/>
              </w:rPr>
              <w:t>Debt</w:t>
            </w:r>
            <w:r>
              <w:rPr>
                <w:rFonts w:ascii="Times New Roman" w:hAnsi="Times New Roman" w:cs="Times New Roman"/>
                <w:b/>
                <w:bCs/>
                <w:sz w:val="24"/>
                <w:szCs w:val="24"/>
              </w:rPr>
              <w:t xml:space="preserve"> Ratio</w:t>
            </w:r>
          </w:p>
        </w:tc>
        <w:tc>
          <w:tcPr>
            <w:tcW w:w="2532" w:type="dxa"/>
          </w:tcPr>
          <w:p w14:paraId="0ADC78C8" w14:textId="157C1223" w:rsidR="001E1C97" w:rsidRPr="00C635E8" w:rsidRDefault="001E1C97" w:rsidP="00481CEA">
            <w:pPr>
              <w:jc w:val="center"/>
              <w:rPr>
                <w:rFonts w:ascii="Times New Roman" w:hAnsi="Times New Roman" w:cs="Times New Roman"/>
                <w:b/>
                <w:bCs/>
                <w:sz w:val="24"/>
                <w:szCs w:val="24"/>
              </w:rPr>
            </w:pPr>
            <w:r>
              <w:rPr>
                <w:rFonts w:ascii="Times New Roman" w:hAnsi="Times New Roman" w:cs="Times New Roman"/>
                <w:b/>
                <w:bCs/>
                <w:sz w:val="24"/>
                <w:szCs w:val="24"/>
              </w:rPr>
              <w:t>Total Equity</w:t>
            </w:r>
          </w:p>
        </w:tc>
        <w:tc>
          <w:tcPr>
            <w:tcW w:w="2343" w:type="dxa"/>
          </w:tcPr>
          <w:p w14:paraId="47125A29" w14:textId="479EEBDC" w:rsidR="001E1C97" w:rsidRPr="00C635E8" w:rsidRDefault="001E1C97" w:rsidP="00481CEA">
            <w:pPr>
              <w:jc w:val="center"/>
              <w:rPr>
                <w:rFonts w:ascii="Times New Roman" w:hAnsi="Times New Roman" w:cs="Times New Roman"/>
                <w:b/>
                <w:bCs/>
                <w:sz w:val="24"/>
                <w:szCs w:val="24"/>
              </w:rPr>
            </w:pPr>
            <w:r>
              <w:rPr>
                <w:rFonts w:ascii="Times New Roman" w:hAnsi="Times New Roman" w:cs="Times New Roman"/>
                <w:b/>
                <w:bCs/>
                <w:sz w:val="24"/>
                <w:szCs w:val="24"/>
              </w:rPr>
              <w:t>Total</w:t>
            </w:r>
            <w:r>
              <w:rPr>
                <w:rFonts w:ascii="Times New Roman" w:hAnsi="Times New Roman" w:cs="Times New Roman"/>
                <w:b/>
                <w:bCs/>
                <w:sz w:val="24"/>
                <w:szCs w:val="24"/>
              </w:rPr>
              <w:t xml:space="preserve"> Liability</w:t>
            </w:r>
          </w:p>
        </w:tc>
      </w:tr>
      <w:tr w:rsidR="001E1C97" w14:paraId="4B75FCFA" w14:textId="77777777" w:rsidTr="00DD5109">
        <w:trPr>
          <w:trHeight w:val="282"/>
        </w:trPr>
        <w:tc>
          <w:tcPr>
            <w:tcW w:w="2342" w:type="dxa"/>
          </w:tcPr>
          <w:p w14:paraId="43B4C16D" w14:textId="77777777" w:rsidR="001E1C97" w:rsidRDefault="001E1C97" w:rsidP="00481CEA">
            <w:pPr>
              <w:jc w:val="center"/>
              <w:rPr>
                <w:rFonts w:ascii="Times New Roman" w:hAnsi="Times New Roman" w:cs="Times New Roman"/>
                <w:sz w:val="24"/>
                <w:szCs w:val="24"/>
              </w:rPr>
            </w:pPr>
            <w:r>
              <w:rPr>
                <w:rFonts w:ascii="Times New Roman" w:hAnsi="Times New Roman" w:cs="Times New Roman"/>
                <w:sz w:val="24"/>
                <w:szCs w:val="24"/>
              </w:rPr>
              <w:t>2013-14</w:t>
            </w:r>
          </w:p>
        </w:tc>
        <w:tc>
          <w:tcPr>
            <w:tcW w:w="2153" w:type="dxa"/>
          </w:tcPr>
          <w:p w14:paraId="086D3BE2" w14:textId="3564635E"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0.15</w:t>
            </w:r>
          </w:p>
        </w:tc>
        <w:tc>
          <w:tcPr>
            <w:tcW w:w="2532" w:type="dxa"/>
          </w:tcPr>
          <w:p w14:paraId="619EF2F0" w14:textId="3C81E400"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4,054,468,522</w:t>
            </w:r>
          </w:p>
        </w:tc>
        <w:tc>
          <w:tcPr>
            <w:tcW w:w="2343" w:type="dxa"/>
          </w:tcPr>
          <w:p w14:paraId="29DAD6FA" w14:textId="4B43D4D3" w:rsidR="001E1C97" w:rsidRDefault="008F106F" w:rsidP="00481CEA">
            <w:pPr>
              <w:jc w:val="center"/>
              <w:rPr>
                <w:rFonts w:ascii="Times New Roman" w:hAnsi="Times New Roman" w:cs="Times New Roman"/>
                <w:sz w:val="24"/>
                <w:szCs w:val="24"/>
              </w:rPr>
            </w:pPr>
            <w:r w:rsidRPr="008F106F">
              <w:rPr>
                <w:rFonts w:ascii="Times New Roman" w:hAnsi="Times New Roman" w:cs="Times New Roman"/>
                <w:sz w:val="24"/>
                <w:szCs w:val="24"/>
              </w:rPr>
              <w:t>711,301,663</w:t>
            </w:r>
          </w:p>
        </w:tc>
      </w:tr>
      <w:tr w:rsidR="001E1C97" w14:paraId="0E03F58C" w14:textId="77777777" w:rsidTr="00DD5109">
        <w:trPr>
          <w:trHeight w:val="295"/>
        </w:trPr>
        <w:tc>
          <w:tcPr>
            <w:tcW w:w="2342" w:type="dxa"/>
          </w:tcPr>
          <w:p w14:paraId="0876D997" w14:textId="77777777" w:rsidR="001E1C97" w:rsidRDefault="001E1C97" w:rsidP="00481CEA">
            <w:pPr>
              <w:jc w:val="center"/>
              <w:rPr>
                <w:rFonts w:ascii="Times New Roman" w:hAnsi="Times New Roman" w:cs="Times New Roman"/>
                <w:sz w:val="24"/>
                <w:szCs w:val="24"/>
              </w:rPr>
            </w:pPr>
            <w:r>
              <w:rPr>
                <w:rFonts w:ascii="Times New Roman" w:hAnsi="Times New Roman" w:cs="Times New Roman"/>
                <w:sz w:val="24"/>
                <w:szCs w:val="24"/>
              </w:rPr>
              <w:t>2014-15</w:t>
            </w:r>
          </w:p>
        </w:tc>
        <w:tc>
          <w:tcPr>
            <w:tcW w:w="2153" w:type="dxa"/>
          </w:tcPr>
          <w:p w14:paraId="5286365E" w14:textId="20E8B696"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0.29</w:t>
            </w:r>
          </w:p>
        </w:tc>
        <w:tc>
          <w:tcPr>
            <w:tcW w:w="2532" w:type="dxa"/>
          </w:tcPr>
          <w:p w14:paraId="01E09D0D" w14:textId="0AC4EDC0"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4,033,609,513</w:t>
            </w:r>
          </w:p>
        </w:tc>
        <w:tc>
          <w:tcPr>
            <w:tcW w:w="2343" w:type="dxa"/>
          </w:tcPr>
          <w:p w14:paraId="20F5BA97" w14:textId="7A9E0BFE" w:rsidR="001E1C97" w:rsidRDefault="008F106F" w:rsidP="00481CEA">
            <w:pPr>
              <w:jc w:val="center"/>
              <w:rPr>
                <w:rFonts w:ascii="Times New Roman" w:hAnsi="Times New Roman" w:cs="Times New Roman"/>
                <w:sz w:val="24"/>
                <w:szCs w:val="24"/>
              </w:rPr>
            </w:pPr>
            <w:r w:rsidRPr="008F106F">
              <w:rPr>
                <w:rFonts w:ascii="Times New Roman" w:hAnsi="Times New Roman" w:cs="Times New Roman"/>
                <w:sz w:val="24"/>
                <w:szCs w:val="24"/>
              </w:rPr>
              <w:t>1,665,450,059</w:t>
            </w:r>
          </w:p>
        </w:tc>
      </w:tr>
      <w:tr w:rsidR="001E1C97" w14:paraId="32DDF1FC" w14:textId="77777777" w:rsidTr="00DD5109">
        <w:trPr>
          <w:trHeight w:val="295"/>
        </w:trPr>
        <w:tc>
          <w:tcPr>
            <w:tcW w:w="2342" w:type="dxa"/>
          </w:tcPr>
          <w:p w14:paraId="48EFB94D" w14:textId="77777777" w:rsidR="001E1C97" w:rsidRDefault="001E1C97" w:rsidP="00481CEA">
            <w:pPr>
              <w:jc w:val="center"/>
              <w:rPr>
                <w:rFonts w:ascii="Times New Roman" w:hAnsi="Times New Roman" w:cs="Times New Roman"/>
                <w:sz w:val="24"/>
                <w:szCs w:val="24"/>
              </w:rPr>
            </w:pPr>
            <w:r>
              <w:rPr>
                <w:rFonts w:ascii="Times New Roman" w:hAnsi="Times New Roman" w:cs="Times New Roman"/>
                <w:sz w:val="24"/>
                <w:szCs w:val="24"/>
              </w:rPr>
              <w:t>2016-17</w:t>
            </w:r>
          </w:p>
        </w:tc>
        <w:tc>
          <w:tcPr>
            <w:tcW w:w="2153" w:type="dxa"/>
          </w:tcPr>
          <w:p w14:paraId="2FA496B7" w14:textId="5F59E9B2"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0.40</w:t>
            </w:r>
          </w:p>
        </w:tc>
        <w:tc>
          <w:tcPr>
            <w:tcW w:w="2532" w:type="dxa"/>
          </w:tcPr>
          <w:p w14:paraId="5836B8DB" w14:textId="24D54C11"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6,008,997,673</w:t>
            </w:r>
          </w:p>
        </w:tc>
        <w:tc>
          <w:tcPr>
            <w:tcW w:w="2343" w:type="dxa"/>
          </w:tcPr>
          <w:p w14:paraId="465E833F" w14:textId="69F8E90B" w:rsidR="001E1C97" w:rsidRDefault="008F106F" w:rsidP="00481CEA">
            <w:pPr>
              <w:jc w:val="center"/>
              <w:rPr>
                <w:rFonts w:ascii="Times New Roman" w:hAnsi="Times New Roman" w:cs="Times New Roman"/>
                <w:sz w:val="24"/>
                <w:szCs w:val="24"/>
              </w:rPr>
            </w:pPr>
            <w:r w:rsidRPr="008F106F">
              <w:rPr>
                <w:rFonts w:ascii="Times New Roman" w:hAnsi="Times New Roman" w:cs="Times New Roman"/>
                <w:sz w:val="24"/>
                <w:szCs w:val="24"/>
              </w:rPr>
              <w:t>3,954,018,434</w:t>
            </w:r>
          </w:p>
        </w:tc>
      </w:tr>
      <w:tr w:rsidR="001E1C97" w14:paraId="6BA53CE5" w14:textId="77777777" w:rsidTr="00DD5109">
        <w:trPr>
          <w:trHeight w:val="282"/>
        </w:trPr>
        <w:tc>
          <w:tcPr>
            <w:tcW w:w="2342" w:type="dxa"/>
          </w:tcPr>
          <w:p w14:paraId="0799322F" w14:textId="77777777" w:rsidR="001E1C97" w:rsidRDefault="001E1C97" w:rsidP="00481CEA">
            <w:pPr>
              <w:jc w:val="center"/>
              <w:rPr>
                <w:rFonts w:ascii="Times New Roman" w:hAnsi="Times New Roman" w:cs="Times New Roman"/>
                <w:sz w:val="24"/>
                <w:szCs w:val="24"/>
              </w:rPr>
            </w:pPr>
            <w:r>
              <w:rPr>
                <w:rFonts w:ascii="Times New Roman" w:hAnsi="Times New Roman" w:cs="Times New Roman"/>
                <w:sz w:val="24"/>
                <w:szCs w:val="24"/>
              </w:rPr>
              <w:lastRenderedPageBreak/>
              <w:t>2017-18</w:t>
            </w:r>
          </w:p>
        </w:tc>
        <w:tc>
          <w:tcPr>
            <w:tcW w:w="2153" w:type="dxa"/>
          </w:tcPr>
          <w:p w14:paraId="1B26DC30" w14:textId="7105D54F"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0.44</w:t>
            </w:r>
          </w:p>
        </w:tc>
        <w:tc>
          <w:tcPr>
            <w:tcW w:w="2532" w:type="dxa"/>
          </w:tcPr>
          <w:p w14:paraId="3CD9F03C" w14:textId="15D55156"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5,884,371,531</w:t>
            </w:r>
          </w:p>
        </w:tc>
        <w:tc>
          <w:tcPr>
            <w:tcW w:w="2343" w:type="dxa"/>
          </w:tcPr>
          <w:p w14:paraId="0FE1FCA0" w14:textId="558DF267" w:rsidR="001E1C97" w:rsidRDefault="008F106F" w:rsidP="00481CEA">
            <w:pPr>
              <w:jc w:val="center"/>
              <w:rPr>
                <w:rFonts w:ascii="Times New Roman" w:hAnsi="Times New Roman" w:cs="Times New Roman"/>
                <w:sz w:val="24"/>
                <w:szCs w:val="24"/>
              </w:rPr>
            </w:pPr>
            <w:r w:rsidRPr="008F106F">
              <w:rPr>
                <w:rFonts w:ascii="Times New Roman" w:hAnsi="Times New Roman" w:cs="Times New Roman"/>
                <w:sz w:val="24"/>
                <w:szCs w:val="24"/>
              </w:rPr>
              <w:t>10,168,777,184</w:t>
            </w:r>
          </w:p>
        </w:tc>
      </w:tr>
      <w:tr w:rsidR="001E1C97" w14:paraId="147780DE" w14:textId="77777777" w:rsidTr="00DD5109">
        <w:trPr>
          <w:trHeight w:val="295"/>
        </w:trPr>
        <w:tc>
          <w:tcPr>
            <w:tcW w:w="2342" w:type="dxa"/>
          </w:tcPr>
          <w:p w14:paraId="3D1E14ED" w14:textId="77777777" w:rsidR="001E1C97" w:rsidRDefault="001E1C97" w:rsidP="00481CEA">
            <w:pPr>
              <w:jc w:val="center"/>
              <w:rPr>
                <w:rFonts w:ascii="Times New Roman" w:hAnsi="Times New Roman" w:cs="Times New Roman"/>
                <w:sz w:val="24"/>
                <w:szCs w:val="24"/>
              </w:rPr>
            </w:pPr>
            <w:r>
              <w:rPr>
                <w:rFonts w:ascii="Times New Roman" w:hAnsi="Times New Roman" w:cs="Times New Roman"/>
                <w:sz w:val="24"/>
                <w:szCs w:val="24"/>
              </w:rPr>
              <w:t>2018-19</w:t>
            </w:r>
          </w:p>
        </w:tc>
        <w:tc>
          <w:tcPr>
            <w:tcW w:w="2153" w:type="dxa"/>
          </w:tcPr>
          <w:p w14:paraId="4615AC20" w14:textId="3ED30482"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0.44</w:t>
            </w:r>
          </w:p>
        </w:tc>
        <w:tc>
          <w:tcPr>
            <w:tcW w:w="2532" w:type="dxa"/>
          </w:tcPr>
          <w:p w14:paraId="48793445" w14:textId="676BAC10"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6,387,676,847</w:t>
            </w:r>
          </w:p>
        </w:tc>
        <w:tc>
          <w:tcPr>
            <w:tcW w:w="2343" w:type="dxa"/>
          </w:tcPr>
          <w:p w14:paraId="6CD72370" w14:textId="7E627F9B" w:rsidR="001E1C97" w:rsidRDefault="008F106F" w:rsidP="00481CEA">
            <w:pPr>
              <w:jc w:val="center"/>
              <w:rPr>
                <w:rFonts w:ascii="Times New Roman" w:hAnsi="Times New Roman" w:cs="Times New Roman"/>
                <w:sz w:val="24"/>
                <w:szCs w:val="24"/>
              </w:rPr>
            </w:pPr>
            <w:r w:rsidRPr="008F106F">
              <w:rPr>
                <w:rFonts w:ascii="Times New Roman" w:hAnsi="Times New Roman" w:cs="Times New Roman"/>
                <w:sz w:val="24"/>
                <w:szCs w:val="24"/>
              </w:rPr>
              <w:t>5,024,589,796</w:t>
            </w:r>
          </w:p>
        </w:tc>
      </w:tr>
      <w:tr w:rsidR="001E1C97" w14:paraId="101230DF" w14:textId="77777777" w:rsidTr="00DD5109">
        <w:trPr>
          <w:trHeight w:val="282"/>
        </w:trPr>
        <w:tc>
          <w:tcPr>
            <w:tcW w:w="2342" w:type="dxa"/>
          </w:tcPr>
          <w:p w14:paraId="47977DD2" w14:textId="77777777" w:rsidR="001E1C97" w:rsidRDefault="001E1C97" w:rsidP="00481CEA">
            <w:pPr>
              <w:jc w:val="center"/>
              <w:rPr>
                <w:rFonts w:ascii="Times New Roman" w:hAnsi="Times New Roman" w:cs="Times New Roman"/>
                <w:sz w:val="24"/>
                <w:szCs w:val="24"/>
              </w:rPr>
            </w:pPr>
            <w:r>
              <w:rPr>
                <w:rFonts w:ascii="Times New Roman" w:hAnsi="Times New Roman" w:cs="Times New Roman"/>
                <w:sz w:val="24"/>
                <w:szCs w:val="24"/>
              </w:rPr>
              <w:t>2019-20</w:t>
            </w:r>
          </w:p>
        </w:tc>
        <w:tc>
          <w:tcPr>
            <w:tcW w:w="2153" w:type="dxa"/>
          </w:tcPr>
          <w:p w14:paraId="19C2AB79" w14:textId="30348827"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0.44</w:t>
            </w:r>
          </w:p>
        </w:tc>
        <w:tc>
          <w:tcPr>
            <w:tcW w:w="2532" w:type="dxa"/>
          </w:tcPr>
          <w:p w14:paraId="5C38EDB0" w14:textId="3093F61C"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6,750,015,017</w:t>
            </w:r>
          </w:p>
        </w:tc>
        <w:tc>
          <w:tcPr>
            <w:tcW w:w="2343" w:type="dxa"/>
          </w:tcPr>
          <w:p w14:paraId="0F0363A4" w14:textId="13060E4D" w:rsidR="001E1C97" w:rsidRDefault="008F106F" w:rsidP="00481CEA">
            <w:pPr>
              <w:jc w:val="center"/>
              <w:rPr>
                <w:rFonts w:ascii="Times New Roman" w:hAnsi="Times New Roman" w:cs="Times New Roman"/>
                <w:sz w:val="24"/>
                <w:szCs w:val="24"/>
              </w:rPr>
            </w:pPr>
            <w:r w:rsidRPr="008F106F">
              <w:rPr>
                <w:rFonts w:ascii="Times New Roman" w:hAnsi="Times New Roman" w:cs="Times New Roman"/>
                <w:sz w:val="24"/>
                <w:szCs w:val="24"/>
              </w:rPr>
              <w:t>5,399,871,184</w:t>
            </w:r>
          </w:p>
        </w:tc>
      </w:tr>
      <w:tr w:rsidR="001E1C97" w14:paraId="1907B082" w14:textId="77777777" w:rsidTr="00DD5109">
        <w:trPr>
          <w:trHeight w:val="295"/>
        </w:trPr>
        <w:tc>
          <w:tcPr>
            <w:tcW w:w="2342" w:type="dxa"/>
          </w:tcPr>
          <w:p w14:paraId="24E98785" w14:textId="77777777" w:rsidR="001E1C97" w:rsidRDefault="001E1C97" w:rsidP="00481CEA">
            <w:pPr>
              <w:jc w:val="center"/>
              <w:rPr>
                <w:rFonts w:ascii="Times New Roman" w:hAnsi="Times New Roman" w:cs="Times New Roman"/>
                <w:sz w:val="24"/>
                <w:szCs w:val="24"/>
              </w:rPr>
            </w:pPr>
            <w:r>
              <w:rPr>
                <w:rFonts w:ascii="Times New Roman" w:hAnsi="Times New Roman" w:cs="Times New Roman"/>
                <w:sz w:val="24"/>
                <w:szCs w:val="24"/>
              </w:rPr>
              <w:t>2020-21</w:t>
            </w:r>
          </w:p>
        </w:tc>
        <w:tc>
          <w:tcPr>
            <w:tcW w:w="2153" w:type="dxa"/>
          </w:tcPr>
          <w:p w14:paraId="2E00CF1C" w14:textId="6D454BBE"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0.38</w:t>
            </w:r>
          </w:p>
        </w:tc>
        <w:tc>
          <w:tcPr>
            <w:tcW w:w="2532" w:type="dxa"/>
          </w:tcPr>
          <w:p w14:paraId="70163E2F" w14:textId="3ECB8475"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8,656,670,966</w:t>
            </w:r>
          </w:p>
        </w:tc>
        <w:tc>
          <w:tcPr>
            <w:tcW w:w="2343" w:type="dxa"/>
          </w:tcPr>
          <w:p w14:paraId="205C8930" w14:textId="0A6F5B03" w:rsidR="001E1C97" w:rsidRDefault="008F106F" w:rsidP="00481CEA">
            <w:pPr>
              <w:jc w:val="center"/>
              <w:rPr>
                <w:rFonts w:ascii="Times New Roman" w:hAnsi="Times New Roman" w:cs="Times New Roman"/>
                <w:sz w:val="24"/>
                <w:szCs w:val="24"/>
              </w:rPr>
            </w:pPr>
            <w:r w:rsidRPr="008F106F">
              <w:rPr>
                <w:rFonts w:ascii="Times New Roman" w:hAnsi="Times New Roman" w:cs="Times New Roman"/>
                <w:sz w:val="24"/>
                <w:szCs w:val="24"/>
              </w:rPr>
              <w:t>5,249,951,109</w:t>
            </w:r>
          </w:p>
        </w:tc>
      </w:tr>
      <w:tr w:rsidR="001E1C97" w14:paraId="746F1A7A" w14:textId="77777777" w:rsidTr="00DD5109">
        <w:trPr>
          <w:trHeight w:val="295"/>
        </w:trPr>
        <w:tc>
          <w:tcPr>
            <w:tcW w:w="2342" w:type="dxa"/>
          </w:tcPr>
          <w:p w14:paraId="570B3C4C" w14:textId="77777777" w:rsidR="001E1C97" w:rsidRDefault="001E1C97" w:rsidP="00481CEA">
            <w:pPr>
              <w:jc w:val="center"/>
              <w:rPr>
                <w:rFonts w:ascii="Times New Roman" w:hAnsi="Times New Roman" w:cs="Times New Roman"/>
                <w:sz w:val="24"/>
                <w:szCs w:val="24"/>
              </w:rPr>
            </w:pPr>
            <w:r>
              <w:rPr>
                <w:rFonts w:ascii="Times New Roman" w:hAnsi="Times New Roman" w:cs="Times New Roman"/>
                <w:sz w:val="24"/>
                <w:szCs w:val="24"/>
              </w:rPr>
              <w:t>2021-22</w:t>
            </w:r>
          </w:p>
        </w:tc>
        <w:tc>
          <w:tcPr>
            <w:tcW w:w="2153" w:type="dxa"/>
          </w:tcPr>
          <w:p w14:paraId="65151DFA" w14:textId="7D0A95DF"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0.37</w:t>
            </w:r>
          </w:p>
        </w:tc>
        <w:tc>
          <w:tcPr>
            <w:tcW w:w="2532" w:type="dxa"/>
          </w:tcPr>
          <w:p w14:paraId="762BEF03" w14:textId="74956A7A"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10,662,571,054</w:t>
            </w:r>
          </w:p>
        </w:tc>
        <w:tc>
          <w:tcPr>
            <w:tcW w:w="2343" w:type="dxa"/>
          </w:tcPr>
          <w:p w14:paraId="0E7D3536" w14:textId="4C1C2DCC" w:rsidR="001E1C97" w:rsidRDefault="008F106F" w:rsidP="00481CEA">
            <w:pPr>
              <w:jc w:val="center"/>
              <w:rPr>
                <w:rFonts w:ascii="Times New Roman" w:hAnsi="Times New Roman" w:cs="Times New Roman"/>
                <w:sz w:val="24"/>
                <w:szCs w:val="24"/>
              </w:rPr>
            </w:pPr>
            <w:r w:rsidRPr="008F106F">
              <w:rPr>
                <w:rFonts w:ascii="Times New Roman" w:hAnsi="Times New Roman" w:cs="Times New Roman"/>
                <w:sz w:val="24"/>
                <w:szCs w:val="24"/>
              </w:rPr>
              <w:t>6,205,981,769</w:t>
            </w:r>
          </w:p>
        </w:tc>
      </w:tr>
      <w:tr w:rsidR="001E1C97" w14:paraId="58AC557B" w14:textId="77777777" w:rsidTr="00DD5109">
        <w:trPr>
          <w:trHeight w:val="282"/>
        </w:trPr>
        <w:tc>
          <w:tcPr>
            <w:tcW w:w="2342" w:type="dxa"/>
          </w:tcPr>
          <w:p w14:paraId="6557AD8F" w14:textId="77777777" w:rsidR="001E1C97" w:rsidRDefault="001E1C97" w:rsidP="00481CEA">
            <w:pPr>
              <w:jc w:val="center"/>
              <w:rPr>
                <w:rFonts w:ascii="Times New Roman" w:hAnsi="Times New Roman" w:cs="Times New Roman"/>
                <w:sz w:val="24"/>
                <w:szCs w:val="24"/>
              </w:rPr>
            </w:pPr>
            <w:r>
              <w:rPr>
                <w:rFonts w:ascii="Times New Roman" w:hAnsi="Times New Roman" w:cs="Times New Roman"/>
                <w:sz w:val="24"/>
                <w:szCs w:val="24"/>
              </w:rPr>
              <w:t>2022-23</w:t>
            </w:r>
          </w:p>
        </w:tc>
        <w:tc>
          <w:tcPr>
            <w:tcW w:w="2153" w:type="dxa"/>
          </w:tcPr>
          <w:p w14:paraId="6FAA2EDF" w14:textId="5B856332"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0.33</w:t>
            </w:r>
          </w:p>
        </w:tc>
        <w:tc>
          <w:tcPr>
            <w:tcW w:w="2532" w:type="dxa"/>
          </w:tcPr>
          <w:p w14:paraId="6ED51EBD" w14:textId="54C02AA7"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14,025,513,555</w:t>
            </w:r>
          </w:p>
        </w:tc>
        <w:tc>
          <w:tcPr>
            <w:tcW w:w="2343" w:type="dxa"/>
          </w:tcPr>
          <w:p w14:paraId="01093113" w14:textId="1DED18CC" w:rsidR="001E1C97" w:rsidRDefault="008F106F" w:rsidP="00481CEA">
            <w:pPr>
              <w:jc w:val="center"/>
              <w:rPr>
                <w:rFonts w:ascii="Times New Roman" w:hAnsi="Times New Roman" w:cs="Times New Roman"/>
                <w:sz w:val="24"/>
                <w:szCs w:val="24"/>
              </w:rPr>
            </w:pPr>
            <w:r w:rsidRPr="008F106F">
              <w:rPr>
                <w:rFonts w:ascii="Times New Roman" w:hAnsi="Times New Roman" w:cs="Times New Roman"/>
                <w:sz w:val="24"/>
                <w:szCs w:val="24"/>
              </w:rPr>
              <w:t>6,803,692,240</w:t>
            </w:r>
          </w:p>
        </w:tc>
      </w:tr>
      <w:tr w:rsidR="001E1C97" w14:paraId="2B5247B2" w14:textId="77777777" w:rsidTr="00DD5109">
        <w:trPr>
          <w:trHeight w:val="295"/>
        </w:trPr>
        <w:tc>
          <w:tcPr>
            <w:tcW w:w="2342" w:type="dxa"/>
          </w:tcPr>
          <w:p w14:paraId="665836A2" w14:textId="77777777" w:rsidR="001E1C97" w:rsidRDefault="001E1C97" w:rsidP="00481CEA">
            <w:pPr>
              <w:jc w:val="center"/>
              <w:rPr>
                <w:rFonts w:ascii="Times New Roman" w:hAnsi="Times New Roman" w:cs="Times New Roman"/>
                <w:sz w:val="24"/>
                <w:szCs w:val="24"/>
              </w:rPr>
            </w:pPr>
            <w:r>
              <w:rPr>
                <w:rFonts w:ascii="Times New Roman" w:hAnsi="Times New Roman" w:cs="Times New Roman"/>
                <w:sz w:val="24"/>
                <w:szCs w:val="24"/>
              </w:rPr>
              <w:t>2023-24</w:t>
            </w:r>
          </w:p>
        </w:tc>
        <w:tc>
          <w:tcPr>
            <w:tcW w:w="2153" w:type="dxa"/>
          </w:tcPr>
          <w:p w14:paraId="6134E02F" w14:textId="6AC099DE"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0.30</w:t>
            </w:r>
          </w:p>
        </w:tc>
        <w:tc>
          <w:tcPr>
            <w:tcW w:w="2532" w:type="dxa"/>
          </w:tcPr>
          <w:p w14:paraId="4489442A" w14:textId="228E1C1C" w:rsidR="001E1C97" w:rsidRDefault="00DD5109" w:rsidP="00481CEA">
            <w:pPr>
              <w:jc w:val="center"/>
              <w:rPr>
                <w:rFonts w:ascii="Times New Roman" w:hAnsi="Times New Roman" w:cs="Times New Roman"/>
                <w:sz w:val="24"/>
                <w:szCs w:val="24"/>
              </w:rPr>
            </w:pPr>
            <w:r w:rsidRPr="00DD5109">
              <w:rPr>
                <w:rFonts w:ascii="Times New Roman" w:hAnsi="Times New Roman" w:cs="Times New Roman"/>
                <w:sz w:val="24"/>
                <w:szCs w:val="24"/>
              </w:rPr>
              <w:t>15,345,995,967</w:t>
            </w:r>
          </w:p>
        </w:tc>
        <w:tc>
          <w:tcPr>
            <w:tcW w:w="2343" w:type="dxa"/>
          </w:tcPr>
          <w:p w14:paraId="6108D7F9" w14:textId="20AB5586" w:rsidR="001E1C97" w:rsidRDefault="008F106F" w:rsidP="00481CEA">
            <w:pPr>
              <w:jc w:val="center"/>
              <w:rPr>
                <w:rFonts w:ascii="Times New Roman" w:hAnsi="Times New Roman" w:cs="Times New Roman"/>
                <w:sz w:val="24"/>
                <w:szCs w:val="24"/>
              </w:rPr>
            </w:pPr>
            <w:r w:rsidRPr="008F106F">
              <w:rPr>
                <w:rFonts w:ascii="Times New Roman" w:hAnsi="Times New Roman" w:cs="Times New Roman"/>
                <w:sz w:val="24"/>
                <w:szCs w:val="24"/>
              </w:rPr>
              <w:t>6,693,222,809</w:t>
            </w:r>
          </w:p>
        </w:tc>
      </w:tr>
      <w:bookmarkEnd w:id="5"/>
    </w:tbl>
    <w:p w14:paraId="0E954225" w14:textId="77777777" w:rsidR="001E1C97" w:rsidRDefault="001E1C97" w:rsidP="001E1C97">
      <w:pPr>
        <w:rPr>
          <w:rFonts w:ascii="Times New Roman" w:hAnsi="Times New Roman" w:cs="Times New Roman"/>
          <w:sz w:val="24"/>
          <w:szCs w:val="24"/>
        </w:rPr>
      </w:pPr>
    </w:p>
    <w:p w14:paraId="5121F55A" w14:textId="796CA439" w:rsidR="001E1C97" w:rsidRDefault="008F106F" w:rsidP="00DD5BA6">
      <w:pPr>
        <w:spacing w:before="240" w:line="360" w:lineRule="auto"/>
        <w:jc w:val="both"/>
        <w:rPr>
          <w:rFonts w:ascii="Times New Roman" w:hAnsi="Times New Roman" w:cs="Times New Roman"/>
          <w:sz w:val="24"/>
          <w:szCs w:val="24"/>
        </w:rPr>
      </w:pPr>
      <w:r w:rsidRPr="00F30893">
        <w:rPr>
          <w:rFonts w:ascii="Times New Roman" w:hAnsi="Times New Roman" w:cs="Times New Roman"/>
          <w:b/>
          <w:bCs/>
          <w:sz w:val="24"/>
          <w:szCs w:val="24"/>
        </w:rPr>
        <w:t>Insight:</w:t>
      </w:r>
      <w:r w:rsidRPr="008F106F">
        <w:rPr>
          <w:rFonts w:ascii="Times New Roman" w:hAnsi="Times New Roman" w:cs="Times New Roman"/>
          <w:sz w:val="24"/>
          <w:szCs w:val="24"/>
        </w:rPr>
        <w:t xml:space="preserve"> The Debt Ratio is consistently high, indicating a heavy reliance on debt financing</w:t>
      </w:r>
      <w:r>
        <w:rPr>
          <w:rFonts w:ascii="Times New Roman" w:hAnsi="Times New Roman" w:cs="Times New Roman"/>
          <w:sz w:val="24"/>
          <w:szCs w:val="24"/>
        </w:rPr>
        <w:t>.</w:t>
      </w:r>
    </w:p>
    <w:p w14:paraId="0972BE54" w14:textId="77777777" w:rsidR="008F106F" w:rsidRDefault="008F106F" w:rsidP="008F106F">
      <w:pPr>
        <w:rPr>
          <w:rFonts w:ascii="Times New Roman" w:hAnsi="Times New Roman" w:cs="Times New Roman"/>
          <w:sz w:val="24"/>
          <w:szCs w:val="24"/>
        </w:rPr>
      </w:pPr>
    </w:p>
    <w:p w14:paraId="5332E1E4" w14:textId="0049F365" w:rsidR="008F106F" w:rsidRDefault="008F106F" w:rsidP="004E7B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39B76" wp14:editId="426D7EA8">
            <wp:extent cx="5486400" cy="2247900"/>
            <wp:effectExtent l="0" t="0" r="0" b="0"/>
            <wp:docPr id="207444381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6EBB03" w14:textId="5100C727" w:rsidR="008635AD" w:rsidRPr="00085DE4" w:rsidRDefault="008635AD" w:rsidP="0034621B">
      <w:pPr>
        <w:spacing w:before="240" w:line="360" w:lineRule="auto"/>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DE4">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 Activity Ratio</w:t>
      </w:r>
    </w:p>
    <w:p w14:paraId="5E354291" w14:textId="2D1C24E3" w:rsidR="008635AD" w:rsidRDefault="008635AD" w:rsidP="0034621B">
      <w:pPr>
        <w:spacing w:before="240" w:line="360" w:lineRule="auto"/>
        <w:jc w:val="both"/>
        <w:rPr>
          <w:rFonts w:ascii="Times New Roman" w:hAnsi="Times New Roman" w:cs="Times New Roman"/>
          <w:sz w:val="24"/>
          <w:szCs w:val="24"/>
        </w:rPr>
      </w:pPr>
      <w:r w:rsidRPr="008635AD">
        <w:rPr>
          <w:rFonts w:ascii="Times New Roman" w:hAnsi="Times New Roman" w:cs="Times New Roman"/>
          <w:sz w:val="24"/>
          <w:szCs w:val="24"/>
        </w:rPr>
        <w:t>Asset Turnover Ratio</w:t>
      </w:r>
      <w:r>
        <w:rPr>
          <w:rFonts w:ascii="Times New Roman" w:hAnsi="Times New Roman" w:cs="Times New Roman"/>
          <w:sz w:val="24"/>
          <w:szCs w:val="24"/>
        </w:rPr>
        <w:t>=</w:t>
      </w:r>
      <w:r w:rsidRPr="008635AD">
        <w:rPr>
          <w:rFonts w:ascii="Times New Roman" w:hAnsi="Times New Roman" w:cs="Times New Roman"/>
          <w:sz w:val="24"/>
          <w:szCs w:val="24"/>
        </w:rPr>
        <w:t xml:space="preserve"> (Revenue ÷ Total Assets)</w:t>
      </w:r>
      <w:r>
        <w:rPr>
          <w:rFonts w:ascii="Times New Roman" w:hAnsi="Times New Roman" w:cs="Times New Roman"/>
          <w:sz w:val="24"/>
          <w:szCs w:val="24"/>
        </w:rPr>
        <w:t>;</w:t>
      </w:r>
      <w:r w:rsidRPr="008635AD">
        <w:rPr>
          <w:rFonts w:ascii="Times New Roman" w:hAnsi="Times New Roman" w:cs="Times New Roman"/>
          <w:sz w:val="24"/>
          <w:szCs w:val="24"/>
        </w:rPr>
        <w:t xml:space="preserve"> This evaluates the efficiency of asset utilization.</w:t>
      </w:r>
    </w:p>
    <w:p w14:paraId="02A35495" w14:textId="7F4DD528" w:rsidR="00207849" w:rsidRPr="00C7721D" w:rsidRDefault="008635AD" w:rsidP="0034621B">
      <w:pPr>
        <w:spacing w:before="240" w:line="360" w:lineRule="auto"/>
        <w:rPr>
          <w:rFonts w:ascii="Times New Roman" w:hAnsi="Times New Roman" w:cs="Times New Roman"/>
          <w:b/>
          <w:bCs/>
          <w:sz w:val="24"/>
          <w:szCs w:val="24"/>
        </w:rPr>
      </w:pPr>
      <w:r w:rsidRPr="00C7721D">
        <w:rPr>
          <w:rFonts w:ascii="Times New Roman" w:hAnsi="Times New Roman" w:cs="Times New Roman"/>
          <w:b/>
          <w:bCs/>
          <w:sz w:val="24"/>
          <w:szCs w:val="24"/>
        </w:rPr>
        <w:t>Analysis:</w:t>
      </w:r>
    </w:p>
    <w:tbl>
      <w:tblPr>
        <w:tblStyle w:val="TableGrid"/>
        <w:tblW w:w="9370" w:type="dxa"/>
        <w:tblLook w:val="04A0" w:firstRow="1" w:lastRow="0" w:firstColumn="1" w:lastColumn="0" w:noHBand="0" w:noVBand="1"/>
      </w:tblPr>
      <w:tblGrid>
        <w:gridCol w:w="2342"/>
        <w:gridCol w:w="2513"/>
        <w:gridCol w:w="2172"/>
        <w:gridCol w:w="2343"/>
      </w:tblGrid>
      <w:tr w:rsidR="008635AD" w:rsidRPr="00C635E8" w14:paraId="654100F7" w14:textId="77777777" w:rsidTr="008635AD">
        <w:trPr>
          <w:trHeight w:val="295"/>
        </w:trPr>
        <w:tc>
          <w:tcPr>
            <w:tcW w:w="2342" w:type="dxa"/>
          </w:tcPr>
          <w:p w14:paraId="3E9A39DE" w14:textId="77777777" w:rsidR="008635AD" w:rsidRPr="00C635E8" w:rsidRDefault="008635AD" w:rsidP="00481CEA">
            <w:pPr>
              <w:jc w:val="center"/>
              <w:rPr>
                <w:rFonts w:ascii="Times New Roman" w:hAnsi="Times New Roman" w:cs="Times New Roman"/>
                <w:b/>
                <w:bCs/>
                <w:sz w:val="24"/>
                <w:szCs w:val="24"/>
              </w:rPr>
            </w:pPr>
            <w:r>
              <w:rPr>
                <w:rFonts w:ascii="Times New Roman" w:hAnsi="Times New Roman" w:cs="Times New Roman"/>
                <w:b/>
                <w:bCs/>
                <w:sz w:val="24"/>
                <w:szCs w:val="24"/>
              </w:rPr>
              <w:t>Year</w:t>
            </w:r>
          </w:p>
        </w:tc>
        <w:tc>
          <w:tcPr>
            <w:tcW w:w="2513" w:type="dxa"/>
          </w:tcPr>
          <w:p w14:paraId="3DAACC12" w14:textId="4794A1FA" w:rsidR="008635AD" w:rsidRPr="00C635E8" w:rsidRDefault="008635AD" w:rsidP="00481CEA">
            <w:pPr>
              <w:jc w:val="center"/>
              <w:rPr>
                <w:rFonts w:ascii="Times New Roman" w:hAnsi="Times New Roman" w:cs="Times New Roman"/>
                <w:b/>
                <w:bCs/>
                <w:sz w:val="24"/>
                <w:szCs w:val="24"/>
              </w:rPr>
            </w:pPr>
            <w:r>
              <w:rPr>
                <w:rFonts w:ascii="Times New Roman" w:hAnsi="Times New Roman" w:cs="Times New Roman"/>
                <w:b/>
                <w:bCs/>
                <w:sz w:val="24"/>
                <w:szCs w:val="24"/>
              </w:rPr>
              <w:t>Total Asset Turnover</w:t>
            </w:r>
          </w:p>
        </w:tc>
        <w:tc>
          <w:tcPr>
            <w:tcW w:w="2172" w:type="dxa"/>
          </w:tcPr>
          <w:p w14:paraId="5C63A0E2" w14:textId="0F19BA04" w:rsidR="008635AD" w:rsidRPr="00C635E8" w:rsidRDefault="008635AD" w:rsidP="00481CEA">
            <w:pPr>
              <w:jc w:val="center"/>
              <w:rPr>
                <w:rFonts w:ascii="Times New Roman" w:hAnsi="Times New Roman" w:cs="Times New Roman"/>
                <w:b/>
                <w:bCs/>
                <w:sz w:val="24"/>
                <w:szCs w:val="24"/>
              </w:rPr>
            </w:pPr>
            <w:r>
              <w:rPr>
                <w:rFonts w:ascii="Times New Roman" w:hAnsi="Times New Roman" w:cs="Times New Roman"/>
                <w:b/>
                <w:bCs/>
                <w:sz w:val="24"/>
                <w:szCs w:val="24"/>
              </w:rPr>
              <w:t xml:space="preserve">Total </w:t>
            </w:r>
            <w:r>
              <w:rPr>
                <w:rFonts w:ascii="Times New Roman" w:hAnsi="Times New Roman" w:cs="Times New Roman"/>
                <w:b/>
                <w:bCs/>
                <w:sz w:val="24"/>
                <w:szCs w:val="24"/>
              </w:rPr>
              <w:t>Asset</w:t>
            </w:r>
          </w:p>
        </w:tc>
        <w:tc>
          <w:tcPr>
            <w:tcW w:w="2343" w:type="dxa"/>
          </w:tcPr>
          <w:p w14:paraId="751FEFD7" w14:textId="0FA77343" w:rsidR="008635AD" w:rsidRPr="00C635E8" w:rsidRDefault="008635AD" w:rsidP="00481CEA">
            <w:pPr>
              <w:jc w:val="center"/>
              <w:rPr>
                <w:rFonts w:ascii="Times New Roman" w:hAnsi="Times New Roman" w:cs="Times New Roman"/>
                <w:b/>
                <w:bCs/>
                <w:sz w:val="24"/>
                <w:szCs w:val="24"/>
              </w:rPr>
            </w:pPr>
            <w:r>
              <w:rPr>
                <w:rFonts w:ascii="Times New Roman" w:hAnsi="Times New Roman" w:cs="Times New Roman"/>
                <w:b/>
                <w:bCs/>
                <w:sz w:val="24"/>
                <w:szCs w:val="24"/>
              </w:rPr>
              <w:t>Revenue</w:t>
            </w:r>
          </w:p>
        </w:tc>
      </w:tr>
      <w:tr w:rsidR="008635AD" w14:paraId="1D14376D" w14:textId="77777777" w:rsidTr="008635AD">
        <w:trPr>
          <w:trHeight w:val="282"/>
        </w:trPr>
        <w:tc>
          <w:tcPr>
            <w:tcW w:w="2342" w:type="dxa"/>
          </w:tcPr>
          <w:p w14:paraId="09CEF94C" w14:textId="77777777" w:rsidR="008635AD" w:rsidRDefault="008635AD" w:rsidP="008635AD">
            <w:pPr>
              <w:jc w:val="center"/>
              <w:rPr>
                <w:rFonts w:ascii="Times New Roman" w:hAnsi="Times New Roman" w:cs="Times New Roman"/>
                <w:sz w:val="24"/>
                <w:szCs w:val="24"/>
              </w:rPr>
            </w:pPr>
            <w:r>
              <w:rPr>
                <w:rFonts w:ascii="Times New Roman" w:hAnsi="Times New Roman" w:cs="Times New Roman"/>
                <w:sz w:val="24"/>
                <w:szCs w:val="24"/>
              </w:rPr>
              <w:t>2013-14</w:t>
            </w:r>
          </w:p>
        </w:tc>
        <w:tc>
          <w:tcPr>
            <w:tcW w:w="2513" w:type="dxa"/>
          </w:tcPr>
          <w:p w14:paraId="643E8BDC" w14:textId="4CCED5BB" w:rsidR="008635AD" w:rsidRDefault="00670F36" w:rsidP="008635AD">
            <w:pPr>
              <w:jc w:val="center"/>
              <w:rPr>
                <w:rFonts w:ascii="Times New Roman" w:hAnsi="Times New Roman" w:cs="Times New Roman"/>
                <w:sz w:val="24"/>
                <w:szCs w:val="24"/>
              </w:rPr>
            </w:pPr>
            <w:r w:rsidRPr="00670F36">
              <w:rPr>
                <w:rFonts w:ascii="Times New Roman" w:hAnsi="Times New Roman" w:cs="Times New Roman"/>
                <w:sz w:val="24"/>
                <w:szCs w:val="24"/>
              </w:rPr>
              <w:t>0.16</w:t>
            </w:r>
          </w:p>
        </w:tc>
        <w:tc>
          <w:tcPr>
            <w:tcW w:w="2172" w:type="dxa"/>
          </w:tcPr>
          <w:p w14:paraId="4E885A0D" w14:textId="10C05FAF" w:rsidR="008635AD" w:rsidRDefault="008635AD" w:rsidP="008635AD">
            <w:pPr>
              <w:jc w:val="center"/>
              <w:rPr>
                <w:rFonts w:ascii="Times New Roman" w:hAnsi="Times New Roman" w:cs="Times New Roman"/>
                <w:sz w:val="24"/>
                <w:szCs w:val="24"/>
              </w:rPr>
            </w:pPr>
            <w:r w:rsidRPr="005721E0">
              <w:t xml:space="preserve"> 4,765,770,184 </w:t>
            </w:r>
          </w:p>
        </w:tc>
        <w:tc>
          <w:tcPr>
            <w:tcW w:w="2343" w:type="dxa"/>
          </w:tcPr>
          <w:p w14:paraId="5FF38A79" w14:textId="132DC301" w:rsidR="008635AD" w:rsidRDefault="008635AD" w:rsidP="008635AD">
            <w:pPr>
              <w:jc w:val="center"/>
              <w:rPr>
                <w:rFonts w:ascii="Times New Roman" w:hAnsi="Times New Roman" w:cs="Times New Roman"/>
                <w:sz w:val="24"/>
                <w:szCs w:val="24"/>
              </w:rPr>
            </w:pPr>
            <w:r w:rsidRPr="00C448E4">
              <w:t>753,744,790</w:t>
            </w:r>
          </w:p>
        </w:tc>
      </w:tr>
      <w:tr w:rsidR="008635AD" w14:paraId="5422BCDE" w14:textId="77777777" w:rsidTr="008635AD">
        <w:trPr>
          <w:trHeight w:val="295"/>
        </w:trPr>
        <w:tc>
          <w:tcPr>
            <w:tcW w:w="2342" w:type="dxa"/>
          </w:tcPr>
          <w:p w14:paraId="2B9F008E" w14:textId="77777777" w:rsidR="008635AD" w:rsidRDefault="008635AD" w:rsidP="008635AD">
            <w:pPr>
              <w:jc w:val="center"/>
              <w:rPr>
                <w:rFonts w:ascii="Times New Roman" w:hAnsi="Times New Roman" w:cs="Times New Roman"/>
                <w:sz w:val="24"/>
                <w:szCs w:val="24"/>
              </w:rPr>
            </w:pPr>
            <w:r>
              <w:rPr>
                <w:rFonts w:ascii="Times New Roman" w:hAnsi="Times New Roman" w:cs="Times New Roman"/>
                <w:sz w:val="24"/>
                <w:szCs w:val="24"/>
              </w:rPr>
              <w:t>2014-15</w:t>
            </w:r>
          </w:p>
        </w:tc>
        <w:tc>
          <w:tcPr>
            <w:tcW w:w="2513" w:type="dxa"/>
          </w:tcPr>
          <w:p w14:paraId="0DE504A8" w14:textId="6BC56EF7" w:rsidR="008635AD" w:rsidRDefault="00670F36" w:rsidP="008635AD">
            <w:pPr>
              <w:jc w:val="center"/>
              <w:rPr>
                <w:rFonts w:ascii="Times New Roman" w:hAnsi="Times New Roman" w:cs="Times New Roman"/>
                <w:sz w:val="24"/>
                <w:szCs w:val="24"/>
              </w:rPr>
            </w:pPr>
            <w:r w:rsidRPr="00670F36">
              <w:rPr>
                <w:rFonts w:ascii="Times New Roman" w:hAnsi="Times New Roman" w:cs="Times New Roman"/>
                <w:sz w:val="24"/>
                <w:szCs w:val="24"/>
              </w:rPr>
              <w:t>0.09</w:t>
            </w:r>
          </w:p>
        </w:tc>
        <w:tc>
          <w:tcPr>
            <w:tcW w:w="2172" w:type="dxa"/>
          </w:tcPr>
          <w:p w14:paraId="25F055EF" w14:textId="3F236EC7" w:rsidR="008635AD" w:rsidRDefault="008635AD" w:rsidP="008635AD">
            <w:pPr>
              <w:jc w:val="center"/>
              <w:rPr>
                <w:rFonts w:ascii="Times New Roman" w:hAnsi="Times New Roman" w:cs="Times New Roman"/>
                <w:sz w:val="24"/>
                <w:szCs w:val="24"/>
              </w:rPr>
            </w:pPr>
            <w:r w:rsidRPr="005721E0">
              <w:t xml:space="preserve"> 5,699,059,487 </w:t>
            </w:r>
          </w:p>
        </w:tc>
        <w:tc>
          <w:tcPr>
            <w:tcW w:w="2343" w:type="dxa"/>
          </w:tcPr>
          <w:p w14:paraId="101D6E72" w14:textId="5D9EC405" w:rsidR="008635AD" w:rsidRDefault="008635AD" w:rsidP="008635AD">
            <w:pPr>
              <w:jc w:val="center"/>
              <w:rPr>
                <w:rFonts w:ascii="Times New Roman" w:hAnsi="Times New Roman" w:cs="Times New Roman"/>
                <w:sz w:val="24"/>
                <w:szCs w:val="24"/>
              </w:rPr>
            </w:pPr>
            <w:r w:rsidRPr="00C448E4">
              <w:t>540,683,784</w:t>
            </w:r>
          </w:p>
        </w:tc>
      </w:tr>
      <w:tr w:rsidR="008635AD" w14:paraId="45E50F9C" w14:textId="77777777" w:rsidTr="008635AD">
        <w:trPr>
          <w:trHeight w:val="295"/>
        </w:trPr>
        <w:tc>
          <w:tcPr>
            <w:tcW w:w="2342" w:type="dxa"/>
          </w:tcPr>
          <w:p w14:paraId="53B465FE" w14:textId="77777777" w:rsidR="008635AD" w:rsidRDefault="008635AD" w:rsidP="008635AD">
            <w:pPr>
              <w:jc w:val="center"/>
              <w:rPr>
                <w:rFonts w:ascii="Times New Roman" w:hAnsi="Times New Roman" w:cs="Times New Roman"/>
                <w:sz w:val="24"/>
                <w:szCs w:val="24"/>
              </w:rPr>
            </w:pPr>
            <w:r>
              <w:rPr>
                <w:rFonts w:ascii="Times New Roman" w:hAnsi="Times New Roman" w:cs="Times New Roman"/>
                <w:sz w:val="24"/>
                <w:szCs w:val="24"/>
              </w:rPr>
              <w:t>2016-17</w:t>
            </w:r>
          </w:p>
        </w:tc>
        <w:tc>
          <w:tcPr>
            <w:tcW w:w="2513" w:type="dxa"/>
          </w:tcPr>
          <w:p w14:paraId="4AB996D7" w14:textId="1801723C" w:rsidR="008635AD" w:rsidRDefault="00670F36" w:rsidP="008635AD">
            <w:pPr>
              <w:jc w:val="center"/>
              <w:rPr>
                <w:rFonts w:ascii="Times New Roman" w:hAnsi="Times New Roman" w:cs="Times New Roman"/>
                <w:sz w:val="24"/>
                <w:szCs w:val="24"/>
              </w:rPr>
            </w:pPr>
            <w:r w:rsidRPr="00670F36">
              <w:rPr>
                <w:rFonts w:ascii="Times New Roman" w:hAnsi="Times New Roman" w:cs="Times New Roman"/>
                <w:sz w:val="24"/>
                <w:szCs w:val="24"/>
              </w:rPr>
              <w:t>0.10</w:t>
            </w:r>
          </w:p>
        </w:tc>
        <w:tc>
          <w:tcPr>
            <w:tcW w:w="2172" w:type="dxa"/>
          </w:tcPr>
          <w:p w14:paraId="4CDCA094" w14:textId="4D5D9698" w:rsidR="008635AD" w:rsidRDefault="008635AD" w:rsidP="008635AD">
            <w:pPr>
              <w:jc w:val="center"/>
              <w:rPr>
                <w:rFonts w:ascii="Times New Roman" w:hAnsi="Times New Roman" w:cs="Times New Roman"/>
                <w:sz w:val="24"/>
                <w:szCs w:val="24"/>
              </w:rPr>
            </w:pPr>
            <w:r w:rsidRPr="005721E0">
              <w:t xml:space="preserve"> 9,963,016,041 </w:t>
            </w:r>
          </w:p>
        </w:tc>
        <w:tc>
          <w:tcPr>
            <w:tcW w:w="2343" w:type="dxa"/>
          </w:tcPr>
          <w:p w14:paraId="47092BE0" w14:textId="2ED2D8AC" w:rsidR="008635AD" w:rsidRDefault="008635AD" w:rsidP="008635AD">
            <w:pPr>
              <w:jc w:val="center"/>
              <w:rPr>
                <w:rFonts w:ascii="Times New Roman" w:hAnsi="Times New Roman" w:cs="Times New Roman"/>
                <w:sz w:val="24"/>
                <w:szCs w:val="24"/>
              </w:rPr>
            </w:pPr>
            <w:r w:rsidRPr="00C448E4">
              <w:t>1,036,725,252</w:t>
            </w:r>
          </w:p>
        </w:tc>
      </w:tr>
      <w:tr w:rsidR="008635AD" w14:paraId="79520913" w14:textId="77777777" w:rsidTr="008635AD">
        <w:trPr>
          <w:trHeight w:val="282"/>
        </w:trPr>
        <w:tc>
          <w:tcPr>
            <w:tcW w:w="2342" w:type="dxa"/>
          </w:tcPr>
          <w:p w14:paraId="7F94A856" w14:textId="77777777" w:rsidR="008635AD" w:rsidRDefault="008635AD" w:rsidP="008635AD">
            <w:pPr>
              <w:jc w:val="center"/>
              <w:rPr>
                <w:rFonts w:ascii="Times New Roman" w:hAnsi="Times New Roman" w:cs="Times New Roman"/>
                <w:sz w:val="24"/>
                <w:szCs w:val="24"/>
              </w:rPr>
            </w:pPr>
            <w:r>
              <w:rPr>
                <w:rFonts w:ascii="Times New Roman" w:hAnsi="Times New Roman" w:cs="Times New Roman"/>
                <w:sz w:val="24"/>
                <w:szCs w:val="24"/>
              </w:rPr>
              <w:t>2017-18</w:t>
            </w:r>
          </w:p>
        </w:tc>
        <w:tc>
          <w:tcPr>
            <w:tcW w:w="2513" w:type="dxa"/>
          </w:tcPr>
          <w:p w14:paraId="050AF530" w14:textId="31BBFE93" w:rsidR="008635AD" w:rsidRDefault="00670F36" w:rsidP="008635AD">
            <w:pPr>
              <w:jc w:val="center"/>
              <w:rPr>
                <w:rFonts w:ascii="Times New Roman" w:hAnsi="Times New Roman" w:cs="Times New Roman"/>
                <w:sz w:val="24"/>
                <w:szCs w:val="24"/>
              </w:rPr>
            </w:pPr>
            <w:r w:rsidRPr="00670F36">
              <w:rPr>
                <w:rFonts w:ascii="Times New Roman" w:hAnsi="Times New Roman" w:cs="Times New Roman"/>
                <w:sz w:val="24"/>
                <w:szCs w:val="24"/>
              </w:rPr>
              <w:t>0.13</w:t>
            </w:r>
          </w:p>
        </w:tc>
        <w:tc>
          <w:tcPr>
            <w:tcW w:w="2172" w:type="dxa"/>
          </w:tcPr>
          <w:p w14:paraId="106CF55A" w14:textId="1A6717F1" w:rsidR="008635AD" w:rsidRDefault="008635AD" w:rsidP="008635AD">
            <w:pPr>
              <w:jc w:val="center"/>
              <w:rPr>
                <w:rFonts w:ascii="Times New Roman" w:hAnsi="Times New Roman" w:cs="Times New Roman"/>
                <w:sz w:val="24"/>
                <w:szCs w:val="24"/>
              </w:rPr>
            </w:pPr>
            <w:r w:rsidRPr="005721E0">
              <w:t xml:space="preserve"> 10,433,680,222 </w:t>
            </w:r>
          </w:p>
        </w:tc>
        <w:tc>
          <w:tcPr>
            <w:tcW w:w="2343" w:type="dxa"/>
          </w:tcPr>
          <w:p w14:paraId="3F0D390A" w14:textId="69CF04B1" w:rsidR="008635AD" w:rsidRDefault="008635AD" w:rsidP="008635AD">
            <w:pPr>
              <w:jc w:val="center"/>
              <w:rPr>
                <w:rFonts w:ascii="Times New Roman" w:hAnsi="Times New Roman" w:cs="Times New Roman"/>
                <w:sz w:val="24"/>
                <w:szCs w:val="24"/>
              </w:rPr>
            </w:pPr>
            <w:r w:rsidRPr="00C448E4">
              <w:t>1,405,036,220</w:t>
            </w:r>
          </w:p>
        </w:tc>
      </w:tr>
      <w:tr w:rsidR="008635AD" w14:paraId="2A08063E" w14:textId="77777777" w:rsidTr="008635AD">
        <w:trPr>
          <w:trHeight w:val="295"/>
        </w:trPr>
        <w:tc>
          <w:tcPr>
            <w:tcW w:w="2342" w:type="dxa"/>
          </w:tcPr>
          <w:p w14:paraId="5B3312F0" w14:textId="77777777" w:rsidR="008635AD" w:rsidRDefault="008635AD" w:rsidP="008635AD">
            <w:pPr>
              <w:jc w:val="center"/>
              <w:rPr>
                <w:rFonts w:ascii="Times New Roman" w:hAnsi="Times New Roman" w:cs="Times New Roman"/>
                <w:sz w:val="24"/>
                <w:szCs w:val="24"/>
              </w:rPr>
            </w:pPr>
            <w:r>
              <w:rPr>
                <w:rFonts w:ascii="Times New Roman" w:hAnsi="Times New Roman" w:cs="Times New Roman"/>
                <w:sz w:val="24"/>
                <w:szCs w:val="24"/>
              </w:rPr>
              <w:t>2018-19</w:t>
            </w:r>
          </w:p>
        </w:tc>
        <w:tc>
          <w:tcPr>
            <w:tcW w:w="2513" w:type="dxa"/>
          </w:tcPr>
          <w:p w14:paraId="516A76E6" w14:textId="68583F54" w:rsidR="008635AD" w:rsidRDefault="00670F36" w:rsidP="008635AD">
            <w:pPr>
              <w:jc w:val="center"/>
              <w:rPr>
                <w:rFonts w:ascii="Times New Roman" w:hAnsi="Times New Roman" w:cs="Times New Roman"/>
                <w:sz w:val="24"/>
                <w:szCs w:val="24"/>
              </w:rPr>
            </w:pPr>
            <w:r w:rsidRPr="00670F36">
              <w:rPr>
                <w:rFonts w:ascii="Times New Roman" w:hAnsi="Times New Roman" w:cs="Times New Roman"/>
                <w:sz w:val="24"/>
                <w:szCs w:val="24"/>
              </w:rPr>
              <w:t>0.17</w:t>
            </w:r>
          </w:p>
        </w:tc>
        <w:tc>
          <w:tcPr>
            <w:tcW w:w="2172" w:type="dxa"/>
          </w:tcPr>
          <w:p w14:paraId="7C603D1A" w14:textId="000E4069" w:rsidR="008635AD" w:rsidRDefault="008635AD" w:rsidP="008635AD">
            <w:pPr>
              <w:jc w:val="center"/>
              <w:rPr>
                <w:rFonts w:ascii="Times New Roman" w:hAnsi="Times New Roman" w:cs="Times New Roman"/>
                <w:sz w:val="24"/>
                <w:szCs w:val="24"/>
              </w:rPr>
            </w:pPr>
            <w:r w:rsidRPr="005721E0">
              <w:t xml:space="preserve"> 11,412,266,642 </w:t>
            </w:r>
          </w:p>
        </w:tc>
        <w:tc>
          <w:tcPr>
            <w:tcW w:w="2343" w:type="dxa"/>
          </w:tcPr>
          <w:p w14:paraId="13150FB3" w14:textId="45F3DBB5" w:rsidR="008635AD" w:rsidRDefault="008635AD" w:rsidP="008635AD">
            <w:pPr>
              <w:jc w:val="center"/>
              <w:rPr>
                <w:rFonts w:ascii="Times New Roman" w:hAnsi="Times New Roman" w:cs="Times New Roman"/>
                <w:sz w:val="24"/>
                <w:szCs w:val="24"/>
              </w:rPr>
            </w:pPr>
            <w:r w:rsidRPr="00C448E4">
              <w:t>1,955,665,973</w:t>
            </w:r>
          </w:p>
        </w:tc>
      </w:tr>
      <w:tr w:rsidR="008635AD" w14:paraId="0C8F1B87" w14:textId="77777777" w:rsidTr="008635AD">
        <w:trPr>
          <w:trHeight w:val="282"/>
        </w:trPr>
        <w:tc>
          <w:tcPr>
            <w:tcW w:w="2342" w:type="dxa"/>
          </w:tcPr>
          <w:p w14:paraId="10E4458E" w14:textId="77777777" w:rsidR="008635AD" w:rsidRDefault="008635AD" w:rsidP="008635AD">
            <w:pPr>
              <w:jc w:val="center"/>
              <w:rPr>
                <w:rFonts w:ascii="Times New Roman" w:hAnsi="Times New Roman" w:cs="Times New Roman"/>
                <w:sz w:val="24"/>
                <w:szCs w:val="24"/>
              </w:rPr>
            </w:pPr>
            <w:r>
              <w:rPr>
                <w:rFonts w:ascii="Times New Roman" w:hAnsi="Times New Roman" w:cs="Times New Roman"/>
                <w:sz w:val="24"/>
                <w:szCs w:val="24"/>
              </w:rPr>
              <w:t>2019-20</w:t>
            </w:r>
          </w:p>
        </w:tc>
        <w:tc>
          <w:tcPr>
            <w:tcW w:w="2513" w:type="dxa"/>
          </w:tcPr>
          <w:p w14:paraId="204D0193" w14:textId="1B5E2A8F" w:rsidR="008635AD" w:rsidRDefault="00670F36" w:rsidP="008635AD">
            <w:pPr>
              <w:jc w:val="center"/>
              <w:rPr>
                <w:rFonts w:ascii="Times New Roman" w:hAnsi="Times New Roman" w:cs="Times New Roman"/>
                <w:sz w:val="24"/>
                <w:szCs w:val="24"/>
              </w:rPr>
            </w:pPr>
            <w:r w:rsidRPr="00670F36">
              <w:rPr>
                <w:rFonts w:ascii="Times New Roman" w:hAnsi="Times New Roman" w:cs="Times New Roman"/>
                <w:sz w:val="24"/>
                <w:szCs w:val="24"/>
              </w:rPr>
              <w:t>0.21</w:t>
            </w:r>
          </w:p>
        </w:tc>
        <w:tc>
          <w:tcPr>
            <w:tcW w:w="2172" w:type="dxa"/>
          </w:tcPr>
          <w:p w14:paraId="45422597" w14:textId="3DC9B70A" w:rsidR="008635AD" w:rsidRDefault="008635AD" w:rsidP="008635AD">
            <w:pPr>
              <w:jc w:val="center"/>
              <w:rPr>
                <w:rFonts w:ascii="Times New Roman" w:hAnsi="Times New Roman" w:cs="Times New Roman"/>
                <w:sz w:val="24"/>
                <w:szCs w:val="24"/>
              </w:rPr>
            </w:pPr>
            <w:r w:rsidRPr="005721E0">
              <w:t xml:space="preserve"> 12,149,886,201 </w:t>
            </w:r>
          </w:p>
        </w:tc>
        <w:tc>
          <w:tcPr>
            <w:tcW w:w="2343" w:type="dxa"/>
          </w:tcPr>
          <w:p w14:paraId="15A8ECBF" w14:textId="37408DB0" w:rsidR="008635AD" w:rsidRDefault="008635AD" w:rsidP="008635AD">
            <w:pPr>
              <w:jc w:val="center"/>
              <w:rPr>
                <w:rFonts w:ascii="Times New Roman" w:hAnsi="Times New Roman" w:cs="Times New Roman"/>
                <w:sz w:val="24"/>
                <w:szCs w:val="24"/>
              </w:rPr>
            </w:pPr>
            <w:r w:rsidRPr="00C448E4">
              <w:t>2,498,642,388</w:t>
            </w:r>
          </w:p>
        </w:tc>
      </w:tr>
      <w:tr w:rsidR="008635AD" w14:paraId="0F6F2ECB" w14:textId="77777777" w:rsidTr="008635AD">
        <w:trPr>
          <w:trHeight w:val="295"/>
        </w:trPr>
        <w:tc>
          <w:tcPr>
            <w:tcW w:w="2342" w:type="dxa"/>
          </w:tcPr>
          <w:p w14:paraId="691FD019" w14:textId="77777777" w:rsidR="008635AD" w:rsidRDefault="008635AD" w:rsidP="008635AD">
            <w:pPr>
              <w:jc w:val="center"/>
              <w:rPr>
                <w:rFonts w:ascii="Times New Roman" w:hAnsi="Times New Roman" w:cs="Times New Roman"/>
                <w:sz w:val="24"/>
                <w:szCs w:val="24"/>
              </w:rPr>
            </w:pPr>
            <w:r>
              <w:rPr>
                <w:rFonts w:ascii="Times New Roman" w:hAnsi="Times New Roman" w:cs="Times New Roman"/>
                <w:sz w:val="24"/>
                <w:szCs w:val="24"/>
              </w:rPr>
              <w:t>2020-21</w:t>
            </w:r>
          </w:p>
        </w:tc>
        <w:tc>
          <w:tcPr>
            <w:tcW w:w="2513" w:type="dxa"/>
          </w:tcPr>
          <w:p w14:paraId="047F48EB" w14:textId="773DC473" w:rsidR="008635AD" w:rsidRDefault="00670F36" w:rsidP="008635AD">
            <w:pPr>
              <w:jc w:val="center"/>
              <w:rPr>
                <w:rFonts w:ascii="Times New Roman" w:hAnsi="Times New Roman" w:cs="Times New Roman"/>
                <w:sz w:val="24"/>
                <w:szCs w:val="24"/>
              </w:rPr>
            </w:pPr>
            <w:r w:rsidRPr="00670F36">
              <w:rPr>
                <w:rFonts w:ascii="Times New Roman" w:hAnsi="Times New Roman" w:cs="Times New Roman"/>
                <w:sz w:val="24"/>
                <w:szCs w:val="24"/>
              </w:rPr>
              <w:t>0.25</w:t>
            </w:r>
          </w:p>
        </w:tc>
        <w:tc>
          <w:tcPr>
            <w:tcW w:w="2172" w:type="dxa"/>
          </w:tcPr>
          <w:p w14:paraId="221D2030" w14:textId="7E7FCBA1" w:rsidR="008635AD" w:rsidRDefault="008635AD" w:rsidP="008635AD">
            <w:pPr>
              <w:jc w:val="center"/>
              <w:rPr>
                <w:rFonts w:ascii="Times New Roman" w:hAnsi="Times New Roman" w:cs="Times New Roman"/>
                <w:sz w:val="24"/>
                <w:szCs w:val="24"/>
              </w:rPr>
            </w:pPr>
            <w:r w:rsidRPr="005721E0">
              <w:t xml:space="preserve"> 13,906,622,078 </w:t>
            </w:r>
          </w:p>
        </w:tc>
        <w:tc>
          <w:tcPr>
            <w:tcW w:w="2343" w:type="dxa"/>
          </w:tcPr>
          <w:p w14:paraId="5268897C" w14:textId="42887819" w:rsidR="008635AD" w:rsidRDefault="008635AD" w:rsidP="008635AD">
            <w:pPr>
              <w:jc w:val="center"/>
              <w:rPr>
                <w:rFonts w:ascii="Times New Roman" w:hAnsi="Times New Roman" w:cs="Times New Roman"/>
                <w:sz w:val="24"/>
                <w:szCs w:val="24"/>
              </w:rPr>
            </w:pPr>
            <w:r w:rsidRPr="00C448E4">
              <w:t>3,448,526,860</w:t>
            </w:r>
          </w:p>
        </w:tc>
      </w:tr>
      <w:tr w:rsidR="008635AD" w14:paraId="7D89EC84" w14:textId="77777777" w:rsidTr="008635AD">
        <w:trPr>
          <w:trHeight w:val="295"/>
        </w:trPr>
        <w:tc>
          <w:tcPr>
            <w:tcW w:w="2342" w:type="dxa"/>
          </w:tcPr>
          <w:p w14:paraId="3762E5EF" w14:textId="77777777" w:rsidR="008635AD" w:rsidRDefault="008635AD" w:rsidP="008635AD">
            <w:pPr>
              <w:jc w:val="center"/>
              <w:rPr>
                <w:rFonts w:ascii="Times New Roman" w:hAnsi="Times New Roman" w:cs="Times New Roman"/>
                <w:sz w:val="24"/>
                <w:szCs w:val="24"/>
              </w:rPr>
            </w:pPr>
            <w:r>
              <w:rPr>
                <w:rFonts w:ascii="Times New Roman" w:hAnsi="Times New Roman" w:cs="Times New Roman"/>
                <w:sz w:val="24"/>
                <w:szCs w:val="24"/>
              </w:rPr>
              <w:t>2021-22</w:t>
            </w:r>
          </w:p>
        </w:tc>
        <w:tc>
          <w:tcPr>
            <w:tcW w:w="2513" w:type="dxa"/>
          </w:tcPr>
          <w:p w14:paraId="681BC089" w14:textId="7383252B" w:rsidR="008635AD" w:rsidRDefault="00670F36" w:rsidP="008635AD">
            <w:pPr>
              <w:jc w:val="center"/>
              <w:rPr>
                <w:rFonts w:ascii="Times New Roman" w:hAnsi="Times New Roman" w:cs="Times New Roman"/>
                <w:sz w:val="24"/>
                <w:szCs w:val="24"/>
              </w:rPr>
            </w:pPr>
            <w:r w:rsidRPr="00670F36">
              <w:rPr>
                <w:rFonts w:ascii="Times New Roman" w:hAnsi="Times New Roman" w:cs="Times New Roman"/>
                <w:sz w:val="24"/>
                <w:szCs w:val="24"/>
              </w:rPr>
              <w:t>0.26</w:t>
            </w:r>
          </w:p>
        </w:tc>
        <w:tc>
          <w:tcPr>
            <w:tcW w:w="2172" w:type="dxa"/>
          </w:tcPr>
          <w:p w14:paraId="0BB64940" w14:textId="07B3D488" w:rsidR="008635AD" w:rsidRDefault="008635AD" w:rsidP="008635AD">
            <w:pPr>
              <w:jc w:val="center"/>
              <w:rPr>
                <w:rFonts w:ascii="Times New Roman" w:hAnsi="Times New Roman" w:cs="Times New Roman"/>
                <w:sz w:val="24"/>
                <w:szCs w:val="24"/>
              </w:rPr>
            </w:pPr>
            <w:r w:rsidRPr="005721E0">
              <w:t xml:space="preserve"> 16,868,552,827 </w:t>
            </w:r>
          </w:p>
        </w:tc>
        <w:tc>
          <w:tcPr>
            <w:tcW w:w="2343" w:type="dxa"/>
          </w:tcPr>
          <w:p w14:paraId="6B24CAEE" w14:textId="087424C9" w:rsidR="008635AD" w:rsidRDefault="008635AD" w:rsidP="008635AD">
            <w:pPr>
              <w:jc w:val="center"/>
              <w:rPr>
                <w:rFonts w:ascii="Times New Roman" w:hAnsi="Times New Roman" w:cs="Times New Roman"/>
                <w:sz w:val="24"/>
                <w:szCs w:val="24"/>
              </w:rPr>
            </w:pPr>
            <w:r w:rsidRPr="00C448E4">
              <w:t>4,417,441,269</w:t>
            </w:r>
          </w:p>
        </w:tc>
      </w:tr>
      <w:tr w:rsidR="008635AD" w14:paraId="7A326676" w14:textId="77777777" w:rsidTr="008635AD">
        <w:trPr>
          <w:trHeight w:val="282"/>
        </w:trPr>
        <w:tc>
          <w:tcPr>
            <w:tcW w:w="2342" w:type="dxa"/>
          </w:tcPr>
          <w:p w14:paraId="2F437F10" w14:textId="77777777" w:rsidR="008635AD" w:rsidRDefault="008635AD" w:rsidP="008635AD">
            <w:pPr>
              <w:jc w:val="center"/>
              <w:rPr>
                <w:rFonts w:ascii="Times New Roman" w:hAnsi="Times New Roman" w:cs="Times New Roman"/>
                <w:sz w:val="24"/>
                <w:szCs w:val="24"/>
              </w:rPr>
            </w:pPr>
            <w:r>
              <w:rPr>
                <w:rFonts w:ascii="Times New Roman" w:hAnsi="Times New Roman" w:cs="Times New Roman"/>
                <w:sz w:val="24"/>
                <w:szCs w:val="24"/>
              </w:rPr>
              <w:t>2022-23</w:t>
            </w:r>
          </w:p>
        </w:tc>
        <w:tc>
          <w:tcPr>
            <w:tcW w:w="2513" w:type="dxa"/>
          </w:tcPr>
          <w:p w14:paraId="4B6E4D12" w14:textId="382C2AF7" w:rsidR="008635AD" w:rsidRDefault="00670F36" w:rsidP="008635AD">
            <w:pPr>
              <w:jc w:val="center"/>
              <w:rPr>
                <w:rFonts w:ascii="Times New Roman" w:hAnsi="Times New Roman" w:cs="Times New Roman"/>
                <w:sz w:val="24"/>
                <w:szCs w:val="24"/>
              </w:rPr>
            </w:pPr>
            <w:r w:rsidRPr="00670F36">
              <w:rPr>
                <w:rFonts w:ascii="Times New Roman" w:hAnsi="Times New Roman" w:cs="Times New Roman"/>
                <w:sz w:val="24"/>
                <w:szCs w:val="24"/>
              </w:rPr>
              <w:t>0.25</w:t>
            </w:r>
          </w:p>
        </w:tc>
        <w:tc>
          <w:tcPr>
            <w:tcW w:w="2172" w:type="dxa"/>
          </w:tcPr>
          <w:p w14:paraId="618F9795" w14:textId="18ED0E65" w:rsidR="008635AD" w:rsidRDefault="008635AD" w:rsidP="008635AD">
            <w:pPr>
              <w:jc w:val="center"/>
              <w:rPr>
                <w:rFonts w:ascii="Times New Roman" w:hAnsi="Times New Roman" w:cs="Times New Roman"/>
                <w:sz w:val="24"/>
                <w:szCs w:val="24"/>
              </w:rPr>
            </w:pPr>
            <w:r w:rsidRPr="005721E0">
              <w:t xml:space="preserve"> 20,829,205,798 </w:t>
            </w:r>
          </w:p>
        </w:tc>
        <w:tc>
          <w:tcPr>
            <w:tcW w:w="2343" w:type="dxa"/>
          </w:tcPr>
          <w:p w14:paraId="5CB72C7C" w14:textId="6AB3F45B" w:rsidR="008635AD" w:rsidRDefault="008635AD" w:rsidP="008635AD">
            <w:pPr>
              <w:jc w:val="center"/>
              <w:rPr>
                <w:rFonts w:ascii="Times New Roman" w:hAnsi="Times New Roman" w:cs="Times New Roman"/>
                <w:sz w:val="24"/>
                <w:szCs w:val="24"/>
              </w:rPr>
            </w:pPr>
            <w:r w:rsidRPr="00C448E4">
              <w:t>5,154,911,960</w:t>
            </w:r>
          </w:p>
        </w:tc>
      </w:tr>
      <w:tr w:rsidR="008635AD" w14:paraId="0FD2EBC6" w14:textId="77777777" w:rsidTr="008635AD">
        <w:trPr>
          <w:trHeight w:val="295"/>
        </w:trPr>
        <w:tc>
          <w:tcPr>
            <w:tcW w:w="2342" w:type="dxa"/>
          </w:tcPr>
          <w:p w14:paraId="7A91BFC3" w14:textId="77777777" w:rsidR="008635AD" w:rsidRDefault="008635AD" w:rsidP="008635AD">
            <w:pPr>
              <w:jc w:val="center"/>
              <w:rPr>
                <w:rFonts w:ascii="Times New Roman" w:hAnsi="Times New Roman" w:cs="Times New Roman"/>
                <w:sz w:val="24"/>
                <w:szCs w:val="24"/>
              </w:rPr>
            </w:pPr>
            <w:r>
              <w:rPr>
                <w:rFonts w:ascii="Times New Roman" w:hAnsi="Times New Roman" w:cs="Times New Roman"/>
                <w:sz w:val="24"/>
                <w:szCs w:val="24"/>
              </w:rPr>
              <w:t>2023-24</w:t>
            </w:r>
          </w:p>
        </w:tc>
        <w:tc>
          <w:tcPr>
            <w:tcW w:w="2513" w:type="dxa"/>
          </w:tcPr>
          <w:p w14:paraId="4476A8A1" w14:textId="316123C9" w:rsidR="008635AD" w:rsidRDefault="00670F36" w:rsidP="008635AD">
            <w:pPr>
              <w:jc w:val="center"/>
              <w:rPr>
                <w:rFonts w:ascii="Times New Roman" w:hAnsi="Times New Roman" w:cs="Times New Roman"/>
                <w:sz w:val="24"/>
                <w:szCs w:val="24"/>
              </w:rPr>
            </w:pPr>
            <w:r w:rsidRPr="00670F36">
              <w:rPr>
                <w:rFonts w:ascii="Times New Roman" w:hAnsi="Times New Roman" w:cs="Times New Roman"/>
                <w:sz w:val="24"/>
                <w:szCs w:val="24"/>
              </w:rPr>
              <w:t>0.18</w:t>
            </w:r>
          </w:p>
        </w:tc>
        <w:tc>
          <w:tcPr>
            <w:tcW w:w="2172" w:type="dxa"/>
          </w:tcPr>
          <w:p w14:paraId="17300E05" w14:textId="594DF9E1" w:rsidR="008635AD" w:rsidRDefault="008635AD" w:rsidP="008635AD">
            <w:pPr>
              <w:jc w:val="center"/>
              <w:rPr>
                <w:rFonts w:ascii="Times New Roman" w:hAnsi="Times New Roman" w:cs="Times New Roman"/>
                <w:sz w:val="24"/>
                <w:szCs w:val="24"/>
              </w:rPr>
            </w:pPr>
            <w:r w:rsidRPr="005721E0">
              <w:t xml:space="preserve"> 22,039,218,780 </w:t>
            </w:r>
          </w:p>
        </w:tc>
        <w:tc>
          <w:tcPr>
            <w:tcW w:w="2343" w:type="dxa"/>
          </w:tcPr>
          <w:p w14:paraId="29968E04" w14:textId="14B22FE3" w:rsidR="008635AD" w:rsidRDefault="008635AD" w:rsidP="008635AD">
            <w:pPr>
              <w:jc w:val="center"/>
              <w:rPr>
                <w:rFonts w:ascii="Times New Roman" w:hAnsi="Times New Roman" w:cs="Times New Roman"/>
                <w:sz w:val="24"/>
                <w:szCs w:val="24"/>
              </w:rPr>
            </w:pPr>
            <w:r w:rsidRPr="00C448E4">
              <w:t>3,985,484,227</w:t>
            </w:r>
          </w:p>
        </w:tc>
      </w:tr>
    </w:tbl>
    <w:p w14:paraId="163D96C6" w14:textId="77777777" w:rsidR="008635AD" w:rsidRDefault="008635AD" w:rsidP="004E7B08">
      <w:pPr>
        <w:rPr>
          <w:rFonts w:ascii="Times New Roman" w:hAnsi="Times New Roman" w:cs="Times New Roman"/>
          <w:sz w:val="24"/>
          <w:szCs w:val="24"/>
        </w:rPr>
      </w:pPr>
    </w:p>
    <w:p w14:paraId="60D1B23C" w14:textId="52E7BD91" w:rsidR="00670F36" w:rsidRDefault="00670F36" w:rsidP="004E7B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604C47" wp14:editId="56B7D576">
            <wp:extent cx="5486400" cy="2600325"/>
            <wp:effectExtent l="0" t="0" r="0" b="9525"/>
            <wp:docPr id="176911866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C46CF9" w14:textId="4F9554E9" w:rsidR="0034621B" w:rsidRDefault="00670F36" w:rsidP="0034621B">
      <w:pPr>
        <w:spacing w:line="360" w:lineRule="auto"/>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5DE4">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BSCCL</w:t>
      </w:r>
      <w:r w:rsidRPr="00085DE4">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Asset Analysis (2013-2024)</w:t>
      </w:r>
    </w:p>
    <w:p w14:paraId="7833D06A" w14:textId="616F66B7" w:rsidR="00670F36" w:rsidRPr="0034621B" w:rsidRDefault="00670F36" w:rsidP="0034621B">
      <w:pPr>
        <w:spacing w:line="360" w:lineRule="auto"/>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5DE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Non-Current Assets</w:t>
      </w:r>
    </w:p>
    <w:p w14:paraId="6C9BB09E" w14:textId="75B480F4" w:rsidR="007B4B85" w:rsidRDefault="007B4B85" w:rsidP="003462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Pr="007B4B85">
        <w:rPr>
          <w:rFonts w:ascii="Times New Roman" w:hAnsi="Times New Roman" w:cs="Times New Roman"/>
          <w:sz w:val="24"/>
          <w:szCs w:val="24"/>
        </w:rPr>
        <w:t>Non-Current Assets include Property, Plant, and Equipment, Intangible Assets, Right-of-Use Assets, and Other Non-Current Assets, which are critical for long-term operations.</w:t>
      </w:r>
      <w:r w:rsidRPr="007B4B85">
        <w:rPr>
          <w:rFonts w:ascii="Times New Roman" w:hAnsi="Times New Roman" w:cs="Times New Roman"/>
          <w:sz w:val="24"/>
          <w:szCs w:val="24"/>
        </w:rPr>
        <w:t xml:space="preserve"> </w:t>
      </w:r>
      <w:r w:rsidRPr="007B4B85">
        <w:rPr>
          <w:rFonts w:ascii="Times New Roman" w:hAnsi="Times New Roman" w:cs="Times New Roman"/>
          <w:sz w:val="24"/>
          <w:szCs w:val="24"/>
        </w:rPr>
        <w:t>Other Non-Current Assets have fluctuated over the years, indicating adjustments in long-term holdings.</w:t>
      </w:r>
    </w:p>
    <w:p w14:paraId="7099CB62" w14:textId="74D174D3" w:rsidR="007B4B85" w:rsidRDefault="007B4B85" w:rsidP="007B4B8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7BB765" wp14:editId="71112228">
            <wp:extent cx="5486400" cy="2867025"/>
            <wp:effectExtent l="0" t="0" r="0" b="9525"/>
            <wp:docPr id="107025048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71F559" w14:textId="77777777" w:rsidR="0034621B" w:rsidRDefault="0034621B" w:rsidP="0034621B">
      <w:pPr>
        <w:spacing w:before="24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657EA" w14:textId="496471E3" w:rsidR="00F30893" w:rsidRDefault="00C16FFF" w:rsidP="0034621B">
      <w:pPr>
        <w:spacing w:before="24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DE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133E5D" w:rsidRPr="00085DE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3E5D" w:rsidRPr="00085DE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Assets</w:t>
      </w:r>
    </w:p>
    <w:p w14:paraId="57B7B408" w14:textId="2E8F6805" w:rsidR="00133E5D" w:rsidRPr="00F30893" w:rsidRDefault="00133E5D" w:rsidP="0034621B">
      <w:pPr>
        <w:spacing w:before="24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E5D">
        <w:rPr>
          <w:rFonts w:ascii="Times New Roman" w:hAnsi="Times New Roman" w:cs="Times New Roman"/>
          <w:sz w:val="24"/>
          <w:szCs w:val="24"/>
        </w:rPr>
        <w:t>Current Assets include Inventories, Trade Receivables and Others, Cash and Cash Equivalents, and Total Current Assets, which are essential for short-term liquidity.</w:t>
      </w:r>
      <w:r>
        <w:rPr>
          <w:rFonts w:ascii="Times New Roman" w:hAnsi="Times New Roman" w:cs="Times New Roman"/>
          <w:sz w:val="24"/>
          <w:szCs w:val="24"/>
        </w:rPr>
        <w:t xml:space="preserve"> </w:t>
      </w:r>
      <w:r w:rsidRPr="00133E5D">
        <w:rPr>
          <w:rFonts w:ascii="Times New Roman" w:hAnsi="Times New Roman" w:cs="Times New Roman"/>
          <w:sz w:val="24"/>
          <w:szCs w:val="24"/>
        </w:rPr>
        <w:t>Total Current Assets have seen fluctuations, which can impact the company's liquidity</w:t>
      </w:r>
      <w:r>
        <w:rPr>
          <w:rFonts w:ascii="Times New Roman" w:hAnsi="Times New Roman" w:cs="Times New Roman"/>
          <w:sz w:val="24"/>
          <w:szCs w:val="24"/>
        </w:rPr>
        <w:t>.</w:t>
      </w:r>
    </w:p>
    <w:p w14:paraId="25C143E1" w14:textId="33EDD144" w:rsidR="00133E5D" w:rsidRDefault="00133E5D" w:rsidP="00133E5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FD64" wp14:editId="1B686D65">
            <wp:extent cx="5486400" cy="3200400"/>
            <wp:effectExtent l="0" t="0" r="0" b="0"/>
            <wp:docPr id="2816301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69714E" w14:textId="6C01C500" w:rsidR="00F46C5B" w:rsidRPr="00085DE4" w:rsidRDefault="00F46C5B" w:rsidP="0034621B">
      <w:pPr>
        <w:spacing w:before="240" w:line="360" w:lineRule="auto"/>
        <w:jc w:val="both"/>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5DE4">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BSCCL</w:t>
      </w:r>
      <w:r w:rsidRPr="00085DE4">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Equity &amp; Liability Analysis (2013-2024)</w:t>
      </w:r>
    </w:p>
    <w:p w14:paraId="6F2FFCD9" w14:textId="3DAE610D" w:rsidR="00F46C5B" w:rsidRPr="00085DE4" w:rsidRDefault="00085DE4" w:rsidP="0034621B">
      <w:pPr>
        <w:spacing w:before="240" w:line="360" w:lineRule="auto"/>
        <w:ind w:firstLine="72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DE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46C5B" w:rsidRPr="00085DE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Shareholder’s Equity</w:t>
      </w:r>
    </w:p>
    <w:p w14:paraId="5984143B" w14:textId="707B3B08" w:rsidR="00F46C5B" w:rsidRDefault="00F46C5B" w:rsidP="0034621B">
      <w:pPr>
        <w:spacing w:before="240" w:line="360" w:lineRule="auto"/>
        <w:jc w:val="both"/>
        <w:rPr>
          <w:rFonts w:ascii="Times New Roman" w:hAnsi="Times New Roman" w:cs="Times New Roman"/>
          <w:sz w:val="24"/>
          <w:szCs w:val="24"/>
        </w:rPr>
      </w:pPr>
      <w:r w:rsidRPr="00F46C5B">
        <w:rPr>
          <w:rFonts w:ascii="Times New Roman" w:hAnsi="Times New Roman" w:cs="Times New Roman"/>
          <w:sz w:val="24"/>
          <w:szCs w:val="24"/>
        </w:rPr>
        <w:t>Shareholders' Equity represents the ownership stake in the company and is a critical indicator of its financial stability. This section includes Share Capital, Share Premium, Retained Earnings, and Total Equity</w:t>
      </w:r>
      <w:r>
        <w:rPr>
          <w:rFonts w:ascii="Times New Roman" w:hAnsi="Times New Roman" w:cs="Times New Roman"/>
          <w:sz w:val="24"/>
          <w:szCs w:val="24"/>
        </w:rPr>
        <w:t>.</w:t>
      </w:r>
    </w:p>
    <w:p w14:paraId="57812782" w14:textId="6D2BED9A" w:rsidR="00F46C5B" w:rsidRDefault="00F46C5B" w:rsidP="0034621B">
      <w:pPr>
        <w:spacing w:before="240" w:line="360" w:lineRule="auto"/>
        <w:jc w:val="both"/>
        <w:rPr>
          <w:rFonts w:ascii="Times New Roman" w:hAnsi="Times New Roman" w:cs="Times New Roman"/>
          <w:sz w:val="24"/>
          <w:szCs w:val="24"/>
        </w:rPr>
      </w:pPr>
      <w:r w:rsidRPr="00F46C5B">
        <w:rPr>
          <w:rFonts w:ascii="Times New Roman" w:hAnsi="Times New Roman" w:cs="Times New Roman"/>
          <w:sz w:val="24"/>
          <w:szCs w:val="24"/>
        </w:rPr>
        <w:t>Over the period from 20</w:t>
      </w:r>
      <w:r>
        <w:rPr>
          <w:rFonts w:ascii="Times New Roman" w:hAnsi="Times New Roman" w:cs="Times New Roman"/>
          <w:sz w:val="24"/>
          <w:szCs w:val="24"/>
        </w:rPr>
        <w:t>13</w:t>
      </w:r>
      <w:r w:rsidRPr="00F46C5B">
        <w:rPr>
          <w:rFonts w:ascii="Times New Roman" w:hAnsi="Times New Roman" w:cs="Times New Roman"/>
          <w:sz w:val="24"/>
          <w:szCs w:val="24"/>
        </w:rPr>
        <w:t xml:space="preserve"> to 202</w:t>
      </w:r>
      <w:r>
        <w:rPr>
          <w:rFonts w:ascii="Times New Roman" w:hAnsi="Times New Roman" w:cs="Times New Roman"/>
          <w:sz w:val="24"/>
          <w:szCs w:val="24"/>
        </w:rPr>
        <w:t>4</w:t>
      </w:r>
      <w:r w:rsidRPr="00F46C5B">
        <w:rPr>
          <w:rFonts w:ascii="Times New Roman" w:hAnsi="Times New Roman" w:cs="Times New Roman"/>
          <w:sz w:val="24"/>
          <w:szCs w:val="24"/>
        </w:rPr>
        <w:t>, the equity components have shown stability,</w:t>
      </w:r>
      <w:r>
        <w:rPr>
          <w:rFonts w:ascii="Times New Roman" w:hAnsi="Times New Roman" w:cs="Times New Roman"/>
          <w:sz w:val="24"/>
          <w:szCs w:val="24"/>
        </w:rPr>
        <w:t xml:space="preserve"> </w:t>
      </w:r>
      <w:r w:rsidR="00F31807" w:rsidRPr="00F46C5B">
        <w:rPr>
          <w:rFonts w:ascii="Times New Roman" w:hAnsi="Times New Roman" w:cs="Times New Roman"/>
          <w:sz w:val="24"/>
          <w:szCs w:val="24"/>
        </w:rPr>
        <w:t>indicated</w:t>
      </w:r>
      <w:r>
        <w:rPr>
          <w:rFonts w:ascii="Times New Roman" w:hAnsi="Times New Roman" w:cs="Times New Roman"/>
          <w:sz w:val="24"/>
          <w:szCs w:val="24"/>
        </w:rPr>
        <w:t xml:space="preserve"> </w:t>
      </w:r>
      <w:r w:rsidRPr="00F46C5B">
        <w:rPr>
          <w:rFonts w:ascii="Times New Roman" w:hAnsi="Times New Roman" w:cs="Times New Roman"/>
          <w:sz w:val="24"/>
          <w:szCs w:val="24"/>
        </w:rPr>
        <w:t>consistent ownership and retained profits. Below is the detailed trend analysis:</w:t>
      </w:r>
    </w:p>
    <w:p w14:paraId="403A2816" w14:textId="38EE8F2F" w:rsidR="00F46C5B" w:rsidRPr="00F46C5B" w:rsidRDefault="00F46C5B" w:rsidP="0034621B">
      <w:pPr>
        <w:spacing w:before="240" w:line="360" w:lineRule="auto"/>
        <w:jc w:val="both"/>
        <w:rPr>
          <w:rFonts w:ascii="Times New Roman" w:hAnsi="Times New Roman" w:cs="Times New Roman"/>
          <w:sz w:val="24"/>
          <w:szCs w:val="24"/>
        </w:rPr>
      </w:pPr>
      <w:r w:rsidRPr="00C7721D">
        <w:rPr>
          <w:rFonts w:ascii="Times New Roman" w:hAnsi="Times New Roman" w:cs="Times New Roman"/>
          <w:b/>
          <w:bCs/>
          <w:sz w:val="24"/>
          <w:szCs w:val="24"/>
        </w:rPr>
        <w:t>Share Premium:</w:t>
      </w:r>
      <w:r w:rsidRPr="00F46C5B">
        <w:rPr>
          <w:rFonts w:ascii="Times New Roman" w:hAnsi="Times New Roman" w:cs="Times New Roman"/>
          <w:sz w:val="24"/>
          <w:szCs w:val="24"/>
        </w:rPr>
        <w:t xml:space="preserve"> </w:t>
      </w:r>
      <w:r>
        <w:rPr>
          <w:rFonts w:ascii="Times New Roman" w:hAnsi="Times New Roman" w:cs="Times New Roman"/>
          <w:sz w:val="24"/>
          <w:szCs w:val="24"/>
        </w:rPr>
        <w:t>T</w:t>
      </w:r>
      <w:r w:rsidRPr="00F46C5B">
        <w:rPr>
          <w:rFonts w:ascii="Times New Roman" w:hAnsi="Times New Roman" w:cs="Times New Roman"/>
          <w:sz w:val="24"/>
          <w:szCs w:val="24"/>
        </w:rPr>
        <w:t>he share premium remained stable, indicating no additional shares issued at a premium.</w:t>
      </w:r>
    </w:p>
    <w:p w14:paraId="08BCCCF2" w14:textId="00E459BC" w:rsidR="00F46C5B" w:rsidRPr="00F46C5B" w:rsidRDefault="00F46C5B" w:rsidP="0034621B">
      <w:pPr>
        <w:spacing w:before="240" w:line="360" w:lineRule="auto"/>
        <w:jc w:val="both"/>
        <w:rPr>
          <w:rFonts w:ascii="Times New Roman" w:hAnsi="Times New Roman" w:cs="Times New Roman"/>
          <w:sz w:val="24"/>
          <w:szCs w:val="24"/>
        </w:rPr>
      </w:pPr>
      <w:r w:rsidRPr="00C7721D">
        <w:rPr>
          <w:rFonts w:ascii="Times New Roman" w:hAnsi="Times New Roman" w:cs="Times New Roman"/>
          <w:b/>
          <w:bCs/>
          <w:sz w:val="24"/>
          <w:szCs w:val="24"/>
        </w:rPr>
        <w:lastRenderedPageBreak/>
        <w:t>Retained Earnings:</w:t>
      </w:r>
      <w:r w:rsidRPr="00F46C5B">
        <w:rPr>
          <w:rFonts w:ascii="Times New Roman" w:hAnsi="Times New Roman" w:cs="Times New Roman"/>
          <w:sz w:val="24"/>
          <w:szCs w:val="24"/>
        </w:rPr>
        <w:t xml:space="preserve"> Retained earnings have fluctuated slightly, reflecting changes in profit reinvestment. For instance, retained earnings were highest in 2023 (detailed in graph).</w:t>
      </w:r>
    </w:p>
    <w:p w14:paraId="21D8F169" w14:textId="3A01589B" w:rsidR="00F46C5B" w:rsidRDefault="00F46C5B" w:rsidP="0034621B">
      <w:pPr>
        <w:spacing w:before="240" w:line="360" w:lineRule="auto"/>
        <w:jc w:val="both"/>
        <w:rPr>
          <w:rFonts w:ascii="Times New Roman" w:hAnsi="Times New Roman" w:cs="Times New Roman"/>
          <w:sz w:val="24"/>
          <w:szCs w:val="24"/>
        </w:rPr>
      </w:pPr>
      <w:r w:rsidRPr="00C7721D">
        <w:rPr>
          <w:rFonts w:ascii="Times New Roman" w:hAnsi="Times New Roman" w:cs="Times New Roman"/>
          <w:b/>
          <w:bCs/>
          <w:sz w:val="24"/>
          <w:szCs w:val="24"/>
        </w:rPr>
        <w:t>Total Equity:</w:t>
      </w:r>
      <w:r w:rsidRPr="00F46C5B">
        <w:rPr>
          <w:rFonts w:ascii="Times New Roman" w:hAnsi="Times New Roman" w:cs="Times New Roman"/>
          <w:sz w:val="24"/>
          <w:szCs w:val="24"/>
        </w:rPr>
        <w:t xml:space="preserve"> While total equity has shown moderate growth, it was largely influenced by retained earnings.</w:t>
      </w:r>
    </w:p>
    <w:p w14:paraId="0A724930" w14:textId="2B1B83F0" w:rsidR="00F46C5B" w:rsidRDefault="00F46C5B" w:rsidP="0034621B">
      <w:pPr>
        <w:spacing w:before="240" w:line="360" w:lineRule="auto"/>
        <w:jc w:val="both"/>
        <w:rPr>
          <w:rFonts w:ascii="Times New Roman" w:hAnsi="Times New Roman" w:cs="Times New Roman"/>
          <w:sz w:val="24"/>
          <w:szCs w:val="24"/>
        </w:rPr>
      </w:pPr>
      <w:r w:rsidRPr="00F46C5B">
        <w:rPr>
          <w:rFonts w:ascii="Times New Roman" w:hAnsi="Times New Roman" w:cs="Times New Roman"/>
          <w:sz w:val="24"/>
          <w:szCs w:val="24"/>
        </w:rPr>
        <w:t>This stability in equity demonstrates Grameenphone's focus on consistent shareholder returns and reinvestment of profits.</w:t>
      </w:r>
    </w:p>
    <w:p w14:paraId="1B18E028" w14:textId="77777777" w:rsidR="00F46C5B" w:rsidRDefault="00F46C5B" w:rsidP="00F46C5B">
      <w:pPr>
        <w:rPr>
          <w:rFonts w:ascii="Times New Roman" w:hAnsi="Times New Roman" w:cs="Times New Roman"/>
          <w:sz w:val="24"/>
          <w:szCs w:val="24"/>
        </w:rPr>
      </w:pPr>
    </w:p>
    <w:p w14:paraId="3139A26E" w14:textId="4FDFE966" w:rsidR="00F31807" w:rsidRDefault="00F46C5B" w:rsidP="00F46C5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717B9A" wp14:editId="2AC85A5C">
            <wp:extent cx="5486400" cy="3162300"/>
            <wp:effectExtent l="0" t="0" r="0" b="0"/>
            <wp:docPr id="105043213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0D0E07" w14:textId="1E78411F" w:rsidR="00F31807" w:rsidRPr="00085DE4" w:rsidRDefault="00F31807" w:rsidP="0034621B">
      <w:pPr>
        <w:pStyle w:val="ListParagraph"/>
        <w:numPr>
          <w:ilvl w:val="0"/>
          <w:numId w:val="9"/>
        </w:numPr>
        <w:spacing w:before="240" w:line="360" w:lineRule="auto"/>
        <w:jc w:val="both"/>
        <w:rPr>
          <w:rFonts w:ascii="Times New Roman" w:hAnsi="Times New Roman" w:cs="Times New Roman"/>
          <w:b/>
          <w:bCs/>
          <w:sz w:val="24"/>
          <w:szCs w:val="24"/>
        </w:rPr>
      </w:pPr>
      <w:r w:rsidRPr="00085DE4">
        <w:rPr>
          <w:rFonts w:ascii="Times New Roman" w:hAnsi="Times New Roman" w:cs="Times New Roman"/>
          <w:b/>
          <w:bCs/>
          <w:sz w:val="24"/>
          <w:szCs w:val="24"/>
        </w:rPr>
        <w:t>Liabilities</w:t>
      </w:r>
    </w:p>
    <w:p w14:paraId="1F939E7C" w14:textId="37FD963C" w:rsidR="00F31807" w:rsidRPr="00F31807" w:rsidRDefault="00F31807" w:rsidP="0034621B">
      <w:pPr>
        <w:spacing w:before="240" w:line="360" w:lineRule="auto"/>
        <w:jc w:val="both"/>
        <w:rPr>
          <w:rFonts w:ascii="Times New Roman" w:hAnsi="Times New Roman" w:cs="Times New Roman"/>
          <w:sz w:val="24"/>
          <w:szCs w:val="24"/>
        </w:rPr>
      </w:pPr>
      <w:r w:rsidRPr="00F31807">
        <w:rPr>
          <w:rFonts w:ascii="Times New Roman" w:hAnsi="Times New Roman" w:cs="Times New Roman"/>
          <w:sz w:val="24"/>
          <w:szCs w:val="24"/>
        </w:rPr>
        <w:t>Liabilities indicate the obligations of the company, categorized as Non-Current Liabilities and Current Liabilities. Understanding the liabilities provides insights into the company’s financial risk and operational health.</w:t>
      </w:r>
    </w:p>
    <w:p w14:paraId="5868DC2F" w14:textId="1C892182" w:rsidR="00F31807" w:rsidRDefault="00F31807" w:rsidP="0034621B">
      <w:pPr>
        <w:spacing w:before="240" w:line="360" w:lineRule="auto"/>
        <w:jc w:val="both"/>
        <w:rPr>
          <w:rFonts w:ascii="Times New Roman" w:hAnsi="Times New Roman" w:cs="Times New Roman"/>
          <w:sz w:val="24"/>
          <w:szCs w:val="24"/>
        </w:rPr>
      </w:pPr>
      <w:r w:rsidRPr="00F30893">
        <w:rPr>
          <w:rFonts w:ascii="Times New Roman" w:hAnsi="Times New Roman" w:cs="Times New Roman"/>
          <w:b/>
          <w:bCs/>
          <w:sz w:val="24"/>
          <w:szCs w:val="24"/>
        </w:rPr>
        <w:t>Non-Current Liabilities:</w:t>
      </w:r>
      <w:r w:rsidRPr="00F31807">
        <w:rPr>
          <w:rFonts w:ascii="Times New Roman" w:hAnsi="Times New Roman" w:cs="Times New Roman"/>
          <w:sz w:val="24"/>
          <w:szCs w:val="24"/>
        </w:rPr>
        <w:t xml:space="preserve"> These have fluctuated slightly over the years.</w:t>
      </w:r>
    </w:p>
    <w:p w14:paraId="4CC0952E" w14:textId="0C072701" w:rsidR="00F31807" w:rsidRPr="00F31807" w:rsidRDefault="00F31807" w:rsidP="0034621B">
      <w:pPr>
        <w:spacing w:before="240" w:line="360" w:lineRule="auto"/>
        <w:jc w:val="both"/>
        <w:rPr>
          <w:rFonts w:ascii="Times New Roman" w:hAnsi="Times New Roman" w:cs="Times New Roman"/>
          <w:sz w:val="24"/>
          <w:szCs w:val="24"/>
        </w:rPr>
      </w:pPr>
      <w:r w:rsidRPr="00F30893">
        <w:rPr>
          <w:rFonts w:ascii="Times New Roman" w:hAnsi="Times New Roman" w:cs="Times New Roman"/>
          <w:b/>
          <w:bCs/>
          <w:sz w:val="24"/>
          <w:szCs w:val="24"/>
        </w:rPr>
        <w:t>Current Liabilities:</w:t>
      </w:r>
      <w:r w:rsidRPr="00F31807">
        <w:rPr>
          <w:rFonts w:ascii="Times New Roman" w:hAnsi="Times New Roman" w:cs="Times New Roman"/>
          <w:sz w:val="24"/>
          <w:szCs w:val="24"/>
        </w:rPr>
        <w:t xml:space="preserve"> </w:t>
      </w:r>
      <w:r w:rsidRPr="00F31807">
        <w:rPr>
          <w:rFonts w:ascii="Times New Roman" w:hAnsi="Times New Roman" w:cs="Times New Roman"/>
          <w:sz w:val="24"/>
          <w:szCs w:val="24"/>
        </w:rPr>
        <w:t>This highlight</w:t>
      </w:r>
      <w:r w:rsidRPr="00F31807">
        <w:rPr>
          <w:rFonts w:ascii="Times New Roman" w:hAnsi="Times New Roman" w:cs="Times New Roman"/>
          <w:sz w:val="24"/>
          <w:szCs w:val="24"/>
        </w:rPr>
        <w:t xml:space="preserve"> increasing operational obligations.</w:t>
      </w:r>
    </w:p>
    <w:p w14:paraId="7F278E51" w14:textId="2859EA95" w:rsidR="00F31807" w:rsidRPr="00F31807" w:rsidRDefault="00F31807" w:rsidP="0034621B">
      <w:pPr>
        <w:spacing w:before="240" w:line="360" w:lineRule="auto"/>
        <w:jc w:val="both"/>
        <w:rPr>
          <w:rFonts w:ascii="Times New Roman" w:hAnsi="Times New Roman" w:cs="Times New Roman"/>
          <w:sz w:val="24"/>
          <w:szCs w:val="24"/>
        </w:rPr>
      </w:pPr>
      <w:r w:rsidRPr="00F30893">
        <w:rPr>
          <w:rFonts w:ascii="Times New Roman" w:hAnsi="Times New Roman" w:cs="Times New Roman"/>
          <w:b/>
          <w:bCs/>
          <w:sz w:val="24"/>
          <w:szCs w:val="24"/>
        </w:rPr>
        <w:t>Total Liabilities:</w:t>
      </w:r>
      <w:r w:rsidRPr="00F31807">
        <w:rPr>
          <w:rFonts w:ascii="Times New Roman" w:hAnsi="Times New Roman" w:cs="Times New Roman"/>
          <w:sz w:val="24"/>
          <w:szCs w:val="24"/>
        </w:rPr>
        <w:t xml:space="preserve"> This increase suggests higher reliance on external financing for operations and expansions.</w:t>
      </w:r>
    </w:p>
    <w:p w14:paraId="47EB3EFB" w14:textId="45AD1D68" w:rsidR="00F31807" w:rsidRDefault="00F31807" w:rsidP="0034621B">
      <w:pPr>
        <w:spacing w:before="240" w:line="360" w:lineRule="auto"/>
        <w:jc w:val="both"/>
        <w:rPr>
          <w:rFonts w:ascii="Times New Roman" w:hAnsi="Times New Roman" w:cs="Times New Roman"/>
          <w:sz w:val="24"/>
          <w:szCs w:val="24"/>
        </w:rPr>
      </w:pPr>
      <w:r w:rsidRPr="00F31807">
        <w:rPr>
          <w:rFonts w:ascii="Times New Roman" w:hAnsi="Times New Roman" w:cs="Times New Roman"/>
          <w:sz w:val="24"/>
          <w:szCs w:val="24"/>
        </w:rPr>
        <w:lastRenderedPageBreak/>
        <w:t>While liabilities are increasing, the company has balanced its financial structure to manage long</w:t>
      </w:r>
      <w:r w:rsidR="00FE4FAF">
        <w:rPr>
          <w:rFonts w:ascii="Times New Roman" w:hAnsi="Times New Roman" w:cs="Times New Roman"/>
          <w:sz w:val="24"/>
          <w:szCs w:val="24"/>
        </w:rPr>
        <w:t xml:space="preserve"> </w:t>
      </w:r>
      <w:r w:rsidRPr="00F31807">
        <w:rPr>
          <w:rFonts w:ascii="Times New Roman" w:hAnsi="Times New Roman" w:cs="Times New Roman"/>
          <w:sz w:val="24"/>
          <w:szCs w:val="24"/>
        </w:rPr>
        <w:t>term obligations effectivel</w:t>
      </w:r>
      <w:r>
        <w:rPr>
          <w:rFonts w:ascii="Times New Roman" w:hAnsi="Times New Roman" w:cs="Times New Roman"/>
          <w:sz w:val="24"/>
          <w:szCs w:val="24"/>
        </w:rPr>
        <w:t>y.</w:t>
      </w:r>
    </w:p>
    <w:p w14:paraId="7D263848" w14:textId="77777777" w:rsidR="00C7721D" w:rsidRDefault="00085DE4" w:rsidP="00C7721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02391" wp14:editId="24E41CC4">
            <wp:extent cx="5486400" cy="2914650"/>
            <wp:effectExtent l="0" t="0" r="0" b="0"/>
            <wp:docPr id="179605662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93118F" w14:textId="16F98313" w:rsidR="00FE4FAF" w:rsidRPr="00C7721D" w:rsidRDefault="00FE4FAF" w:rsidP="0034621B">
      <w:pPr>
        <w:spacing w:line="360" w:lineRule="auto"/>
        <w:rPr>
          <w:rFonts w:ascii="Times New Roman" w:hAnsi="Times New Roman" w:cs="Times New Roman"/>
          <w:sz w:val="24"/>
          <w:szCs w:val="24"/>
        </w:rPr>
      </w:pPr>
      <w:r w:rsidRPr="00085DE4">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Complete Analysis Summery (2013-2024)</w:t>
      </w:r>
    </w:p>
    <w:p w14:paraId="5332AC9A" w14:textId="17AC9C8F" w:rsidR="00FE4FAF" w:rsidRDefault="007F1A3B" w:rsidP="0034621B">
      <w:pPr>
        <w:spacing w:before="240" w:line="360" w:lineRule="auto"/>
        <w:ind w:firstLine="720"/>
        <w:jc w:val="both"/>
        <w:rPr>
          <w:rFonts w:ascii="Times New Roman" w:hAnsi="Times New Roman" w:cs="Times New Roman"/>
          <w:sz w:val="24"/>
          <w:szCs w:val="24"/>
        </w:rPr>
      </w:pPr>
      <w:r w:rsidRPr="007F1A3B">
        <w:rPr>
          <w:rFonts w:ascii="Times New Roman" w:hAnsi="Times New Roman" w:cs="Times New Roman"/>
          <w:sz w:val="24"/>
          <w:szCs w:val="24"/>
        </w:rPr>
        <w:t>BSCCL demonstrates a robust liquidity position, as evidenced by strong quick and current ratios. This indicates the company's capacity to meet its short-term obligations without significant reliance on less liquid assets like inventory. Such a healthy liquidity profile suggests BSCCL's ability to manage its financial commitments effectively, which is crucial for sustaining operations and ensuring investor confidence.</w:t>
      </w:r>
    </w:p>
    <w:p w14:paraId="22CC2213" w14:textId="77777777" w:rsidR="007F1A3B" w:rsidRDefault="007F1A3B" w:rsidP="0034621B">
      <w:pPr>
        <w:spacing w:before="240" w:line="360" w:lineRule="auto"/>
        <w:ind w:firstLine="720"/>
        <w:jc w:val="both"/>
        <w:rPr>
          <w:rFonts w:ascii="Times New Roman" w:hAnsi="Times New Roman" w:cs="Times New Roman"/>
          <w:sz w:val="24"/>
          <w:szCs w:val="24"/>
        </w:rPr>
      </w:pPr>
      <w:r w:rsidRPr="007F1A3B">
        <w:rPr>
          <w:rFonts w:ascii="Times New Roman" w:hAnsi="Times New Roman" w:cs="Times New Roman"/>
          <w:sz w:val="24"/>
          <w:szCs w:val="24"/>
        </w:rPr>
        <w:t>Over recent periods, BSCCL has experienced notable revenue growth, driven by the increasing demand for internet bandwidth and the expansion of its submarine cable infrastructure. This growth has solidified its position as a critical player in the telecommunications sector, enabling it to leverage new market opportunities and enhance its competitive advantage in both local and international markets.</w:t>
      </w:r>
    </w:p>
    <w:p w14:paraId="276AC090" w14:textId="147F1D2D" w:rsidR="007F1A3B" w:rsidRDefault="007F1A3B" w:rsidP="0034621B">
      <w:pPr>
        <w:spacing w:before="240" w:line="360" w:lineRule="auto"/>
        <w:ind w:firstLine="720"/>
        <w:jc w:val="both"/>
        <w:rPr>
          <w:rFonts w:ascii="Times New Roman" w:hAnsi="Times New Roman" w:cs="Times New Roman"/>
          <w:sz w:val="24"/>
          <w:szCs w:val="24"/>
        </w:rPr>
      </w:pPr>
      <w:r w:rsidRPr="007F1A3B">
        <w:rPr>
          <w:rFonts w:ascii="Times New Roman" w:hAnsi="Times New Roman" w:cs="Times New Roman"/>
          <w:sz w:val="24"/>
          <w:szCs w:val="24"/>
        </w:rPr>
        <w:t xml:space="preserve">The company has made significant strides in improving operational efficiency by streamlining processes and controlling costs. These efforts have translated into higher profitability margins, underscoring BSCCL's ability to generate value for its stakeholders. The company's </w:t>
      </w:r>
      <w:r w:rsidRPr="007F1A3B">
        <w:rPr>
          <w:rFonts w:ascii="Times New Roman" w:hAnsi="Times New Roman" w:cs="Times New Roman"/>
          <w:sz w:val="24"/>
          <w:szCs w:val="24"/>
        </w:rPr>
        <w:lastRenderedPageBreak/>
        <w:t>strategic focus on innovation and service diversification further supports its potential for long-term growth and resilience in an evolving industry landscape.</w:t>
      </w:r>
    </w:p>
    <w:p w14:paraId="75BB1C60" w14:textId="59E0F71D" w:rsidR="00085DE4" w:rsidRPr="007F1A3B" w:rsidRDefault="00085DE4" w:rsidP="0034621B">
      <w:pPr>
        <w:spacing w:before="240" w:line="360" w:lineRule="auto"/>
        <w:ind w:firstLine="720"/>
        <w:jc w:val="both"/>
        <w:rPr>
          <w:rFonts w:ascii="Times New Roman" w:hAnsi="Times New Roman" w:cs="Times New Roman"/>
          <w:sz w:val="24"/>
          <w:szCs w:val="24"/>
        </w:rPr>
      </w:pPr>
      <w:r w:rsidRPr="00085DE4">
        <w:rPr>
          <w:rFonts w:ascii="Times New Roman" w:hAnsi="Times New Roman" w:cs="Times New Roman"/>
          <w:sz w:val="24"/>
          <w:szCs w:val="24"/>
        </w:rPr>
        <w:t>BSCCL's financial analysis reveals a strong liquidity position, indicating its capability to meet short-term obligations effectively. The company's steady revenue growth, fueled by increasing demand for internet services and strategic infrastructure investments, underscores its prominent market position. Additionally, BSCCL's focus on operational efficiency has led to improved profitability, reflecting its commitment to sustainable growth. Overall, BSCCL is well-positioned to capitalize on future opportunities, maintaining financial stability and enhancing shareholder value.</w:t>
      </w:r>
    </w:p>
    <w:p w14:paraId="7531F131" w14:textId="77777777" w:rsidR="007F1A3B" w:rsidRPr="00F31807" w:rsidRDefault="007F1A3B" w:rsidP="007F1A3B">
      <w:pPr>
        <w:ind w:firstLine="720"/>
        <w:rPr>
          <w:rFonts w:ascii="Times New Roman" w:hAnsi="Times New Roman" w:cs="Times New Roman"/>
          <w:sz w:val="24"/>
          <w:szCs w:val="24"/>
        </w:rPr>
      </w:pPr>
    </w:p>
    <w:p w14:paraId="47135435" w14:textId="77777777" w:rsidR="00F46C5B" w:rsidRPr="00F46C5B" w:rsidRDefault="00F46C5B" w:rsidP="00F46C5B">
      <w:pPr>
        <w:rPr>
          <w:rFonts w:ascii="Times New Roman" w:hAnsi="Times New Roman" w:cs="Times New Roman"/>
          <w:sz w:val="24"/>
          <w:szCs w:val="24"/>
        </w:rPr>
      </w:pPr>
    </w:p>
    <w:p w14:paraId="7C3A77C5" w14:textId="77777777" w:rsidR="00133E5D" w:rsidRPr="00133E5D" w:rsidRDefault="00133E5D" w:rsidP="00133E5D"/>
    <w:sectPr w:rsidR="00133E5D" w:rsidRPr="0013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10A"/>
    <w:multiLevelType w:val="hybridMultilevel"/>
    <w:tmpl w:val="6792BEB2"/>
    <w:lvl w:ilvl="0" w:tplc="A5DA22C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23FC0"/>
    <w:multiLevelType w:val="hybridMultilevel"/>
    <w:tmpl w:val="BDC0F8D0"/>
    <w:lvl w:ilvl="0" w:tplc="6C72E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B737C2"/>
    <w:multiLevelType w:val="hybridMultilevel"/>
    <w:tmpl w:val="80E8A81E"/>
    <w:lvl w:ilvl="0" w:tplc="BBF65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006BB9"/>
    <w:multiLevelType w:val="hybridMultilevel"/>
    <w:tmpl w:val="5834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C7268"/>
    <w:multiLevelType w:val="hybridMultilevel"/>
    <w:tmpl w:val="71AA241A"/>
    <w:lvl w:ilvl="0" w:tplc="AA922B6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70A3D"/>
    <w:multiLevelType w:val="hybridMultilevel"/>
    <w:tmpl w:val="E2208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4631E"/>
    <w:multiLevelType w:val="hybridMultilevel"/>
    <w:tmpl w:val="3DE8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04858"/>
    <w:multiLevelType w:val="hybridMultilevel"/>
    <w:tmpl w:val="86F87A0E"/>
    <w:lvl w:ilvl="0" w:tplc="7EDEB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A0047"/>
    <w:multiLevelType w:val="hybridMultilevel"/>
    <w:tmpl w:val="9D98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618988">
    <w:abstractNumId w:val="7"/>
  </w:num>
  <w:num w:numId="2" w16cid:durableId="1883325209">
    <w:abstractNumId w:val="4"/>
  </w:num>
  <w:num w:numId="3" w16cid:durableId="1579486994">
    <w:abstractNumId w:val="0"/>
  </w:num>
  <w:num w:numId="4" w16cid:durableId="1339505399">
    <w:abstractNumId w:val="8"/>
  </w:num>
  <w:num w:numId="5" w16cid:durableId="2039381501">
    <w:abstractNumId w:val="3"/>
  </w:num>
  <w:num w:numId="6" w16cid:durableId="1378896667">
    <w:abstractNumId w:val="6"/>
  </w:num>
  <w:num w:numId="7" w16cid:durableId="1720586683">
    <w:abstractNumId w:val="5"/>
  </w:num>
  <w:num w:numId="8" w16cid:durableId="2081706948">
    <w:abstractNumId w:val="2"/>
  </w:num>
  <w:num w:numId="9" w16cid:durableId="1523664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D3"/>
    <w:rsid w:val="00050639"/>
    <w:rsid w:val="00085DE4"/>
    <w:rsid w:val="000F1161"/>
    <w:rsid w:val="00133E5D"/>
    <w:rsid w:val="001E1C97"/>
    <w:rsid w:val="001E4859"/>
    <w:rsid w:val="001F7624"/>
    <w:rsid w:val="00207849"/>
    <w:rsid w:val="002D52D8"/>
    <w:rsid w:val="0034621B"/>
    <w:rsid w:val="00435024"/>
    <w:rsid w:val="004E7B08"/>
    <w:rsid w:val="00535B63"/>
    <w:rsid w:val="00670F36"/>
    <w:rsid w:val="00694B0A"/>
    <w:rsid w:val="00793CD3"/>
    <w:rsid w:val="007B4B85"/>
    <w:rsid w:val="007F1A3B"/>
    <w:rsid w:val="008635AD"/>
    <w:rsid w:val="008F106F"/>
    <w:rsid w:val="009D53DB"/>
    <w:rsid w:val="00AC2722"/>
    <w:rsid w:val="00BA3221"/>
    <w:rsid w:val="00C16FFF"/>
    <w:rsid w:val="00C635E8"/>
    <w:rsid w:val="00C7721D"/>
    <w:rsid w:val="00DD5109"/>
    <w:rsid w:val="00DD5BA6"/>
    <w:rsid w:val="00E80501"/>
    <w:rsid w:val="00E8267F"/>
    <w:rsid w:val="00F108FA"/>
    <w:rsid w:val="00F30893"/>
    <w:rsid w:val="00F31807"/>
    <w:rsid w:val="00F46C5B"/>
    <w:rsid w:val="00FE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32B3"/>
  <w15:chartTrackingRefBased/>
  <w15:docId w15:val="{E944F65A-25FD-4952-B500-FEB17E27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859"/>
    <w:pPr>
      <w:ind w:left="720"/>
      <w:contextualSpacing/>
    </w:pPr>
  </w:style>
  <w:style w:type="table" w:styleId="TableGrid">
    <w:name w:val="Table Grid"/>
    <w:basedOn w:val="TableNormal"/>
    <w:uiPriority w:val="39"/>
    <w:rsid w:val="002D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Gross</a:t>
            </a:r>
            <a:r>
              <a:rPr lang="en-US" baseline="0"/>
              <a:t> profit vs revenue</a:t>
            </a:r>
            <a:r>
              <a:rPr lang="en-US"/>
              <a:t>   </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Gross Profit</c:v>
                </c:pt>
              </c:strCache>
            </c:strRef>
          </c:tx>
          <c:spPr>
            <a:ln w="28575" cap="rnd">
              <a:solidFill>
                <a:schemeClr val="accent1"/>
              </a:solidFill>
              <a:round/>
            </a:ln>
            <a:effectLst/>
          </c:spPr>
          <c:marker>
            <c:symbol val="none"/>
          </c:marker>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Sheet1!$B$2:$B$11</c:f>
              <c:numCache>
                <c:formatCode>#,##0</c:formatCode>
                <c:ptCount val="10"/>
                <c:pt idx="0">
                  <c:v>517828751</c:v>
                </c:pt>
                <c:pt idx="1">
                  <c:v>279302944</c:v>
                </c:pt>
                <c:pt idx="2">
                  <c:v>682676986</c:v>
                </c:pt>
                <c:pt idx="3">
                  <c:v>792267089</c:v>
                </c:pt>
                <c:pt idx="4">
                  <c:v>1334911461</c:v>
                </c:pt>
                <c:pt idx="5">
                  <c:v>1894475457</c:v>
                </c:pt>
                <c:pt idx="6">
                  <c:v>2848613515</c:v>
                </c:pt>
                <c:pt idx="7">
                  <c:v>3747781217</c:v>
                </c:pt>
                <c:pt idx="8">
                  <c:v>4277924681</c:v>
                </c:pt>
                <c:pt idx="9">
                  <c:v>3151488184</c:v>
                </c:pt>
              </c:numCache>
            </c:numRef>
          </c:val>
          <c:smooth val="0"/>
          <c:extLst>
            <c:ext xmlns:c16="http://schemas.microsoft.com/office/drawing/2014/chart" uri="{C3380CC4-5D6E-409C-BE32-E72D297353CC}">
              <c16:uniqueId val="{00000000-6D45-4025-919D-C449A2755307}"/>
            </c:ext>
          </c:extLst>
        </c:ser>
        <c:ser>
          <c:idx val="1"/>
          <c:order val="1"/>
          <c:tx>
            <c:strRef>
              <c:f>Sheet1!$C$1</c:f>
              <c:strCache>
                <c:ptCount val="1"/>
                <c:pt idx="0">
                  <c:v>Revenue</c:v>
                </c:pt>
              </c:strCache>
            </c:strRef>
          </c:tx>
          <c:spPr>
            <a:ln w="28575" cap="rnd">
              <a:solidFill>
                <a:schemeClr val="accent2"/>
              </a:solidFill>
              <a:round/>
            </a:ln>
            <a:effectLst/>
          </c:spPr>
          <c:marker>
            <c:symbol val="none"/>
          </c:marker>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Sheet1!$C$2:$C$11</c:f>
              <c:numCache>
                <c:formatCode>#,##0</c:formatCode>
                <c:ptCount val="10"/>
                <c:pt idx="0">
                  <c:v>753744790</c:v>
                </c:pt>
                <c:pt idx="1">
                  <c:v>540683784</c:v>
                </c:pt>
                <c:pt idx="2">
                  <c:v>1036725252</c:v>
                </c:pt>
                <c:pt idx="3">
                  <c:v>1405036220</c:v>
                </c:pt>
                <c:pt idx="4">
                  <c:v>1955665973</c:v>
                </c:pt>
                <c:pt idx="5">
                  <c:v>2498642388</c:v>
                </c:pt>
                <c:pt idx="6">
                  <c:v>3448526860</c:v>
                </c:pt>
                <c:pt idx="7">
                  <c:v>4417441269</c:v>
                </c:pt>
                <c:pt idx="8">
                  <c:v>5154911960</c:v>
                </c:pt>
                <c:pt idx="9">
                  <c:v>3985484227</c:v>
                </c:pt>
              </c:numCache>
            </c:numRef>
          </c:val>
          <c:smooth val="0"/>
          <c:extLst>
            <c:ext xmlns:c16="http://schemas.microsoft.com/office/drawing/2014/chart" uri="{C3380CC4-5D6E-409C-BE32-E72D297353CC}">
              <c16:uniqueId val="{00000001-6D45-4025-919D-C449A2755307}"/>
            </c:ext>
          </c:extLst>
        </c:ser>
        <c:dLbls>
          <c:showLegendKey val="0"/>
          <c:showVal val="0"/>
          <c:showCatName val="0"/>
          <c:showSerName val="0"/>
          <c:showPercent val="0"/>
          <c:showBubbleSize val="0"/>
        </c:dLbls>
        <c:smooth val="0"/>
        <c:axId val="1018648816"/>
        <c:axId val="1018647856"/>
      </c:lineChart>
      <c:catAx>
        <c:axId val="101864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647856"/>
        <c:crosses val="autoZero"/>
        <c:auto val="1"/>
        <c:lblAlgn val="ctr"/>
        <c:lblOffset val="100"/>
        <c:noMultiLvlLbl val="0"/>
      </c:catAx>
      <c:valAx>
        <c:axId val="1018647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648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Liabilities (2013-2024)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Non Current Liabilities</c:v>
                </c:pt>
              </c:strCache>
            </c:strRef>
          </c:tx>
          <c:spPr>
            <a:solidFill>
              <a:schemeClr val="accent1"/>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Sheet1!$B$2:$B$11</c:f>
              <c:numCache>
                <c:formatCode>#,##0</c:formatCode>
                <c:ptCount val="10"/>
                <c:pt idx="0">
                  <c:v>310529295</c:v>
                </c:pt>
                <c:pt idx="1">
                  <c:v>1018132397</c:v>
                </c:pt>
                <c:pt idx="2">
                  <c:v>3175633804</c:v>
                </c:pt>
                <c:pt idx="3">
                  <c:v>3271668073</c:v>
                </c:pt>
                <c:pt idx="4">
                  <c:v>3277277072</c:v>
                </c:pt>
                <c:pt idx="5">
                  <c:v>3223942791</c:v>
                </c:pt>
                <c:pt idx="6">
                  <c:v>3164993864</c:v>
                </c:pt>
                <c:pt idx="7">
                  <c:v>3579539867</c:v>
                </c:pt>
                <c:pt idx="8">
                  <c:v>4511991460</c:v>
                </c:pt>
                <c:pt idx="9">
                  <c:v>4747123993</c:v>
                </c:pt>
              </c:numCache>
            </c:numRef>
          </c:val>
          <c:extLst>
            <c:ext xmlns:c16="http://schemas.microsoft.com/office/drawing/2014/chart" uri="{C3380CC4-5D6E-409C-BE32-E72D297353CC}">
              <c16:uniqueId val="{00000000-CA12-4F13-8B83-C4370F7C0111}"/>
            </c:ext>
          </c:extLst>
        </c:ser>
        <c:ser>
          <c:idx val="1"/>
          <c:order val="1"/>
          <c:tx>
            <c:strRef>
              <c:f>Sheet1!$C$1</c:f>
              <c:strCache>
                <c:ptCount val="1"/>
                <c:pt idx="0">
                  <c:v>Current Liabilities</c:v>
                </c:pt>
              </c:strCache>
            </c:strRef>
          </c:tx>
          <c:spPr>
            <a:solidFill>
              <a:schemeClr val="accent2"/>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Sheet1!$C$2:$C$11</c:f>
              <c:numCache>
                <c:formatCode>#,##0</c:formatCode>
                <c:ptCount val="10"/>
                <c:pt idx="0">
                  <c:v>400772368</c:v>
                </c:pt>
                <c:pt idx="1">
                  <c:v>647317577</c:v>
                </c:pt>
                <c:pt idx="2">
                  <c:v>778384565</c:v>
                </c:pt>
                <c:pt idx="3">
                  <c:v>1277640618</c:v>
                </c:pt>
                <c:pt idx="4">
                  <c:v>1747312724</c:v>
                </c:pt>
                <c:pt idx="5">
                  <c:v>2175928393</c:v>
                </c:pt>
                <c:pt idx="6">
                  <c:v>2084957245</c:v>
                </c:pt>
                <c:pt idx="7">
                  <c:v>2626441902</c:v>
                </c:pt>
                <c:pt idx="8">
                  <c:v>2291700780</c:v>
                </c:pt>
                <c:pt idx="9">
                  <c:v>1946098816</c:v>
                </c:pt>
              </c:numCache>
            </c:numRef>
          </c:val>
          <c:extLst>
            <c:ext xmlns:c16="http://schemas.microsoft.com/office/drawing/2014/chart" uri="{C3380CC4-5D6E-409C-BE32-E72D297353CC}">
              <c16:uniqueId val="{00000001-CA12-4F13-8B83-C4370F7C0111}"/>
            </c:ext>
          </c:extLst>
        </c:ser>
        <c:ser>
          <c:idx val="2"/>
          <c:order val="2"/>
          <c:tx>
            <c:strRef>
              <c:f>Sheet1!$D$1</c:f>
              <c:strCache>
                <c:ptCount val="1"/>
                <c:pt idx="0">
                  <c:v>Total Liabilities </c:v>
                </c:pt>
              </c:strCache>
            </c:strRef>
          </c:tx>
          <c:spPr>
            <a:solidFill>
              <a:schemeClr val="accent3"/>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Sheet1!$D$2:$D$11</c:f>
              <c:numCache>
                <c:formatCode>#,##0</c:formatCode>
                <c:ptCount val="10"/>
                <c:pt idx="0">
                  <c:v>711301663</c:v>
                </c:pt>
                <c:pt idx="1">
                  <c:v>1665450059</c:v>
                </c:pt>
                <c:pt idx="2">
                  <c:v>3954018434</c:v>
                </c:pt>
                <c:pt idx="3">
                  <c:v>10168777184</c:v>
                </c:pt>
                <c:pt idx="4">
                  <c:v>5024589796</c:v>
                </c:pt>
                <c:pt idx="5">
                  <c:v>5399871184</c:v>
                </c:pt>
                <c:pt idx="6">
                  <c:v>5249951109</c:v>
                </c:pt>
                <c:pt idx="7">
                  <c:v>6205981769</c:v>
                </c:pt>
                <c:pt idx="8">
                  <c:v>6803692240</c:v>
                </c:pt>
                <c:pt idx="9">
                  <c:v>6693222809</c:v>
                </c:pt>
              </c:numCache>
            </c:numRef>
          </c:val>
          <c:extLst>
            <c:ext xmlns:c16="http://schemas.microsoft.com/office/drawing/2014/chart" uri="{C3380CC4-5D6E-409C-BE32-E72D297353CC}">
              <c16:uniqueId val="{00000002-CA12-4F13-8B83-C4370F7C0111}"/>
            </c:ext>
          </c:extLst>
        </c:ser>
        <c:dLbls>
          <c:showLegendKey val="0"/>
          <c:showVal val="0"/>
          <c:showCatName val="0"/>
          <c:showSerName val="0"/>
          <c:showPercent val="0"/>
          <c:showBubbleSize val="0"/>
        </c:dLbls>
        <c:gapWidth val="219"/>
        <c:overlap val="-27"/>
        <c:axId val="1368518624"/>
        <c:axId val="1368519104"/>
      </c:barChart>
      <c:catAx>
        <c:axId val="136851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19104"/>
        <c:crosses val="autoZero"/>
        <c:auto val="1"/>
        <c:lblAlgn val="ctr"/>
        <c:lblOffset val="100"/>
        <c:noMultiLvlLbl val="0"/>
      </c:catAx>
      <c:valAx>
        <c:axId val="13685191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51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Gross profit Margin</c:v>
                </c:pt>
              </c:strCache>
            </c:strRef>
          </c:tx>
          <c:spPr>
            <a:solidFill>
              <a:schemeClr val="accent1"/>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Sheet1!$B$2:$B$11</c:f>
              <c:numCache>
                <c:formatCode>General</c:formatCode>
                <c:ptCount val="10"/>
                <c:pt idx="0">
                  <c:v>68.7</c:v>
                </c:pt>
                <c:pt idx="1">
                  <c:v>51.65</c:v>
                </c:pt>
                <c:pt idx="2">
                  <c:v>65.849999999999994</c:v>
                </c:pt>
                <c:pt idx="3">
                  <c:v>56.39</c:v>
                </c:pt>
                <c:pt idx="4">
                  <c:v>26.26</c:v>
                </c:pt>
                <c:pt idx="5">
                  <c:v>75.819999999999993</c:v>
                </c:pt>
                <c:pt idx="6">
                  <c:v>82.6</c:v>
                </c:pt>
                <c:pt idx="7">
                  <c:v>84.84</c:v>
                </c:pt>
                <c:pt idx="8">
                  <c:v>82.99</c:v>
                </c:pt>
                <c:pt idx="9">
                  <c:v>79.069999999999993</c:v>
                </c:pt>
              </c:numCache>
            </c:numRef>
          </c:val>
          <c:extLst>
            <c:ext xmlns:c16="http://schemas.microsoft.com/office/drawing/2014/chart" uri="{C3380CC4-5D6E-409C-BE32-E72D297353CC}">
              <c16:uniqueId val="{00000000-3560-45EB-917B-05E7CDAF09AE}"/>
            </c:ext>
          </c:extLst>
        </c:ser>
        <c:dLbls>
          <c:showLegendKey val="0"/>
          <c:showVal val="0"/>
          <c:showCatName val="0"/>
          <c:showSerName val="0"/>
          <c:showPercent val="0"/>
          <c:showBubbleSize val="0"/>
        </c:dLbls>
        <c:gapWidth val="219"/>
        <c:overlap val="-27"/>
        <c:axId val="1098989216"/>
        <c:axId val="1098987296"/>
      </c:barChart>
      <c:catAx>
        <c:axId val="109898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987296"/>
        <c:crosses val="autoZero"/>
        <c:auto val="1"/>
        <c:lblAlgn val="ctr"/>
        <c:lblOffset val="100"/>
        <c:noMultiLvlLbl val="0"/>
      </c:catAx>
      <c:valAx>
        <c:axId val="109898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98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Current Ratio</c:v>
                </c:pt>
              </c:strCache>
            </c:strRef>
          </c:tx>
          <c:spPr>
            <a:solidFill>
              <a:schemeClr val="accent1"/>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Sheet1!$B$2:$B$11</c:f>
              <c:numCache>
                <c:formatCode>General</c:formatCode>
                <c:ptCount val="10"/>
                <c:pt idx="0">
                  <c:v>6.49</c:v>
                </c:pt>
                <c:pt idx="1">
                  <c:v>2.4</c:v>
                </c:pt>
                <c:pt idx="2">
                  <c:v>3.49</c:v>
                </c:pt>
                <c:pt idx="3">
                  <c:v>2.48</c:v>
                </c:pt>
                <c:pt idx="4">
                  <c:v>2.6</c:v>
                </c:pt>
                <c:pt idx="5">
                  <c:v>2.6</c:v>
                </c:pt>
                <c:pt idx="6">
                  <c:v>3.4</c:v>
                </c:pt>
                <c:pt idx="7">
                  <c:v>3.32</c:v>
                </c:pt>
                <c:pt idx="8">
                  <c:v>3.35</c:v>
                </c:pt>
                <c:pt idx="9">
                  <c:v>4.2</c:v>
                </c:pt>
              </c:numCache>
            </c:numRef>
          </c:val>
          <c:extLst>
            <c:ext xmlns:c16="http://schemas.microsoft.com/office/drawing/2014/chart" uri="{C3380CC4-5D6E-409C-BE32-E72D297353CC}">
              <c16:uniqueId val="{00000000-A5F2-4505-928B-DDAC911713CD}"/>
            </c:ext>
          </c:extLst>
        </c:ser>
        <c:dLbls>
          <c:showLegendKey val="0"/>
          <c:showVal val="0"/>
          <c:showCatName val="0"/>
          <c:showSerName val="0"/>
          <c:showPercent val="0"/>
          <c:showBubbleSize val="0"/>
        </c:dLbls>
        <c:gapWidth val="219"/>
        <c:overlap val="-27"/>
        <c:axId val="1100812976"/>
        <c:axId val="1100813936"/>
      </c:barChart>
      <c:catAx>
        <c:axId val="110081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813936"/>
        <c:crosses val="autoZero"/>
        <c:auto val="1"/>
        <c:lblAlgn val="ctr"/>
        <c:lblOffset val="100"/>
        <c:noMultiLvlLbl val="0"/>
      </c:catAx>
      <c:valAx>
        <c:axId val="110081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81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Current Ratio</c:v>
                </c:pt>
              </c:strCache>
            </c:strRef>
          </c:tx>
          <c:spPr>
            <a:solidFill>
              <a:schemeClr val="accent1"/>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Sheet1!$B$2:$B$11</c:f>
              <c:numCache>
                <c:formatCode>General</c:formatCode>
                <c:ptCount val="10"/>
                <c:pt idx="0">
                  <c:v>6.11</c:v>
                </c:pt>
                <c:pt idx="1">
                  <c:v>1.95</c:v>
                </c:pt>
                <c:pt idx="2">
                  <c:v>2.68</c:v>
                </c:pt>
                <c:pt idx="3">
                  <c:v>2.21</c:v>
                </c:pt>
                <c:pt idx="4">
                  <c:v>2.35</c:v>
                </c:pt>
                <c:pt idx="5">
                  <c:v>2.31</c:v>
                </c:pt>
                <c:pt idx="6">
                  <c:v>2.83</c:v>
                </c:pt>
                <c:pt idx="7">
                  <c:v>2.98</c:v>
                </c:pt>
                <c:pt idx="8">
                  <c:v>2.84</c:v>
                </c:pt>
                <c:pt idx="9">
                  <c:v>3.64</c:v>
                </c:pt>
              </c:numCache>
            </c:numRef>
          </c:val>
          <c:extLst>
            <c:ext xmlns:c16="http://schemas.microsoft.com/office/drawing/2014/chart" uri="{C3380CC4-5D6E-409C-BE32-E72D297353CC}">
              <c16:uniqueId val="{00000000-8ECD-4681-B36A-68797339EC9E}"/>
            </c:ext>
          </c:extLst>
        </c:ser>
        <c:dLbls>
          <c:showLegendKey val="0"/>
          <c:showVal val="0"/>
          <c:showCatName val="0"/>
          <c:showSerName val="0"/>
          <c:showPercent val="0"/>
          <c:showBubbleSize val="0"/>
        </c:dLbls>
        <c:gapWidth val="219"/>
        <c:overlap val="-27"/>
        <c:axId val="1109169504"/>
        <c:axId val="1109170464"/>
      </c:barChart>
      <c:catAx>
        <c:axId val="110916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170464"/>
        <c:crosses val="autoZero"/>
        <c:auto val="1"/>
        <c:lblAlgn val="ctr"/>
        <c:lblOffset val="100"/>
        <c:noMultiLvlLbl val="0"/>
      </c:catAx>
      <c:valAx>
        <c:axId val="110917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916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Debt Ratio</c:v>
                </c:pt>
              </c:strCache>
            </c:strRef>
          </c:tx>
          <c:spPr>
            <a:solidFill>
              <a:schemeClr val="accent1"/>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Sheet1!$B$2:$B$11</c:f>
              <c:numCache>
                <c:formatCode>General</c:formatCode>
                <c:ptCount val="10"/>
                <c:pt idx="0">
                  <c:v>0.15</c:v>
                </c:pt>
                <c:pt idx="1">
                  <c:v>0.28999999999999998</c:v>
                </c:pt>
                <c:pt idx="2">
                  <c:v>0.4</c:v>
                </c:pt>
                <c:pt idx="3">
                  <c:v>0.44</c:v>
                </c:pt>
                <c:pt idx="4">
                  <c:v>0.44</c:v>
                </c:pt>
                <c:pt idx="5">
                  <c:v>0.44</c:v>
                </c:pt>
                <c:pt idx="6">
                  <c:v>0.38</c:v>
                </c:pt>
                <c:pt idx="7">
                  <c:v>0.37</c:v>
                </c:pt>
                <c:pt idx="8">
                  <c:v>0.33</c:v>
                </c:pt>
                <c:pt idx="9">
                  <c:v>0.3</c:v>
                </c:pt>
              </c:numCache>
            </c:numRef>
          </c:val>
          <c:extLst>
            <c:ext xmlns:c16="http://schemas.microsoft.com/office/drawing/2014/chart" uri="{C3380CC4-5D6E-409C-BE32-E72D297353CC}">
              <c16:uniqueId val="{00000000-59D1-444D-A37B-0911EEB4FD05}"/>
            </c:ext>
          </c:extLst>
        </c:ser>
        <c:dLbls>
          <c:showLegendKey val="0"/>
          <c:showVal val="0"/>
          <c:showCatName val="0"/>
          <c:showSerName val="0"/>
          <c:showPercent val="0"/>
          <c:showBubbleSize val="0"/>
        </c:dLbls>
        <c:gapWidth val="219"/>
        <c:overlap val="-27"/>
        <c:axId val="1238012848"/>
        <c:axId val="1238010448"/>
      </c:barChart>
      <c:catAx>
        <c:axId val="123801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010448"/>
        <c:crosses val="autoZero"/>
        <c:auto val="1"/>
        <c:lblAlgn val="ctr"/>
        <c:lblOffset val="100"/>
        <c:noMultiLvlLbl val="0"/>
      </c:catAx>
      <c:valAx>
        <c:axId val="123801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01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Total Asset Turnover</c:v>
                </c:pt>
              </c:strCache>
            </c:strRef>
          </c:tx>
          <c:spPr>
            <a:solidFill>
              <a:schemeClr val="accent1"/>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Sheet1!$B$2:$B$11</c:f>
              <c:numCache>
                <c:formatCode>General</c:formatCode>
                <c:ptCount val="10"/>
                <c:pt idx="0">
                  <c:v>0.16</c:v>
                </c:pt>
                <c:pt idx="1">
                  <c:v>0.09</c:v>
                </c:pt>
                <c:pt idx="2">
                  <c:v>0.1</c:v>
                </c:pt>
                <c:pt idx="3">
                  <c:v>0.13</c:v>
                </c:pt>
                <c:pt idx="4">
                  <c:v>0.17</c:v>
                </c:pt>
                <c:pt idx="5">
                  <c:v>0.21</c:v>
                </c:pt>
                <c:pt idx="6">
                  <c:v>0.25</c:v>
                </c:pt>
                <c:pt idx="7">
                  <c:v>0.26</c:v>
                </c:pt>
                <c:pt idx="8">
                  <c:v>0.25</c:v>
                </c:pt>
                <c:pt idx="9">
                  <c:v>0.18</c:v>
                </c:pt>
              </c:numCache>
            </c:numRef>
          </c:val>
          <c:extLst>
            <c:ext xmlns:c16="http://schemas.microsoft.com/office/drawing/2014/chart" uri="{C3380CC4-5D6E-409C-BE32-E72D297353CC}">
              <c16:uniqueId val="{00000000-8A7C-4ED5-AA1F-8A8850263932}"/>
            </c:ext>
          </c:extLst>
        </c:ser>
        <c:dLbls>
          <c:showLegendKey val="0"/>
          <c:showVal val="0"/>
          <c:showCatName val="0"/>
          <c:showSerName val="0"/>
          <c:showPercent val="0"/>
          <c:showBubbleSize val="0"/>
        </c:dLbls>
        <c:gapWidth val="219"/>
        <c:overlap val="-27"/>
        <c:axId val="1238009488"/>
        <c:axId val="1238012368"/>
      </c:barChart>
      <c:catAx>
        <c:axId val="123800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012368"/>
        <c:crosses val="autoZero"/>
        <c:auto val="1"/>
        <c:lblAlgn val="ctr"/>
        <c:lblOffset val="100"/>
        <c:noMultiLvlLbl val="0"/>
      </c:catAx>
      <c:valAx>
        <c:axId val="123801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00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 Current Asset (2013-2024)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Property, Plant &amp; Equipment</c:v>
                </c:pt>
              </c:strCache>
            </c:strRef>
          </c:tx>
          <c:spPr>
            <a:solidFill>
              <a:schemeClr val="accent1"/>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Sheet1!$B$2:$B$11</c:f>
              <c:numCache>
                <c:formatCode>#,##0</c:formatCode>
                <c:ptCount val="10"/>
                <c:pt idx="0">
                  <c:v>2156933181</c:v>
                </c:pt>
                <c:pt idx="1">
                  <c:v>1995368725</c:v>
                </c:pt>
                <c:pt idx="2">
                  <c:v>1721800006</c:v>
                </c:pt>
                <c:pt idx="3">
                  <c:v>7267361968</c:v>
                </c:pt>
                <c:pt idx="4">
                  <c:v>6864883830</c:v>
                </c:pt>
                <c:pt idx="5">
                  <c:v>6484407737</c:v>
                </c:pt>
                <c:pt idx="6">
                  <c:v>6816455730</c:v>
                </c:pt>
                <c:pt idx="7">
                  <c:v>6441934356</c:v>
                </c:pt>
                <c:pt idx="8">
                  <c:v>6021293160</c:v>
                </c:pt>
                <c:pt idx="9">
                  <c:v>5981962252</c:v>
                </c:pt>
              </c:numCache>
            </c:numRef>
          </c:val>
          <c:extLst>
            <c:ext xmlns:c16="http://schemas.microsoft.com/office/drawing/2014/chart" uri="{C3380CC4-5D6E-409C-BE32-E72D297353CC}">
              <c16:uniqueId val="{00000000-B8B4-4F71-A70C-874E37A0BD57}"/>
            </c:ext>
          </c:extLst>
        </c:ser>
        <c:ser>
          <c:idx val="1"/>
          <c:order val="1"/>
          <c:tx>
            <c:strRef>
              <c:f>Sheet1!$C$1</c:f>
              <c:strCache>
                <c:ptCount val="1"/>
                <c:pt idx="0">
                  <c:v>Intangible Assets</c:v>
                </c:pt>
              </c:strCache>
            </c:strRef>
          </c:tx>
          <c:spPr>
            <a:solidFill>
              <a:schemeClr val="accent2"/>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Sheet1!$C$2:$C$11</c:f>
              <c:numCache>
                <c:formatCode>General</c:formatCode>
                <c:ptCount val="10"/>
                <c:pt idx="7" formatCode="#,##0">
                  <c:v>113865972</c:v>
                </c:pt>
                <c:pt idx="8" formatCode="#,##0">
                  <c:v>109477132</c:v>
                </c:pt>
                <c:pt idx="9" formatCode="#,##0">
                  <c:v>103617242</c:v>
                </c:pt>
              </c:numCache>
            </c:numRef>
          </c:val>
          <c:extLst>
            <c:ext xmlns:c16="http://schemas.microsoft.com/office/drawing/2014/chart" uri="{C3380CC4-5D6E-409C-BE32-E72D297353CC}">
              <c16:uniqueId val="{00000001-B8B4-4F71-A70C-874E37A0BD57}"/>
            </c:ext>
          </c:extLst>
        </c:ser>
        <c:ser>
          <c:idx val="2"/>
          <c:order val="2"/>
          <c:tx>
            <c:strRef>
              <c:f>Sheet1!$D$1</c:f>
              <c:strCache>
                <c:ptCount val="1"/>
                <c:pt idx="0">
                  <c:v>Right of use Assets</c:v>
                </c:pt>
              </c:strCache>
            </c:strRef>
          </c:tx>
          <c:spPr>
            <a:solidFill>
              <a:schemeClr val="accent3"/>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Sheet1!$D$2:$D$11</c:f>
              <c:numCache>
                <c:formatCode>General</c:formatCode>
                <c:ptCount val="10"/>
                <c:pt idx="0">
                  <c:v>2</c:v>
                </c:pt>
                <c:pt idx="1">
                  <c:v>2</c:v>
                </c:pt>
                <c:pt idx="2">
                  <c:v>3</c:v>
                </c:pt>
                <c:pt idx="3">
                  <c:v>5</c:v>
                </c:pt>
                <c:pt idx="8" formatCode="#,##0">
                  <c:v>51469354</c:v>
                </c:pt>
                <c:pt idx="9" formatCode="#,##0">
                  <c:v>27714269</c:v>
                </c:pt>
              </c:numCache>
            </c:numRef>
          </c:val>
          <c:extLst>
            <c:ext xmlns:c16="http://schemas.microsoft.com/office/drawing/2014/chart" uri="{C3380CC4-5D6E-409C-BE32-E72D297353CC}">
              <c16:uniqueId val="{00000002-B8B4-4F71-A70C-874E37A0BD57}"/>
            </c:ext>
          </c:extLst>
        </c:ser>
        <c:ser>
          <c:idx val="3"/>
          <c:order val="3"/>
          <c:tx>
            <c:strRef>
              <c:f>Sheet1!$E$1</c:f>
              <c:strCache>
                <c:ptCount val="1"/>
                <c:pt idx="0">
                  <c:v>Other Non Current Asset</c:v>
                </c:pt>
              </c:strCache>
            </c:strRef>
          </c:tx>
          <c:spPr>
            <a:solidFill>
              <a:schemeClr val="accent4"/>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Sheet1!$E$2:$E$11</c:f>
              <c:numCache>
                <c:formatCode>General</c:formatCode>
                <c:ptCount val="10"/>
                <c:pt idx="0" formatCode="#,##0">
                  <c:v>9513969</c:v>
                </c:pt>
                <c:pt idx="1">
                  <c:v>2150380671</c:v>
                </c:pt>
                <c:pt idx="2" formatCode="#,##0">
                  <c:v>5528460826</c:v>
                </c:pt>
                <c:pt idx="8" formatCode="#,##0">
                  <c:v>307745906</c:v>
                </c:pt>
              </c:numCache>
            </c:numRef>
          </c:val>
          <c:extLst>
            <c:ext xmlns:c16="http://schemas.microsoft.com/office/drawing/2014/chart" uri="{C3380CC4-5D6E-409C-BE32-E72D297353CC}">
              <c16:uniqueId val="{00000003-B8B4-4F71-A70C-874E37A0BD57}"/>
            </c:ext>
          </c:extLst>
        </c:ser>
        <c:dLbls>
          <c:showLegendKey val="0"/>
          <c:showVal val="0"/>
          <c:showCatName val="0"/>
          <c:showSerName val="0"/>
          <c:showPercent val="0"/>
          <c:showBubbleSize val="0"/>
        </c:dLbls>
        <c:gapWidth val="219"/>
        <c:overlap val="-27"/>
        <c:axId val="1236963664"/>
        <c:axId val="1236973744"/>
      </c:barChart>
      <c:catAx>
        <c:axId val="123696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973744"/>
        <c:crosses val="autoZero"/>
        <c:auto val="1"/>
        <c:lblAlgn val="ctr"/>
        <c:lblOffset val="100"/>
        <c:noMultiLvlLbl val="0"/>
      </c:catAx>
      <c:valAx>
        <c:axId val="1236973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963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Current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Trade Receivables</c:v>
                </c:pt>
              </c:strCache>
            </c:strRef>
          </c:tx>
          <c:spPr>
            <a:solidFill>
              <a:schemeClr val="accent1"/>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Sheet1!$B$2:$B$11</c:f>
              <c:numCache>
                <c:formatCode>#,##0</c:formatCode>
                <c:ptCount val="10"/>
                <c:pt idx="0">
                  <c:v>965502073</c:v>
                </c:pt>
                <c:pt idx="1">
                  <c:v>1178087568</c:v>
                </c:pt>
                <c:pt idx="2">
                  <c:v>1374904966</c:v>
                </c:pt>
                <c:pt idx="3">
                  <c:v>1659997058</c:v>
                </c:pt>
                <c:pt idx="4">
                  <c:v>2040255701</c:v>
                </c:pt>
                <c:pt idx="5">
                  <c:v>2587654161</c:v>
                </c:pt>
                <c:pt idx="6">
                  <c:v>1943558845</c:v>
                </c:pt>
                <c:pt idx="7">
                  <c:v>2758769054</c:v>
                </c:pt>
                <c:pt idx="8">
                  <c:v>3598168933</c:v>
                </c:pt>
                <c:pt idx="9">
                  <c:v>2612759310</c:v>
                </c:pt>
              </c:numCache>
            </c:numRef>
          </c:val>
          <c:extLst>
            <c:ext xmlns:c16="http://schemas.microsoft.com/office/drawing/2014/chart" uri="{C3380CC4-5D6E-409C-BE32-E72D297353CC}">
              <c16:uniqueId val="{00000000-FDC5-4594-A88C-5DF416B83DBA}"/>
            </c:ext>
          </c:extLst>
        </c:ser>
        <c:ser>
          <c:idx val="1"/>
          <c:order val="1"/>
          <c:tx>
            <c:strRef>
              <c:f>Sheet1!$C$1</c:f>
              <c:strCache>
                <c:ptCount val="1"/>
                <c:pt idx="0">
                  <c:v>Cash Equialence</c:v>
                </c:pt>
              </c:strCache>
            </c:strRef>
          </c:tx>
          <c:spPr>
            <a:solidFill>
              <a:schemeClr val="accent2"/>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Sheet1!$C$2:$C$11</c:f>
              <c:numCache>
                <c:formatCode>#,##0</c:formatCode>
                <c:ptCount val="10"/>
                <c:pt idx="0">
                  <c:v>1451392819</c:v>
                </c:pt>
                <c:pt idx="1">
                  <c:v>51374192</c:v>
                </c:pt>
                <c:pt idx="2">
                  <c:v>671693463</c:v>
                </c:pt>
                <c:pt idx="3">
                  <c:v>1131140015</c:v>
                </c:pt>
                <c:pt idx="4">
                  <c:v>2023140004</c:v>
                </c:pt>
                <c:pt idx="5">
                  <c:v>2418539714</c:v>
                </c:pt>
                <c:pt idx="6">
                  <c:v>354642122</c:v>
                </c:pt>
                <c:pt idx="7">
                  <c:v>210798632</c:v>
                </c:pt>
                <c:pt idx="8">
                  <c:v>229962026</c:v>
                </c:pt>
                <c:pt idx="9" formatCode="General">
                  <c:v>565202509</c:v>
                </c:pt>
              </c:numCache>
            </c:numRef>
          </c:val>
          <c:extLst>
            <c:ext xmlns:c16="http://schemas.microsoft.com/office/drawing/2014/chart" uri="{C3380CC4-5D6E-409C-BE32-E72D297353CC}">
              <c16:uniqueId val="{00000001-FDC5-4594-A88C-5DF416B83DBA}"/>
            </c:ext>
          </c:extLst>
        </c:ser>
        <c:ser>
          <c:idx val="2"/>
          <c:order val="2"/>
          <c:tx>
            <c:strRef>
              <c:f>Sheet1!$D$1</c:f>
              <c:strCache>
                <c:ptCount val="1"/>
                <c:pt idx="0">
                  <c:v>Total Current Asset</c:v>
                </c:pt>
              </c:strCache>
            </c:strRef>
          </c:tx>
          <c:spPr>
            <a:solidFill>
              <a:schemeClr val="accent3"/>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Sheet1!$D$2:$D$11</c:f>
              <c:numCache>
                <c:formatCode>#,##0</c:formatCode>
                <c:ptCount val="10"/>
                <c:pt idx="0">
                  <c:v>2599323034</c:v>
                </c:pt>
                <c:pt idx="1">
                  <c:v>1553310091</c:v>
                </c:pt>
                <c:pt idx="2">
                  <c:v>2712755209</c:v>
                </c:pt>
                <c:pt idx="3">
                  <c:v>3166318254</c:v>
                </c:pt>
                <c:pt idx="4">
                  <c:v>4547382812</c:v>
                </c:pt>
                <c:pt idx="5">
                  <c:v>5665478464</c:v>
                </c:pt>
                <c:pt idx="6">
                  <c:v>7086118262</c:v>
                </c:pt>
                <c:pt idx="7">
                  <c:v>8721400799</c:v>
                </c:pt>
                <c:pt idx="8">
                  <c:v>7688620099</c:v>
                </c:pt>
                <c:pt idx="9">
                  <c:v>8173854655</c:v>
                </c:pt>
              </c:numCache>
            </c:numRef>
          </c:val>
          <c:extLst>
            <c:ext xmlns:c16="http://schemas.microsoft.com/office/drawing/2014/chart" uri="{C3380CC4-5D6E-409C-BE32-E72D297353CC}">
              <c16:uniqueId val="{00000002-FDC5-4594-A88C-5DF416B83DBA}"/>
            </c:ext>
          </c:extLst>
        </c:ser>
        <c:dLbls>
          <c:showLegendKey val="0"/>
          <c:showVal val="0"/>
          <c:showCatName val="0"/>
          <c:showSerName val="0"/>
          <c:showPercent val="0"/>
          <c:showBubbleSize val="0"/>
        </c:dLbls>
        <c:gapWidth val="219"/>
        <c:overlap val="-27"/>
        <c:axId val="1018650736"/>
        <c:axId val="1018654576"/>
      </c:barChart>
      <c:catAx>
        <c:axId val="101865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654576"/>
        <c:crosses val="autoZero"/>
        <c:auto val="1"/>
        <c:lblAlgn val="ctr"/>
        <c:lblOffset val="100"/>
        <c:noMultiLvlLbl val="0"/>
      </c:catAx>
      <c:valAx>
        <c:axId val="10186545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65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Shareholder's Equity</a:t>
            </a:r>
            <a:r>
              <a:rPr lang="en-US" baseline="0"/>
              <a:t> (2013-2024)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Share Capital</c:v>
                </c:pt>
              </c:strCache>
            </c:strRef>
          </c:tx>
          <c:spPr>
            <a:solidFill>
              <a:schemeClr val="accent1"/>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Sheet1!$B$2:$B$11</c:f>
              <c:numCache>
                <c:formatCode>#,##0</c:formatCode>
                <c:ptCount val="10"/>
                <c:pt idx="0">
                  <c:v>1499141000</c:v>
                </c:pt>
                <c:pt idx="1">
                  <c:v>1499141000</c:v>
                </c:pt>
                <c:pt idx="2">
                  <c:v>1649055100</c:v>
                </c:pt>
                <c:pt idx="3">
                  <c:v>1649055100</c:v>
                </c:pt>
                <c:pt idx="4">
                  <c:v>1649055100</c:v>
                </c:pt>
                <c:pt idx="5">
                  <c:v>1649055100</c:v>
                </c:pt>
                <c:pt idx="6">
                  <c:v>1649055100</c:v>
                </c:pt>
                <c:pt idx="7">
                  <c:v>1649055100</c:v>
                </c:pt>
                <c:pt idx="8">
                  <c:v>1649055100</c:v>
                </c:pt>
                <c:pt idx="9">
                  <c:v>1649055100</c:v>
                </c:pt>
              </c:numCache>
            </c:numRef>
          </c:val>
          <c:extLst>
            <c:ext xmlns:c16="http://schemas.microsoft.com/office/drawing/2014/chart" uri="{C3380CC4-5D6E-409C-BE32-E72D297353CC}">
              <c16:uniqueId val="{00000000-EBDF-4B4B-BE45-B10ED1C4C9A3}"/>
            </c:ext>
          </c:extLst>
        </c:ser>
        <c:ser>
          <c:idx val="1"/>
          <c:order val="1"/>
          <c:tx>
            <c:strRef>
              <c:f>Sheet1!$C$1</c:f>
              <c:strCache>
                <c:ptCount val="1"/>
                <c:pt idx="0">
                  <c:v>Share Premium</c:v>
                </c:pt>
              </c:strCache>
            </c:strRef>
          </c:tx>
          <c:spPr>
            <a:solidFill>
              <a:schemeClr val="accent2"/>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Sheet1!$C$2:$C$11</c:f>
              <c:numCache>
                <c:formatCode>#,##0</c:formatCode>
                <c:ptCount val="10"/>
                <c:pt idx="0">
                  <c:v>723293759</c:v>
                </c:pt>
                <c:pt idx="1">
                  <c:v>723293759</c:v>
                </c:pt>
                <c:pt idx="2">
                  <c:v>723293759</c:v>
                </c:pt>
                <c:pt idx="3">
                  <c:v>723293759</c:v>
                </c:pt>
                <c:pt idx="4">
                  <c:v>723293759</c:v>
                </c:pt>
                <c:pt idx="5">
                  <c:v>723293759</c:v>
                </c:pt>
                <c:pt idx="6">
                  <c:v>723293759</c:v>
                </c:pt>
                <c:pt idx="7">
                  <c:v>723293759</c:v>
                </c:pt>
                <c:pt idx="8">
                  <c:v>723293759</c:v>
                </c:pt>
                <c:pt idx="9">
                  <c:v>723293759</c:v>
                </c:pt>
              </c:numCache>
            </c:numRef>
          </c:val>
          <c:extLst>
            <c:ext xmlns:c16="http://schemas.microsoft.com/office/drawing/2014/chart" uri="{C3380CC4-5D6E-409C-BE32-E72D297353CC}">
              <c16:uniqueId val="{00000001-EBDF-4B4B-BE45-B10ED1C4C9A3}"/>
            </c:ext>
          </c:extLst>
        </c:ser>
        <c:ser>
          <c:idx val="2"/>
          <c:order val="2"/>
          <c:tx>
            <c:strRef>
              <c:f>Sheet1!$D$1</c:f>
              <c:strCache>
                <c:ptCount val="1"/>
                <c:pt idx="0">
                  <c:v>Retained Earnings</c:v>
                </c:pt>
              </c:strCache>
            </c:strRef>
          </c:tx>
          <c:spPr>
            <a:solidFill>
              <a:schemeClr val="accent3"/>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Sheet1!$D$2:$D$11</c:f>
              <c:numCache>
                <c:formatCode>#,##0</c:formatCode>
                <c:ptCount val="10"/>
                <c:pt idx="0">
                  <c:v>947168623</c:v>
                </c:pt>
                <c:pt idx="1">
                  <c:v>906135166</c:v>
                </c:pt>
                <c:pt idx="2">
                  <c:v>977535608</c:v>
                </c:pt>
                <c:pt idx="3">
                  <c:v>808879808</c:v>
                </c:pt>
                <c:pt idx="4">
                  <c:v>1304618748</c:v>
                </c:pt>
                <c:pt idx="5">
                  <c:v>1639922628</c:v>
                </c:pt>
                <c:pt idx="6">
                  <c:v>2798121902</c:v>
                </c:pt>
                <c:pt idx="7">
                  <c:v>4500521682</c:v>
                </c:pt>
                <c:pt idx="8">
                  <c:v>7257461533</c:v>
                </c:pt>
                <c:pt idx="9">
                  <c:v>8254636405</c:v>
                </c:pt>
              </c:numCache>
            </c:numRef>
          </c:val>
          <c:extLst>
            <c:ext xmlns:c16="http://schemas.microsoft.com/office/drawing/2014/chart" uri="{C3380CC4-5D6E-409C-BE32-E72D297353CC}">
              <c16:uniqueId val="{00000002-EBDF-4B4B-BE45-B10ED1C4C9A3}"/>
            </c:ext>
          </c:extLst>
        </c:ser>
        <c:ser>
          <c:idx val="3"/>
          <c:order val="3"/>
          <c:tx>
            <c:strRef>
              <c:f>Sheet1!$E$1</c:f>
              <c:strCache>
                <c:ptCount val="1"/>
                <c:pt idx="0">
                  <c:v>Total Equity</c:v>
                </c:pt>
              </c:strCache>
            </c:strRef>
          </c:tx>
          <c:spPr>
            <a:solidFill>
              <a:schemeClr val="accent4"/>
            </a:solidFill>
            <a:ln>
              <a:noFill/>
            </a:ln>
            <a:effectLst/>
          </c:spPr>
          <c:invertIfNegative val="0"/>
          <c:cat>
            <c:strRef>
              <c:f>Sheet1!$A$2:$A$11</c:f>
              <c:strCache>
                <c:ptCount val="10"/>
                <c:pt idx="0">
                  <c:v>2013-14</c:v>
                </c:pt>
                <c:pt idx="1">
                  <c:v>2014-15</c:v>
                </c:pt>
                <c:pt idx="2">
                  <c:v>2016-17</c:v>
                </c:pt>
                <c:pt idx="3">
                  <c:v>2017-18</c:v>
                </c:pt>
                <c:pt idx="4">
                  <c:v>2018-19</c:v>
                </c:pt>
                <c:pt idx="5">
                  <c:v>2019-20</c:v>
                </c:pt>
                <c:pt idx="6">
                  <c:v>2020-21</c:v>
                </c:pt>
                <c:pt idx="7">
                  <c:v>2021-22</c:v>
                </c:pt>
                <c:pt idx="8">
                  <c:v>2022-23</c:v>
                </c:pt>
                <c:pt idx="9">
                  <c:v>2023-24</c:v>
                </c:pt>
              </c:strCache>
            </c:strRef>
          </c:cat>
          <c:val>
            <c:numRef>
              <c:f>Sheet1!$E$2:$E$11</c:f>
              <c:numCache>
                <c:formatCode>#,##0</c:formatCode>
                <c:ptCount val="10"/>
                <c:pt idx="0">
                  <c:v>4054468522</c:v>
                </c:pt>
                <c:pt idx="1">
                  <c:v>4033609513</c:v>
                </c:pt>
                <c:pt idx="2">
                  <c:v>6008997673</c:v>
                </c:pt>
                <c:pt idx="3">
                  <c:v>5884371531</c:v>
                </c:pt>
                <c:pt idx="4">
                  <c:v>6387676847</c:v>
                </c:pt>
                <c:pt idx="5">
                  <c:v>6750015017</c:v>
                </c:pt>
                <c:pt idx="6">
                  <c:v>8656670966</c:v>
                </c:pt>
                <c:pt idx="7">
                  <c:v>10662571054</c:v>
                </c:pt>
                <c:pt idx="8">
                  <c:v>14025513555</c:v>
                </c:pt>
                <c:pt idx="9">
                  <c:v>15345995967</c:v>
                </c:pt>
              </c:numCache>
            </c:numRef>
          </c:val>
          <c:extLst>
            <c:ext xmlns:c16="http://schemas.microsoft.com/office/drawing/2014/chart" uri="{C3380CC4-5D6E-409C-BE32-E72D297353CC}">
              <c16:uniqueId val="{00000003-EBDF-4B4B-BE45-B10ED1C4C9A3}"/>
            </c:ext>
          </c:extLst>
        </c:ser>
        <c:dLbls>
          <c:showLegendKey val="0"/>
          <c:showVal val="0"/>
          <c:showCatName val="0"/>
          <c:showSerName val="0"/>
          <c:showPercent val="0"/>
          <c:showBubbleSize val="0"/>
        </c:dLbls>
        <c:gapWidth val="219"/>
        <c:overlap val="-27"/>
        <c:axId val="1232901360"/>
        <c:axId val="1232897520"/>
      </c:barChart>
      <c:catAx>
        <c:axId val="123290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97520"/>
        <c:crosses val="autoZero"/>
        <c:auto val="1"/>
        <c:lblAlgn val="ctr"/>
        <c:lblOffset val="100"/>
        <c:noMultiLvlLbl val="0"/>
      </c:catAx>
      <c:valAx>
        <c:axId val="12328975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90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1576</TotalTime>
  <Pages>9</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2025-01-07T20:22:00Z</cp:lastPrinted>
  <dcterms:created xsi:type="dcterms:W3CDTF">2025-01-06T18:07:00Z</dcterms:created>
  <dcterms:modified xsi:type="dcterms:W3CDTF">2025-01-07T20:28:00Z</dcterms:modified>
</cp:coreProperties>
</file>