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7C8" w14:textId="4D249420" w:rsidR="00361E83" w:rsidRDefault="00641C68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gmr5o0sjter9" w:colFirst="0" w:colLast="0"/>
      <w:bookmarkEnd w:id="0"/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537874" wp14:editId="1BD15AE9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7D49" w14:textId="3201C019" w:rsidR="00641C68" w:rsidRPr="00AD4C1F" w:rsidRDefault="00641C68" w:rsidP="00641C68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7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" fillcolor="white [3201]" strokecolor="black [3200]" strokeweight="2pt">
                <v:textbox>
                  <w:txbxContent>
                    <w:p w14:paraId="49487D49" w14:textId="3201C019" w:rsidR="00641C68" w:rsidRPr="00AD4C1F" w:rsidRDefault="00641C68" w:rsidP="00641C68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3F28E9F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1" w:name="_alasqvn213j7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Fall 2022</w:t>
      </w:r>
    </w:p>
    <w:p w14:paraId="2BEFE25A" w14:textId="0F0F01B3" w:rsidR="00601623" w:rsidRDefault="00837D10" w:rsidP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335E2197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231A0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2231A0">
              <w:rPr>
                <w:rFonts w:ascii="Nunito" w:eastAsia="Nunito" w:hAnsi="Nunito" w:cs="Nunito"/>
              </w:rPr>
              <w:t>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000000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23779E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52AFA50F" w:rsidR="00361E83" w:rsidRPr="0023779E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</w:t>
            </w:r>
            <w:r w:rsidR="007F2F5E" w:rsidRPr="0023779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D37A" w14:textId="77777777" w:rsidR="00FC28CB" w:rsidRPr="00FC28CB" w:rsidRDefault="00FC28CB" w:rsidP="00FC28C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A system has processes to execute of which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30%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serial. If the number of cores is increased from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1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3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, what will be the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increase 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>in performance?</w:t>
            </w:r>
          </w:p>
          <w:p w14:paraId="58D36240" w14:textId="2FA2B6E1" w:rsidR="00361E83" w:rsidRDefault="00FC28CB" w:rsidP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 Distinguish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between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many-to-one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and 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one-to-one</w:t>
            </w:r>
            <w:r w:rsidRPr="00FC28C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multithreading models</w:t>
            </w:r>
            <w:r w:rsidRPr="00FC28CB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22EB" w14:textId="74AFD78F" w:rsidR="00361E8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FC1DE4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  <w:p w14:paraId="4FFC2C53" w14:textId="77777777" w:rsidR="00FC1DE4" w:rsidRDefault="00FC1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5E159E7" w14:textId="6ADBD889" w:rsidR="00361E8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9B7E54" w14:paraId="705CF885" w14:textId="77777777" w:rsidTr="007F2F5E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D665" w14:textId="22452C84" w:rsidR="009B7E54" w:rsidRPr="0023779E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2.</w:t>
            </w:r>
          </w:p>
          <w:p w14:paraId="5AF4099F" w14:textId="375C0844" w:rsidR="009B7E54" w:rsidRPr="0023779E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23779E">
              <w:rPr>
                <w:rFonts w:ascii="Nunito" w:eastAsia="Nunito" w:hAnsi="Nunito" w:cs="Nunito"/>
                <w:b/>
                <w:bCs/>
              </w:rPr>
              <w:t>CO</w:t>
            </w:r>
            <w:r w:rsidR="007F2F5E" w:rsidRPr="0023779E">
              <w:rPr>
                <w:rFonts w:ascii="Nunito" w:eastAsia="Nunito" w:hAnsi="Nunito" w:cs="Nunito"/>
                <w:b/>
                <w:bCs/>
              </w:rPr>
              <w:t>5</w:t>
            </w:r>
            <w:r w:rsidRPr="0023779E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9F" w14:textId="404FD293" w:rsidR="0094421E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>a)</w:t>
            </w:r>
            <w:r>
              <w:t xml:space="preserve"> </w:t>
            </w:r>
            <w:r w:rsidR="003240A4" w:rsidRPr="003240A4">
              <w:rPr>
                <w:rFonts w:ascii="Nunito" w:eastAsia="Nunito" w:hAnsi="Nunito" w:cs="Nunito"/>
              </w:rPr>
              <w:t xml:space="preserve">Suppose a medical center is providing Covid vaccination. In that center maximum of 6 people can take vaccines at a time in separate booths. But approximately 50 people went there to take vaccines on a particular day. Therefore, the authorities have decided that they will provide vaccines to 6 people at a time and keep others waiting in a queue. If any of the vaccine booths get free a person from the queue will be taken to that booth according to the first come first serve manner for vaccination. </w:t>
            </w:r>
            <w:r w:rsidR="003240A4" w:rsidRPr="00FC28CB">
              <w:rPr>
                <w:rFonts w:ascii="Nunito" w:eastAsia="Nunito" w:hAnsi="Nunito" w:cs="Nunito"/>
                <w:b/>
                <w:bCs/>
              </w:rPr>
              <w:t>Logically</w:t>
            </w:r>
            <w:r w:rsidR="003240A4" w:rsidRPr="003240A4">
              <w:rPr>
                <w:rFonts w:ascii="Nunito" w:eastAsia="Nunito" w:hAnsi="Nunito" w:cs="Nunito"/>
              </w:rPr>
              <w:t xml:space="preserve"> </w:t>
            </w:r>
            <w:r w:rsidR="003240A4" w:rsidRPr="003240A4">
              <w:rPr>
                <w:rFonts w:ascii="Nunito" w:eastAsia="Nunito" w:hAnsi="Nunito" w:cs="Nunito"/>
                <w:b/>
                <w:bCs/>
              </w:rPr>
              <w:t>explain</w:t>
            </w:r>
            <w:r w:rsidR="003240A4" w:rsidRPr="003240A4">
              <w:rPr>
                <w:rFonts w:ascii="Nunito" w:eastAsia="Nunito" w:hAnsi="Nunito" w:cs="Nunito"/>
              </w:rPr>
              <w:t xml:space="preserve"> which synchronization method has been used here</w:t>
            </w:r>
          </w:p>
          <w:p w14:paraId="40D5CB7A" w14:textId="77777777" w:rsidR="00CE11BD" w:rsidRPr="00CE11BD" w:rsidRDefault="00CE11B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0"/>
                <w:szCs w:val="10"/>
              </w:rPr>
            </w:pPr>
          </w:p>
          <w:p w14:paraId="73D6FFF6" w14:textId="0C02C5F7" w:rsidR="009B7E54" w:rsidRPr="009B7E54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/>
                <w:bCs/>
              </w:rPr>
              <w:t>b)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 w:rsidRPr="009B7E54">
              <w:rPr>
                <w:rFonts w:ascii="Nunito" w:eastAsia="Nunito" w:hAnsi="Nunito" w:cs="Nunito"/>
              </w:rPr>
              <w:t xml:space="preserve">For Peterson’s problem below conditions will be applied. </w:t>
            </w:r>
          </w:p>
          <w:p w14:paraId="48847B94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There are two processes: P1 and P2.</w:t>
            </w:r>
          </w:p>
          <w:p w14:paraId="1D85BF13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Each Statement takes 4ms to execute.</w:t>
            </w:r>
          </w:p>
          <w:p w14:paraId="2EFFFB5E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Context Switch will occur after 12ms.</w:t>
            </w:r>
          </w:p>
          <w:p w14:paraId="126A6C1C" w14:textId="31B39DA2" w:rsidR="009B7E54" w:rsidRPr="009B7E54" w:rsidRDefault="00CE11BD" w:rsidP="00CE11BD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Both </w:t>
            </w:r>
            <w:r w:rsidR="0062662B">
              <w:rPr>
                <w:rFonts w:ascii="Nunito" w:eastAsia="Nunito" w:hAnsi="Nunito" w:cs="Nunito"/>
              </w:rPr>
              <w:t xml:space="preserve">the </w:t>
            </w:r>
            <w:r w:rsidR="009B7E54" w:rsidRPr="009B7E54">
              <w:rPr>
                <w:rFonts w:ascii="Nunito" w:eastAsia="Nunito" w:hAnsi="Nunito" w:cs="Nunito"/>
              </w:rPr>
              <w:t>Critical</w:t>
            </w:r>
            <w:r>
              <w:rPr>
                <w:rFonts w:ascii="Nunito" w:eastAsia="Nunito" w:hAnsi="Nunito" w:cs="Nunito"/>
              </w:rPr>
              <w:t xml:space="preserve"> &amp; Remainder</w:t>
            </w:r>
            <w:r w:rsidR="009B7E54" w:rsidRPr="009B7E54">
              <w:rPr>
                <w:rFonts w:ascii="Nunito" w:eastAsia="Nunito" w:hAnsi="Nunito" w:cs="Nunito"/>
              </w:rPr>
              <w:t xml:space="preserve"> section contains 3 statements.</w:t>
            </w:r>
          </w:p>
          <w:p w14:paraId="258F3835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 xml:space="preserve">For P1: </w:t>
            </w:r>
            <w:proofErr w:type="spellStart"/>
            <w:r w:rsidRPr="003240A4">
              <w:rPr>
                <w:rFonts w:ascii="Nunito" w:eastAsia="Nunito" w:hAnsi="Nunito" w:cs="Nunito"/>
              </w:rPr>
              <w:t>i</w:t>
            </w:r>
            <w:proofErr w:type="spellEnd"/>
            <w:r w:rsidRPr="003240A4">
              <w:rPr>
                <w:rFonts w:ascii="Nunito" w:eastAsia="Nunito" w:hAnsi="Nunito" w:cs="Nunito"/>
              </w:rPr>
              <w:t>=0 and j=1</w:t>
            </w:r>
          </w:p>
          <w:p w14:paraId="026C1FE0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 xml:space="preserve">For P2: </w:t>
            </w:r>
            <w:proofErr w:type="spellStart"/>
            <w:r w:rsidRPr="003240A4">
              <w:rPr>
                <w:rFonts w:ascii="Nunito" w:eastAsia="Nunito" w:hAnsi="Nunito" w:cs="Nunito"/>
              </w:rPr>
              <w:t>i</w:t>
            </w:r>
            <w:proofErr w:type="spellEnd"/>
            <w:r w:rsidRPr="003240A4">
              <w:rPr>
                <w:rFonts w:ascii="Nunito" w:eastAsia="Nunito" w:hAnsi="Nunito" w:cs="Nunito"/>
              </w:rPr>
              <w:t>=1 and j=0</w:t>
            </w:r>
          </w:p>
          <w:p w14:paraId="090F86F5" w14:textId="77777777" w:rsidR="003240A4" w:rsidRPr="003240A4" w:rsidRDefault="003240A4" w:rsidP="003240A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3240A4">
              <w:rPr>
                <w:rFonts w:ascii="Nunito" w:eastAsia="Nunito" w:hAnsi="Nunito" w:cs="Nunito"/>
              </w:rPr>
              <w:t>turn=0</w:t>
            </w:r>
          </w:p>
          <w:p w14:paraId="21AECFE5" w14:textId="062F65E7" w:rsidR="00FC777E" w:rsidRDefault="003240A4" w:rsidP="00FC777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proofErr w:type="gramStart"/>
            <w:r w:rsidRPr="003240A4">
              <w:rPr>
                <w:rFonts w:ascii="Nunito" w:eastAsia="Nunito" w:hAnsi="Nunito" w:cs="Nunito"/>
              </w:rPr>
              <w:t>flag[</w:t>
            </w:r>
            <w:proofErr w:type="gramEnd"/>
            <w:r w:rsidRPr="003240A4">
              <w:rPr>
                <w:rFonts w:ascii="Nunito" w:eastAsia="Nunito" w:hAnsi="Nunito" w:cs="Nunito"/>
              </w:rPr>
              <w:t>0] = FALSE, flag[1] = FALSE</w:t>
            </w:r>
          </w:p>
          <w:p w14:paraId="6364FDE5" w14:textId="77777777" w:rsidR="0049393F" w:rsidRPr="0049393F" w:rsidRDefault="0049393F" w:rsidP="0049393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2"/>
              </w:rPr>
            </w:pPr>
          </w:p>
          <w:p w14:paraId="743E53C0" w14:textId="06554933" w:rsidR="009B7E54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</w:rPr>
            </w:pPr>
            <w:r w:rsidRPr="009B7E54">
              <w:rPr>
                <w:rFonts w:ascii="Nunito" w:eastAsia="Nunito" w:hAnsi="Nunito" w:cs="Nunito"/>
                <w:b/>
                <w:bCs/>
              </w:rPr>
              <w:t>The structure of process P</w:t>
            </w:r>
            <w:r w:rsidRPr="009B7E54">
              <w:rPr>
                <w:rFonts w:ascii="Nunito" w:eastAsia="Nunito" w:hAnsi="Nunito" w:cs="Nunito"/>
                <w:b/>
                <w:bCs/>
                <w:vertAlign w:val="subscript"/>
              </w:rPr>
              <w:t>i</w:t>
            </w:r>
            <w:r w:rsidRPr="009B7E54">
              <w:rPr>
                <w:rFonts w:ascii="Nunito" w:eastAsia="Nunito" w:hAnsi="Nunito" w:cs="Nunito"/>
                <w:b/>
                <w:bCs/>
              </w:rPr>
              <w:t xml:space="preserve"> in Peterson’s solution:</w:t>
            </w:r>
          </w:p>
          <w:p w14:paraId="10E5EF5D" w14:textId="77777777" w:rsidR="0094421E" w:rsidRPr="0094421E" w:rsidRDefault="0094421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5"/>
            </w:tblGrid>
            <w:tr w:rsidR="009B7E54" w:rsidRPr="009B7E54" w14:paraId="397C0360" w14:textId="77777777" w:rsidTr="00CE11BD">
              <w:trPr>
                <w:trHeight w:val="1057"/>
              </w:trPr>
              <w:tc>
                <w:tcPr>
                  <w:tcW w:w="4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9B7E54" w:rsidRDefault="009B7E54" w:rsidP="009B7E5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9B7E54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EAA43B4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68692F8F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410FE1F1" w14:textId="77777777" w:rsidR="0049393F" w:rsidRDefault="0049393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</w:p>
          <w:p w14:paraId="0F503D56" w14:textId="26525EE9" w:rsidR="009B7E54" w:rsidRDefault="00FC28CB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 xml:space="preserve">the table given below for processes P1 and P2 using </w:t>
            </w:r>
            <w:r>
              <w:rPr>
                <w:rFonts w:ascii="Nunito" w:hAnsi="Nunito"/>
                <w:b/>
                <w:bCs/>
                <w:color w:val="000000"/>
              </w:rPr>
              <w:t xml:space="preserve">Peterson’s </w:t>
            </w:r>
            <w:r>
              <w:rPr>
                <w:rFonts w:ascii="Nunito" w:hAnsi="Nunito"/>
                <w:b/>
                <w:bCs/>
                <w:color w:val="000000"/>
              </w:rPr>
              <w:lastRenderedPageBreak/>
              <w:t>solution.</w:t>
            </w: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94421E" w14:paraId="38B18248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FE70890" w14:textId="2DFD59DA" w:rsidR="0094421E" w:rsidRPr="0094421E" w:rsidRDefault="0094421E" w:rsidP="0094421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proofErr w:type="spellStart"/>
                  <w:r w:rsidRPr="0094421E"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 w:rsidRPr="0094421E">
                    <w:rPr>
                      <w:rFonts w:ascii="Nunito" w:hAnsi="Nunito"/>
                      <w:color w:val="000000"/>
                    </w:rPr>
                    <w:t>=0, j=1</w:t>
                  </w:r>
                </w:p>
              </w:tc>
              <w:tc>
                <w:tcPr>
                  <w:tcW w:w="3830" w:type="dxa"/>
                  <w:vAlign w:val="center"/>
                </w:tcPr>
                <w:p w14:paraId="4D40595F" w14:textId="6B6CCCFF" w:rsidR="0094421E" w:rsidRPr="0094421E" w:rsidRDefault="0094421E" w:rsidP="0094421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 w:rsidRPr="0094421E"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 w:rsidRPr="0094421E">
                    <w:rPr>
                      <w:rFonts w:ascii="Nunito" w:hAnsi="Nunito"/>
                      <w:color w:val="000000"/>
                    </w:rPr>
                    <w:t>=1, j=0</w:t>
                  </w:r>
                </w:p>
              </w:tc>
            </w:tr>
            <w:tr w:rsidR="0094421E" w14:paraId="31E88268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CDFC5CC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7FB3DB14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557C2714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bottom w:val="single" w:sz="4" w:space="0" w:color="auto"/>
                  </w:tcBorders>
                  <w:vAlign w:val="center"/>
                </w:tcPr>
                <w:p w14:paraId="3FDF983D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bottom w:val="single" w:sz="4" w:space="0" w:color="auto"/>
                  </w:tcBorders>
                  <w:vAlign w:val="center"/>
                </w:tcPr>
                <w:p w14:paraId="7FE0286F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3AA888CD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16F414BE" w14:textId="2DDA6916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2CCC74C6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3E4F9B4E" w14:textId="77777777" w:rsidTr="00D45F0F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6E94F524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638D49A8" w14:textId="2EFE2B23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8FF6F63" wp14:editId="17673C83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-224790</wp:posOffset>
                            </wp:positionV>
                            <wp:extent cx="190500" cy="419100"/>
                            <wp:effectExtent l="57150" t="19050" r="19050" b="76200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419100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5C61626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-13.75pt;margin-top:-17.7pt;width: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" adj="16691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</w:tr>
            <w:tr w:rsidR="0094421E" w14:paraId="2B81FB85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12025303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7E375342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94421E" w14:paraId="529CBCE7" w14:textId="77777777" w:rsidTr="00D45F0F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49AF090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70B9696" w14:textId="77777777" w:rsidR="0094421E" w:rsidRPr="0094421E" w:rsidRDefault="0094421E" w:rsidP="009B7E54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620D" w14:textId="7BB69F9A" w:rsidR="009B7E54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D84BE6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  <w:p w14:paraId="6B390E40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DB10EF6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044A583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7866244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453254F" w14:textId="77777777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892850C" w14:textId="2815CBE9" w:rsidR="0094421E" w:rsidRDefault="0094421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32"/>
                <w:szCs w:val="32"/>
              </w:rPr>
            </w:pPr>
          </w:p>
          <w:p w14:paraId="673C71F3" w14:textId="0DBF96B3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0A04FB38" w14:textId="7C2638F0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16337EB" w14:textId="3665119B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E613BFA" w14:textId="5346C966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DA93741" w14:textId="3FB9935A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D56BC43" w14:textId="138124A5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C677A4C" w14:textId="08CBA3D5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0758DD47" w14:textId="772D976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2B171800" w14:textId="300084F4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EF94D06" w14:textId="5D0CA47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90F29EC" w14:textId="65C82CC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B69E924" w14:textId="3921DBAD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2F54E44" w14:textId="77C87F69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1CCD0E2" w14:textId="0976641E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DEB8999" w14:textId="700A7CFC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D69B78C" w14:textId="3BB3543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9B1CFF0" w14:textId="658318DB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715D6E42" w14:textId="285BDEFA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785E02E" w14:textId="15F629DE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FB0E55E" w14:textId="605C1812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8144AF9" w14:textId="4D8D0387" w:rsid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35CD406A" w14:textId="77777777" w:rsidR="00FC28CB" w:rsidRPr="00FC28CB" w:rsidRDefault="00FC28CB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4EE3934F" w14:textId="77777777" w:rsidR="00FC28CB" w:rsidRDefault="00FC2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6E9A0CB2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F8ABA04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4A0F088" w14:textId="77777777" w:rsidR="0049393F" w:rsidRDefault="004939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90ADA14" w14:textId="680F0E35" w:rsidR="0094421E" w:rsidRDefault="00944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</w:t>
            </w:r>
            <w:r w:rsidR="00FC28CB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</w:tbl>
    <w:p w14:paraId="4B2F680B" w14:textId="29E247C8" w:rsidR="00722E35" w:rsidRPr="00F52C9E" w:rsidRDefault="00722E35" w:rsidP="00F52C9E">
      <w:pPr>
        <w:tabs>
          <w:tab w:val="left" w:pos="3444"/>
        </w:tabs>
        <w:rPr>
          <w:sz w:val="20"/>
          <w:szCs w:val="20"/>
        </w:rPr>
      </w:pPr>
    </w:p>
    <w:sectPr w:rsidR="00722E35" w:rsidRPr="00F52C9E" w:rsidSect="00D6421D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48B1" w14:textId="77777777" w:rsidR="00D6421D" w:rsidRDefault="00D6421D" w:rsidP="00CE11BD">
      <w:pPr>
        <w:spacing w:line="240" w:lineRule="auto"/>
      </w:pPr>
      <w:r>
        <w:separator/>
      </w:r>
    </w:p>
  </w:endnote>
  <w:endnote w:type="continuationSeparator" w:id="0">
    <w:p w14:paraId="5DD7000F" w14:textId="77777777" w:rsidR="00D6421D" w:rsidRDefault="00D6421D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E31B" w14:textId="77777777" w:rsidR="00D6421D" w:rsidRDefault="00D6421D" w:rsidP="00CE11BD">
      <w:pPr>
        <w:spacing w:line="240" w:lineRule="auto"/>
      </w:pPr>
      <w:r>
        <w:separator/>
      </w:r>
    </w:p>
  </w:footnote>
  <w:footnote w:type="continuationSeparator" w:id="0">
    <w:p w14:paraId="7B7D2843" w14:textId="77777777" w:rsidR="00D6421D" w:rsidRDefault="00D6421D" w:rsidP="00CE11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43A"/>
    <w:multiLevelType w:val="hybridMultilevel"/>
    <w:tmpl w:val="85C0C1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19350">
    <w:abstractNumId w:val="5"/>
  </w:num>
  <w:num w:numId="2" w16cid:durableId="1177572671">
    <w:abstractNumId w:val="4"/>
  </w:num>
  <w:num w:numId="3" w16cid:durableId="1423644726">
    <w:abstractNumId w:val="0"/>
  </w:num>
  <w:num w:numId="4" w16cid:durableId="2031032054">
    <w:abstractNumId w:val="1"/>
  </w:num>
  <w:num w:numId="5" w16cid:durableId="1889610937">
    <w:abstractNumId w:val="2"/>
  </w:num>
  <w:num w:numId="6" w16cid:durableId="135823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4079B"/>
    <w:rsid w:val="0019389C"/>
    <w:rsid w:val="001C24B6"/>
    <w:rsid w:val="002231A0"/>
    <w:rsid w:val="0023779E"/>
    <w:rsid w:val="00266148"/>
    <w:rsid w:val="003033BF"/>
    <w:rsid w:val="003240A4"/>
    <w:rsid w:val="00361E83"/>
    <w:rsid w:val="003E0FC3"/>
    <w:rsid w:val="0049393F"/>
    <w:rsid w:val="00555564"/>
    <w:rsid w:val="00601623"/>
    <w:rsid w:val="00621F06"/>
    <w:rsid w:val="0062662B"/>
    <w:rsid w:val="00641C68"/>
    <w:rsid w:val="0068084E"/>
    <w:rsid w:val="00685510"/>
    <w:rsid w:val="00722E35"/>
    <w:rsid w:val="007F014A"/>
    <w:rsid w:val="007F2F5E"/>
    <w:rsid w:val="008220A2"/>
    <w:rsid w:val="00837D10"/>
    <w:rsid w:val="00885041"/>
    <w:rsid w:val="008A5466"/>
    <w:rsid w:val="0094421E"/>
    <w:rsid w:val="009B7E54"/>
    <w:rsid w:val="00B34A7C"/>
    <w:rsid w:val="00C0527C"/>
    <w:rsid w:val="00C50467"/>
    <w:rsid w:val="00CD5787"/>
    <w:rsid w:val="00CE11BD"/>
    <w:rsid w:val="00D17024"/>
    <w:rsid w:val="00D27623"/>
    <w:rsid w:val="00D45F0F"/>
    <w:rsid w:val="00D6421D"/>
    <w:rsid w:val="00D84BE6"/>
    <w:rsid w:val="00DC66FE"/>
    <w:rsid w:val="00E5424B"/>
    <w:rsid w:val="00F52C9E"/>
    <w:rsid w:val="00FC1DE4"/>
    <w:rsid w:val="00FC28CB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 Ahmed</dc:creator>
  <cp:lastModifiedBy>Shihab Muhtasim</cp:lastModifiedBy>
  <cp:revision>30</cp:revision>
  <cp:lastPrinted>2022-12-27T11:40:00Z</cp:lastPrinted>
  <dcterms:created xsi:type="dcterms:W3CDTF">2022-12-23T15:40:00Z</dcterms:created>
  <dcterms:modified xsi:type="dcterms:W3CDTF">2024-03-11T18:32:00Z</dcterms:modified>
</cp:coreProperties>
</file>