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CST309</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Reflection 04</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Shihab Muhtasim</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ID:21301610</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rtl w:val="0"/>
        </w:rPr>
        <w:t xml:space="preserve">Text: </w:t>
      </w:r>
      <w:r w:rsidDel="00000000" w:rsidR="00000000" w:rsidRPr="00000000">
        <w:rPr>
          <w:rFonts w:ascii="Times New Roman" w:cs="Times New Roman" w:eastAsia="Times New Roman" w:hAnsi="Times New Roman"/>
          <w:b w:val="1"/>
          <w:sz w:val="32"/>
          <w:szCs w:val="32"/>
          <w:highlight w:val="white"/>
          <w:rtl w:val="0"/>
        </w:rPr>
        <w:t xml:space="preserve">Left Behind by the Nation</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paper </w:t>
      </w:r>
      <w:r w:rsidDel="00000000" w:rsidR="00000000" w:rsidRPr="00000000">
        <w:rPr>
          <w:rFonts w:ascii="Times New Roman" w:cs="Times New Roman" w:eastAsia="Times New Roman" w:hAnsi="Times New Roman"/>
          <w:sz w:val="30"/>
          <w:szCs w:val="30"/>
          <w:highlight w:val="white"/>
          <w:rtl w:val="0"/>
        </w:rPr>
        <w:t xml:space="preserve">Left Behind by the Nation </w:t>
      </w:r>
      <w:r w:rsidDel="00000000" w:rsidR="00000000" w:rsidRPr="00000000">
        <w:rPr>
          <w:rFonts w:ascii="Times New Roman" w:cs="Times New Roman" w:eastAsia="Times New Roman" w:hAnsi="Times New Roman"/>
          <w:sz w:val="30"/>
          <w:szCs w:val="30"/>
          <w:rtl w:val="0"/>
        </w:rPr>
        <w:t xml:space="preserve">describes how a group of Urdu-speaking persons in Dhaka were denied Bangladeshi citizenship rights. Balibar's citizenship theories clarify why this occurred. When this minority first arrived in Dhaka in 1947, the majority Bengali-speaking population began to perceive them as foreigners. Some of them supported West Pakistan during the Liberation War of 1971, which resulted in their everlasting exclusion. The complexity of Bangladeshi nationalism and identity is brought to light by this story.  This paper sheds light on the challenges faced by the Urdu-speaking community in Dhaka and how citizenship rules can lead to exclusion. Balibar's insights help us understand how some groups can be left out over time.  The story of the stranded Pakistanis demonstrates how polarizing historical events and myths can impact a community's ability to get citizenship. It reminds us of the importance of considering the different experiences within a nation and how exclusionary practices can have long-lasting effects. This paper calls for a more inclusive approach to citizenship and national identity.</w:t>
      </w:r>
    </w:p>
    <w:p w:rsidR="00000000" w:rsidDel="00000000" w:rsidP="00000000" w:rsidRDefault="00000000" w:rsidRPr="00000000" w14:paraId="00000008">
      <w:pPr>
        <w:spacing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