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sz w:val="22"/>
          <w:szCs w:val="22"/>
        </w:rPr>
        <w:drawing>
          <wp:inline distB="0" distT="0" distL="0" distR="0">
            <wp:extent cx="1543984" cy="1223689"/>
            <wp:effectExtent b="0" l="0" r="0" t="0"/>
            <wp:docPr descr="Image result for brac university logo" id="2" name="image1.png"/>
            <a:graphic>
              <a:graphicData uri="http://schemas.openxmlformats.org/drawingml/2006/picture">
                <pic:pic>
                  <pic:nvPicPr>
                    <pic:cNvPr descr="Image result for brac university logo" id="0" name="image1.png"/>
                    <pic:cNvPicPr preferRelativeResize="0"/>
                  </pic:nvPicPr>
                  <pic:blipFill>
                    <a:blip r:embed="rId7"/>
                    <a:srcRect b="0" l="0" r="0" t="0"/>
                    <a:stretch>
                      <a:fillRect/>
                    </a:stretch>
                  </pic:blipFill>
                  <pic:spPr>
                    <a:xfrm>
                      <a:off x="0" y="0"/>
                      <a:ext cx="1543984" cy="12236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102: INTRODUCTION TO PHILOSOPHY</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SUMMER 2022</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TAKE-HOME ESSAYS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answer TWO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following essay questions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one from each section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essay should be between 1200-1500 words. Each answer is worth fifty percent (50%) of the assignment grade;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answers must be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double-spaced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typed in Times Roman 12 font;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an open-book assignment. You can consult your course readings, lectures, and class notes to write your essays. You can, but do not have to, consult outside materials;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be graded on your mastery of the course materials, and your own independent and critical thinking. Please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provide citations any texts that you quote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from the readings or outside source.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 am interested in your views and answers, written in your own 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evidence of plagiarism from readings, outside sources, or another student’s answers will be penalized; The cut-off point for the “Similarity Report” of your submission should be less than 10%.</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take-home assignment will have to be submitted by 11:30 p.m.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on Thursday, September 8, 2022, in Turnitin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that Turnitin will not accept any submission at any time after this deadline.</w:t>
      </w:r>
    </w:p>
    <w:p w:rsidR="00000000" w:rsidDel="00000000" w:rsidP="00000000" w:rsidRDefault="00000000" w:rsidRPr="00000000" w14:paraId="0000000F">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 ONE</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answer </w:t>
      </w:r>
      <w:r w:rsidDel="00000000" w:rsidR="00000000" w:rsidRPr="00000000">
        <w:rPr>
          <w:rFonts w:ascii="Times New Roman" w:cs="Times New Roman" w:eastAsia="Times New Roman" w:hAnsi="Times New Roman"/>
          <w:b w:val="1"/>
          <w:sz w:val="22"/>
          <w:szCs w:val="22"/>
          <w:rtl w:val="0"/>
        </w:rPr>
        <w:t xml:space="preserve">One (1)</w:t>
      </w:r>
      <w:r w:rsidDel="00000000" w:rsidR="00000000" w:rsidRPr="00000000">
        <w:rPr>
          <w:rFonts w:ascii="Times New Roman" w:cs="Times New Roman" w:eastAsia="Times New Roman" w:hAnsi="Times New Roman"/>
          <w:sz w:val="22"/>
          <w:szCs w:val="22"/>
          <w:rtl w:val="0"/>
        </w:rPr>
        <w:t xml:space="preserve"> of the following questions: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how Kant’s response to Hume’s “problem of induction” contributes to his own philosophy of “transcendental idealism.” Begin with a brief overview of the dilemma posed by Hume’s problem of induction for Kant’s philosophy of reason. You can start with a brief mention of Kant’s understanding of the categories of our sensibility and understanding (the two components of the mind) structure our experiences. Next, discuss Kant’s criticism that Hume does not provide an adequate understanding of a priori reason. Then, provide a brief explanation of each of the four types of judgment or knowledge, with examples. Make sure to explain the distinctions between analytic and synthetic reasoning, and between a priori and a posteriori knowledge. Importantly, explain Kant’s category of “synthetic a priori reasoning,” showing how Kant relies on this robust notion of a priori reason to reconcile empiricist and rationalist thought, and allegedly overcome Hume’s problem.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explanation of the British Empiricists’ (Locke and Hume) claim that all ideas/knowledge stem from our experiences, and show how this leads to Hume’s “problem of induction.” First, discuss Locke’s two arguments against Descartes notion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innate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then present Locke’s views about the two sources of our ideas that arise from our experiences. Next, discuss how Hume seeks to explain the origin of our ideas (distinguish between simple and complex ideas). Next, contrast Hume’s formulations of the “relations of ideas” and “matters of fact by giving examples of your own. Next, discuss Hume’s identification of the “problem of induction” and how this arises from examining the relations of causation (cause-and-effect). Finally, provide a very brief (1-2 paragraphs) overview of how Kant seeks to overcome the dilemma posed by Hume’s postulated problem of induction.</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TWO: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answer ONE (1) of the following questions.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did Hobbes and Locke differ in their understanding of the origins and nature of social contract formed by free and rational human beings in the state of nature?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b7b7b7" w:val="clear"/>
          <w:vertAlign w:val="baseline"/>
          <w:rtl w:val="0"/>
        </w:rPr>
        <w:t xml:space="preserve">First, provide </w:t>
      </w:r>
      <w:r w:rsidDel="00000000" w:rsidR="00000000" w:rsidRPr="00000000">
        <w:rPr>
          <w:rFonts w:ascii="Times New Roman" w:cs="Times New Roman" w:eastAsia="Times New Roman" w:hAnsi="Times New Roman"/>
          <w:sz w:val="28"/>
          <w:szCs w:val="28"/>
          <w:shd w:fill="b7b7b7" w:val="clear"/>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b7b7b7" w:val="clear"/>
          <w:vertAlign w:val="baseline"/>
          <w:rtl w:val="0"/>
        </w:rPr>
        <w:t xml:space="preserve">detailed account of Hobbes’ conception of the “state of nature” and its main characteristics.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b7b7b7"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b7b7b7" w:val="clear"/>
          <w:vertAlign w:val="baseline"/>
          <w:rtl w:val="0"/>
        </w:rPr>
        <w:t xml:space="preserve">Why and how does Hobbes think that human beings can get beyond this harmful state of nature?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does Locke’s conception of the state of nature differ from Hobbes’ version?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natural laws exist or operate in Locke’s notion of the state of nature? If so, what “inconveniences” in the state of nature lead human beings to form a social contract.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Finally, compare and contrast their views on the nature of government formed by the social contract. In other words, why does Hobbes think that a social contract requires the coercive power of the state and absolute sovereign? Contrast this with the sort of government recommended by Locke.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01E4"/>
    <w:pPr>
      <w:ind w:left="720"/>
      <w:contextualSpacing w:val="1"/>
    </w:pPr>
  </w:style>
  <w:style w:type="character" w:styleId="Hyperlink">
    <w:name w:val="Hyperlink"/>
    <w:basedOn w:val="DefaultParagraphFont"/>
    <w:uiPriority w:val="99"/>
    <w:unhideWhenUsed w:val="1"/>
    <w:rsid w:val="00F44D7A"/>
    <w:rPr>
      <w:color w:val="0000ff"/>
      <w:u w:val="single"/>
    </w:rPr>
  </w:style>
  <w:style w:type="paragraph" w:styleId="BalloonText">
    <w:name w:val="Balloon Text"/>
    <w:basedOn w:val="Normal"/>
    <w:link w:val="BalloonTextChar"/>
    <w:uiPriority w:val="99"/>
    <w:semiHidden w:val="1"/>
    <w:unhideWhenUsed w:val="1"/>
    <w:rsid w:val="00F6612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66125"/>
    <w:rPr>
      <w:rFonts w:ascii="Segoe UI" w:cs="Segoe UI" w:hAnsi="Segoe UI"/>
      <w:sz w:val="18"/>
      <w:szCs w:val="1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9WEL9oWOM5EnNIrjRa5ZUEtbDA==">AMUW2mVRAmCOuBZ9zw1X3Tiq2VQe1daaqMeaHq3jgzGikRQCPonZhmlh1apFURZT/TGNpL5X53m8VkB6+iyERepaMle6hEfW4gc5cIx83CauHnWpzIkGM44FK9dZokneE4ad0II5y3rc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2022-08-30T14:35:00Z</dcterms:created>
  <dc:creator>Microsoft Office User</dc:creator>
</cp:coreProperties>
</file>