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C7AA7" w14:textId="77777777" w:rsidR="00C133D7" w:rsidRPr="00C133D7" w:rsidRDefault="00C133D7" w:rsidP="00C133D7">
      <w:pPr>
        <w:widowControl/>
        <w:shd w:val="clear" w:color="auto" w:fill="FFFFFF"/>
        <w:spacing w:before="360" w:after="120" w:line="450" w:lineRule="atLeas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  <w14:ligatures w14:val="none"/>
        </w:rPr>
      </w:pPr>
      <w:r w:rsidRPr="00C133D7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  <w14:ligatures w14:val="none"/>
        </w:rPr>
        <w:t>Kintex-7系列FPGA功能摘要</w:t>
      </w:r>
    </w:p>
    <w:p w14:paraId="5979FCC8" w14:textId="77777777" w:rsidR="00C133D7" w:rsidRPr="00C133D7" w:rsidRDefault="00C133D7" w:rsidP="00C133D7">
      <w:pPr>
        <w:widowControl/>
        <w:shd w:val="clear" w:color="auto" w:fill="FFFFFF"/>
        <w:spacing w:after="0" w:line="390" w:lineRule="atLeast"/>
        <w:rPr>
          <w:rFonts w:ascii="Arial" w:eastAsia="宋体" w:hAnsi="Arial" w:cs="Arial" w:hint="eastAsia"/>
          <w:color w:val="4D4D4D"/>
          <w:kern w:val="0"/>
          <w:sz w:val="24"/>
          <w14:ligatures w14:val="none"/>
        </w:rPr>
      </w:pP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按型号划分的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Kintex-7 FPGA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功能摘要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br/>
      </w:r>
      <w:r w:rsidRPr="00C133D7">
        <w:rPr>
          <w:rFonts w:ascii="Arial" w:eastAsia="宋体" w:hAnsi="Arial" w:cs="Arial"/>
          <w:noProof/>
          <w:color w:val="4D4D4D"/>
          <w:kern w:val="0"/>
          <w:sz w:val="24"/>
          <w14:ligatures w14:val="none"/>
        </w:rPr>
        <w:drawing>
          <wp:inline distT="0" distB="0" distL="0" distR="0" wp14:anchorId="082EA544" wp14:editId="0086CB71">
            <wp:extent cx="5274310" cy="1485265"/>
            <wp:effectExtent l="0" t="0" r="2540" b="635"/>
            <wp:docPr id="1052915121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br/>
        <w:t>1.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每个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7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系列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FPGA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包含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4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个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LUT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和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8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个触发器；只有某些片可以将它们的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LUT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用作分布式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RAM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或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SRL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（移位寄存器）。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br/>
        <w:t>2.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每个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DSP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片包括一个前置加法器、一个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25×18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乘法器、一个加法器和一个累加器。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br/>
        <w:t>3.Block RAM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的大小基本上为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36KB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；每个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BRAM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也可以用作两个独立的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18KB Blocks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。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br/>
        <w:t>4.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每一个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CMT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包含一个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MMCM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和一个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PLL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。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br/>
        <w:t>5.Kintex-7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系列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FPGA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接口块用作</w:t>
      </w:r>
      <w:r w:rsidRPr="00C133D7">
        <w:rPr>
          <w:rFonts w:ascii="Arial" w:eastAsia="宋体" w:hAnsi="Arial" w:cs="Arial"/>
          <w:color w:val="4EA1DB"/>
          <w:kern w:val="0"/>
          <w:sz w:val="24"/>
          <w14:ligatures w14:val="none"/>
        </w:rPr>
        <w:t>PCIe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时，最多支持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x8 Gen 2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。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br/>
        <w:t>6.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不包括配置库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0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。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br/>
        <w:t>7.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此数字不包括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GTX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收发器。</w:t>
      </w:r>
    </w:p>
    <w:p w14:paraId="37E373A0" w14:textId="77777777" w:rsidR="00C133D7" w:rsidRPr="00C133D7" w:rsidRDefault="00C133D7" w:rsidP="00C133D7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D4D4D"/>
          <w:kern w:val="0"/>
          <w:sz w:val="24"/>
          <w14:ligatures w14:val="none"/>
        </w:rPr>
      </w:pP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Kintex-7 FPGA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封装组合及最大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I/O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数</w:t>
      </w:r>
    </w:p>
    <w:p w14:paraId="2BD79B57" w14:textId="77777777" w:rsidR="00C133D7" w:rsidRPr="00C133D7" w:rsidRDefault="00C133D7" w:rsidP="00C133D7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D4D4D"/>
          <w:kern w:val="0"/>
          <w:sz w:val="24"/>
          <w14:ligatures w14:val="none"/>
        </w:rPr>
      </w:pPr>
      <w:r w:rsidRPr="00C133D7">
        <w:rPr>
          <w:rFonts w:ascii="Arial" w:eastAsia="宋体" w:hAnsi="Arial" w:cs="Arial"/>
          <w:noProof/>
          <w:color w:val="4D4D4D"/>
          <w:kern w:val="0"/>
          <w:sz w:val="24"/>
          <w14:ligatures w14:val="none"/>
        </w:rPr>
        <w:drawing>
          <wp:inline distT="0" distB="0" distL="0" distR="0" wp14:anchorId="4E376832" wp14:editId="3EA51E35">
            <wp:extent cx="5274310" cy="1713865"/>
            <wp:effectExtent l="0" t="0" r="2540" b="635"/>
            <wp:docPr id="488571947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br/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注释：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br/>
        <w:t>1.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所有列出的封装均为无铅封装（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FBG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、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FFG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、除了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15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）。一些封装在有铅选项中可用。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br/>
        <w:t>2.FBG676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和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FFG676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引脚兼容。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br/>
        <w:t>3.FFG900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和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FBG900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引脚兼容。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br/>
        <w:t>4.FB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封装下的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GTX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收发器支持以下最大数据速率：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FBG484:10.3Gb/s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；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lastRenderedPageBreak/>
        <w:t>FBG676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和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FBG900:6.6Gb/s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。详细信息可以参考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Kintex-7 FPGA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数据手册：</w:t>
      </w:r>
      <w:proofErr w:type="gramStart"/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直流和</w:t>
      </w:r>
      <w:proofErr w:type="gramEnd"/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交流开关特性（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DS182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）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br/>
        <w:t>5. HR=</w:t>
      </w:r>
      <w:proofErr w:type="gramStart"/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高范围</w:t>
      </w:r>
      <w:proofErr w:type="gramEnd"/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I/O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，支持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1.2V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到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3.3V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的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I/O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电压。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br/>
        <w:t>6.HP=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高性能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I/O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，支持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1.2V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到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1.8V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的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I/O</w:t>
      </w:r>
      <w:r w:rsidRPr="00C133D7">
        <w:rPr>
          <w:rFonts w:ascii="Arial" w:eastAsia="宋体" w:hAnsi="Arial" w:cs="Arial"/>
          <w:color w:val="4D4D4D"/>
          <w:kern w:val="0"/>
          <w:sz w:val="24"/>
          <w14:ligatures w14:val="none"/>
        </w:rPr>
        <w:t>电压</w:t>
      </w:r>
    </w:p>
    <w:p w14:paraId="096F26C2" w14:textId="77777777" w:rsidR="00C133D7" w:rsidRPr="00C133D7" w:rsidRDefault="00C133D7" w:rsidP="00C133D7"/>
    <w:sectPr w:rsidR="00C133D7" w:rsidRPr="00C13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D7"/>
    <w:rsid w:val="003B13DC"/>
    <w:rsid w:val="00C1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6807"/>
  <w15:chartTrackingRefBased/>
  <w15:docId w15:val="{3FB46009-B287-4B67-A28B-C193254C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33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13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33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33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33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33D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33D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33D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33D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33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13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13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133D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33D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133D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33D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33D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33D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133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13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33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133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3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133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33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33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3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133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33D7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C133D7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words-blog">
    <w:name w:val="words-blog"/>
    <w:basedOn w:val="a0"/>
    <w:rsid w:val="00C13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9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Chasel</dc:creator>
  <cp:keywords/>
  <dc:description/>
  <cp:lastModifiedBy>R. Chasel</cp:lastModifiedBy>
  <cp:revision>1</cp:revision>
  <dcterms:created xsi:type="dcterms:W3CDTF">2025-05-01T02:21:00Z</dcterms:created>
  <dcterms:modified xsi:type="dcterms:W3CDTF">2025-05-01T02:21:00Z</dcterms:modified>
</cp:coreProperties>
</file>