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color w:val="1E293B"/>
          <w:sz w:val="44"/>
        </w:rPr>
        <w:t>AI 面試語音特質與職務適性評估報告</w:t>
      </w:r>
    </w:p>
    <w:p>
      <w:pPr>
        <w:jc w:val="center"/>
      </w:pPr>
      <w:r>
        <w:rPr>
          <w:rFonts w:ascii="Microsoft JhengHei" w:hAnsi="Microsoft JhengHei"/>
          <w:color w:val="64748B"/>
          <w:sz w:val="20"/>
        </w:rPr>
        <w:t>評估時間：2026-07-29 20:49:20  |  分析模型：gemini-3.6-flash</w:t>
      </w:r>
    </w:p>
    <w:p>
      <w:pPr>
        <w:spacing w:after="160"/>
      </w:pPr>
    </w:p>
    <w:tbl>
      <w:tblPr>
        <w:tblW w:type="auto" w:w="0"/>
        <w:jc w:val="center"/>
        <w:tblLook w:firstColumn="1" w:firstRow="1" w:lastColumn="0" w:lastRow="0" w:noHBand="0" w:noVBand="1" w:val="04A0"/>
      </w:tblPr>
      <w:tblGrid>
        <w:gridCol w:w="4968"/>
        <w:gridCol w:w="4968"/>
      </w:tblGrid>
      <w:tr>
        <w:tc>
          <w:tcPr>
            <w:tcW w:type="dxa" w:w="4968"/>
            <w:shd w:fill="F1F5F9"/>
            <w:tcMar>
              <w:top w:w="120" w:type="dxa"/>
              <w:bottom w:w="120" w:type="dxa"/>
              <w:left w:w="150" w:type="dxa"/>
              <w:right w:w="150" w:type="dxa"/>
            </w:tcMar>
          </w:tcPr>
          <w:p>
            <w:r>
              <w:rPr>
                <w:rFonts w:ascii="Microsoft JhengHei" w:hAnsi="Microsoft JhengHei"/>
                <w:sz w:val="21"/>
              </w:rPr>
              <w:t>DISC 主導人格類型</w:t>
            </w:r>
          </w:p>
        </w:tc>
        <w:tc>
          <w:tcPr>
            <w:tcW w:type="dxa" w:w="4968"/>
            <w:shd w:fill="EEF2FF"/>
            <w:tcMar>
              <w:top w:w="120" w:type="dxa"/>
              <w:bottom w:w="120" w:type="dxa"/>
              <w:left w:w="150" w:type="dxa"/>
              <w:right w:w="150" w:type="dxa"/>
            </w:tcMar>
          </w:tcPr>
          <w:p>
            <w:r>
              <w:rPr>
                <w:rFonts w:ascii="Microsoft JhengHei" w:hAnsi="Microsoft JhengHei"/>
                <w:sz w:val="21"/>
              </w:rPr>
              <w:t>C型（分析/謹慎型）</w:t>
            </w:r>
          </w:p>
        </w:tc>
      </w:tr>
      <w:tr>
        <w:tc>
          <w:tcPr>
            <w:tcW w:type="dxa" w:w="4968"/>
            <w:shd w:fill="F1F5F9"/>
            <w:tcMar>
              <w:top w:w="120" w:type="dxa"/>
              <w:bottom w:w="120" w:type="dxa"/>
              <w:left w:w="150" w:type="dxa"/>
              <w:right w:w="150" w:type="dxa"/>
            </w:tcMar>
          </w:tcPr>
          <w:p>
            <w:r>
              <w:rPr>
                <w:rFonts w:ascii="Microsoft JhengHei" w:hAnsi="Microsoft JhengHei"/>
                <w:sz w:val="21"/>
              </w:rPr>
              <w:t>對話核心摘要</w:t>
            </w:r>
          </w:p>
        </w:tc>
        <w:tc>
          <w:tcPr>
            <w:tcW w:type="dxa" w:w="4968"/>
            <w:tcMar>
              <w:top w:w="120" w:type="dxa"/>
              <w:bottom w:w="120" w:type="dxa"/>
              <w:left w:w="150" w:type="dxa"/>
              <w:right w:w="150" w:type="dxa"/>
            </w:tcMar>
          </w:tcPr>
          <w:p>
            <w:r>
              <w:rPr>
                <w:rFonts w:ascii="Microsoft JhengHei" w:hAnsi="Microsoft JhengHei"/>
                <w:sz w:val="21"/>
              </w:rPr>
              <w:t>受訪者簡要說明其開發或使用的系統功能，主軸在於透過面試對話分析求職者的個人特質、職務契合度、未來工作勝任度及工作態度。</w:t>
            </w:r>
          </w:p>
        </w:tc>
      </w:tr>
    </w:tbl>
    <w:p>
      <w:pPr>
        <w:spacing w:after="240"/>
      </w:pPr>
    </w:p>
    <w:p>
      <w:pPr>
        <w:pStyle w:val="Heading2"/>
      </w:pPr>
      <w:r>
        <w:rPr>
          <w:rFonts w:ascii="Microsoft JhengHei" w:hAnsi="Microsoft JhengHei"/>
          <w:color w:val="4F46E5"/>
        </w:rPr>
        <w:t>一、 語音聲理與溝通風格觀察</w:t>
      </w:r>
    </w:p>
    <w:p>
      <w:r>
        <w:rPr>
          <w:b/>
        </w:rPr>
        <w:t>• 溝通表達風格：</w:t>
      </w:r>
      <w:r>
        <w:t>陳述簡潔扼要、條理分明，說話結構具邏輯性與目標導向。</w:t>
      </w:r>
    </w:p>
    <w:p>
      <w:r>
        <w:rPr>
          <w:b/>
        </w:rPr>
        <w:t>• 聲學與語速細節：</w:t>
      </w:r>
      <w:r>
        <w:t>語速適中偏慢，音調低沉平穩，展現出沉著冷靜的氣質；背景帶有些許生活雜音，但說話者節奏不受影響，停頓自然。</w:t>
      </w:r>
    </w:p>
    <w:p>
      <w:pPr>
        <w:pStyle w:val="Heading2"/>
      </w:pPr>
      <w:r>
        <w:rPr>
          <w:rFonts w:ascii="Microsoft JhengHei" w:hAnsi="Microsoft JhengHei"/>
          <w:color w:val="4F46E5"/>
        </w:rPr>
        <w:t>二、 Big Five 五大人格量化評估 (OCEAN)</w:t>
      </w:r>
    </w:p>
    <w:tbl>
      <w:tblPr>
        <w:tblW w:type="auto" w:w="0"/>
        <w:jc w:val="center"/>
        <w:tblLook w:firstColumn="1" w:firstRow="1" w:lastColumn="0" w:lastRow="0" w:noHBand="0" w:noVBand="1" w:val="04A0"/>
      </w:tblPr>
      <w:tblGrid>
        <w:gridCol w:w="4968"/>
        <w:gridCol w:w="4968"/>
      </w:tblGrid>
      <w:tr>
        <w:tc>
          <w:tcPr>
            <w:tcW w:type="dxa" w:w="4968"/>
            <w:shd w:fill="4F46E5"/>
            <w:tcMar>
              <w:top w:w="80" w:type="dxa"/>
              <w:bottom w:w="80" w:type="dxa"/>
              <w:left w:w="150" w:type="dxa"/>
              <w:right w:w="150" w:type="dxa"/>
            </w:tcMar>
          </w:tcPr>
          <w:p>
            <w:r>
              <w:rPr>
                <w:rFonts w:ascii="Microsoft JhengHei" w:hAnsi="Microsoft JhengHei"/>
                <w:color w:val="FFFFFF"/>
              </w:rPr>
              <w:t>人格維度 (Trait)</w:t>
            </w:r>
          </w:p>
        </w:tc>
        <w:tc>
          <w:tcPr>
            <w:tcW w:type="dxa" w:w="4968"/>
            <w:shd w:fill="4F46E5"/>
            <w:tcMar>
              <w:top w:w="80" w:type="dxa"/>
              <w:bottom w:w="80" w:type="dxa"/>
              <w:left w:w="150" w:type="dxa"/>
              <w:right w:w="150" w:type="dxa"/>
            </w:tcMar>
          </w:tcPr>
          <w:p>
            <w:r>
              <w:rPr>
                <w:rFonts w:ascii="Microsoft JhengHei" w:hAnsi="Microsoft JhengHei"/>
                <w:color w:val="FFFFFF"/>
              </w:rPr>
              <w:t>評分 (1-100)</w:t>
            </w:r>
          </w:p>
        </w:tc>
      </w:tr>
      <w:tr>
        <w:tc>
          <w:tcPr>
            <w:tcW w:type="dxa" w:w="4968"/>
            <w:shd w:fill="F8FAFC"/>
            <w:tcMar>
              <w:top w:w="80" w:type="dxa"/>
              <w:bottom w:w="80" w:type="dxa"/>
              <w:left w:w="150" w:type="dxa"/>
              <w:right w:w="150" w:type="dxa"/>
            </w:tcMar>
          </w:tcPr>
          <w:p>
            <w:r>
              <w:rPr>
                <w:rFonts w:ascii="Microsoft JhengHei" w:hAnsi="Microsoft JhengHei"/>
              </w:rPr>
              <w:t>經驗開放性 (Openness)</w:t>
            </w:r>
          </w:p>
        </w:tc>
        <w:tc>
          <w:tcPr>
            <w:tcW w:type="dxa" w:w="4968"/>
            <w:shd w:fill="F8FAFC"/>
            <w:tcMar>
              <w:top w:w="80" w:type="dxa"/>
              <w:bottom w:w="80" w:type="dxa"/>
              <w:left w:w="150" w:type="dxa"/>
              <w:right w:w="150" w:type="dxa"/>
            </w:tcMar>
          </w:tcPr>
          <w:p>
            <w:r>
              <w:rPr>
                <w:rFonts w:ascii="Microsoft JhengHei" w:hAnsi="Microsoft JhengHei"/>
              </w:rPr>
              <w:t>70%</w:t>
            </w:r>
          </w:p>
        </w:tc>
      </w:tr>
      <w:tr>
        <w:tc>
          <w:tcPr>
            <w:tcW w:type="dxa" w:w="4968"/>
            <w:tcMar>
              <w:top w:w="80" w:type="dxa"/>
              <w:bottom w:w="80" w:type="dxa"/>
              <w:left w:w="150" w:type="dxa"/>
              <w:right w:w="150" w:type="dxa"/>
            </w:tcMar>
          </w:tcPr>
          <w:p>
            <w:r>
              <w:rPr>
                <w:rFonts w:ascii="Microsoft JhengHei" w:hAnsi="Microsoft JhengHei"/>
              </w:rPr>
              <w:t>盡責性 (Conscientiousness)</w:t>
            </w:r>
          </w:p>
        </w:tc>
        <w:tc>
          <w:tcPr>
            <w:tcW w:type="dxa" w:w="4968"/>
            <w:tcMar>
              <w:top w:w="80" w:type="dxa"/>
              <w:bottom w:w="80" w:type="dxa"/>
              <w:left w:w="150" w:type="dxa"/>
              <w:right w:w="150" w:type="dxa"/>
            </w:tcMar>
          </w:tcPr>
          <w:p>
            <w:r>
              <w:rPr>
                <w:rFonts w:ascii="Microsoft JhengHei" w:hAnsi="Microsoft JhengHei"/>
              </w:rPr>
              <w:t>80%</w:t>
            </w:r>
          </w:p>
        </w:tc>
      </w:tr>
      <w:tr>
        <w:tc>
          <w:tcPr>
            <w:tcW w:type="dxa" w:w="4968"/>
            <w:shd w:fill="F8FAFC"/>
            <w:tcMar>
              <w:top w:w="80" w:type="dxa"/>
              <w:bottom w:w="80" w:type="dxa"/>
              <w:left w:w="150" w:type="dxa"/>
              <w:right w:w="150" w:type="dxa"/>
            </w:tcMar>
          </w:tcPr>
          <w:p>
            <w:r>
              <w:rPr>
                <w:rFonts w:ascii="Microsoft JhengHei" w:hAnsi="Microsoft JhengHei"/>
              </w:rPr>
              <w:t>外向性 (Extraversion)</w:t>
            </w:r>
          </w:p>
        </w:tc>
        <w:tc>
          <w:tcPr>
            <w:tcW w:type="dxa" w:w="4968"/>
            <w:shd w:fill="F8FAFC"/>
            <w:tcMar>
              <w:top w:w="80" w:type="dxa"/>
              <w:bottom w:w="80" w:type="dxa"/>
              <w:left w:w="150" w:type="dxa"/>
              <w:right w:w="150" w:type="dxa"/>
            </w:tcMar>
          </w:tcPr>
          <w:p>
            <w:r>
              <w:rPr>
                <w:rFonts w:ascii="Microsoft JhengHei" w:hAnsi="Microsoft JhengHei"/>
              </w:rPr>
              <w:t>45%</w:t>
            </w:r>
          </w:p>
        </w:tc>
      </w:tr>
      <w:tr>
        <w:tc>
          <w:tcPr>
            <w:tcW w:type="dxa" w:w="4968"/>
            <w:tcMar>
              <w:top w:w="80" w:type="dxa"/>
              <w:bottom w:w="80" w:type="dxa"/>
              <w:left w:w="150" w:type="dxa"/>
              <w:right w:w="150" w:type="dxa"/>
            </w:tcMar>
          </w:tcPr>
          <w:p>
            <w:r>
              <w:rPr>
                <w:rFonts w:ascii="Microsoft JhengHei" w:hAnsi="Microsoft JhengHei"/>
              </w:rPr>
              <w:t>宜人性 (Agreeableness)</w:t>
            </w:r>
          </w:p>
        </w:tc>
        <w:tc>
          <w:tcPr>
            <w:tcW w:type="dxa" w:w="4968"/>
            <w:tcMar>
              <w:top w:w="80" w:type="dxa"/>
              <w:bottom w:w="80" w:type="dxa"/>
              <w:left w:w="150" w:type="dxa"/>
              <w:right w:w="150" w:type="dxa"/>
            </w:tcMar>
          </w:tcPr>
          <w:p>
            <w:r>
              <w:rPr>
                <w:rFonts w:ascii="Microsoft JhengHei" w:hAnsi="Microsoft JhengHei"/>
              </w:rPr>
              <w:t>65%</w:t>
            </w:r>
          </w:p>
        </w:tc>
      </w:tr>
      <w:tr>
        <w:tc>
          <w:tcPr>
            <w:tcW w:type="dxa" w:w="4968"/>
            <w:shd w:fill="F8FAFC"/>
            <w:tcMar>
              <w:top w:w="80" w:type="dxa"/>
              <w:bottom w:w="80" w:type="dxa"/>
              <w:left w:w="150" w:type="dxa"/>
              <w:right w:w="150" w:type="dxa"/>
            </w:tcMar>
          </w:tcPr>
          <w:p>
            <w:r>
              <w:rPr>
                <w:rFonts w:ascii="Microsoft JhengHei" w:hAnsi="Microsoft JhengHei"/>
              </w:rPr>
              <w:t>情緒穩定度 (Emotional Stability)</w:t>
            </w:r>
          </w:p>
        </w:tc>
        <w:tc>
          <w:tcPr>
            <w:tcW w:type="dxa" w:w="4968"/>
            <w:shd w:fill="F8FAFC"/>
            <w:tcMar>
              <w:top w:w="80" w:type="dxa"/>
              <w:bottom w:w="80" w:type="dxa"/>
              <w:left w:w="150" w:type="dxa"/>
              <w:right w:w="150" w:type="dxa"/>
            </w:tcMar>
          </w:tcPr>
          <w:p>
            <w:r>
              <w:rPr>
                <w:rFonts w:ascii="Microsoft JhengHei" w:hAnsi="Microsoft JhengHei"/>
              </w:rPr>
              <w:t>85%</w:t>
            </w:r>
          </w:p>
        </w:tc>
      </w:tr>
    </w:tbl>
    <w:p>
      <w:pPr>
        <w:spacing w:after="240"/>
      </w:pPr>
    </w:p>
    <w:p>
      <w:pPr>
        <w:pStyle w:val="Heading2"/>
      </w:pPr>
      <w:r>
        <w:rPr>
          <w:rFonts w:ascii="Microsoft JhengHei" w:hAnsi="Microsoft JhengHei"/>
          <w:color w:val="4F46E5"/>
        </w:rPr>
        <w:t>三、 職能適性契合度分析</w:t>
      </w:r>
    </w:p>
    <w:p>
      <w:r>
        <w:rPr>
          <w:b/>
        </w:rPr>
        <w:t>【推薦契合職務 (High Fit)】</w:t>
      </w:r>
    </w:p>
    <w:p>
      <w:r>
        <w:rPr>
          <w:b/>
          <w:color w:val="10B981"/>
        </w:rPr>
        <w:t>✓ 人力資源系統分析師 (90% 契合)：</w:t>
      </w:r>
      <w:r>
        <w:t>對人才測評與面試結構化分析有明確邏輯，適合結合 HR 與科技分析工具。</w:t>
      </w:r>
    </w:p>
    <w:p>
      <w:r>
        <w:rPr>
          <w:b/>
          <w:color w:val="10B981"/>
        </w:rPr>
        <w:t>✓ 專案經理 (PM) (82% 契合)：</w:t>
      </w:r>
      <w:r>
        <w:t>具備流程導向思維與系統化評估能力，能穩健推進專案執行。</w:t>
      </w:r>
    </w:p>
    <w:p>
      <w:r>
        <w:rPr>
          <w:b/>
          <w:color w:val="10B981"/>
        </w:rPr>
        <w:t>✓ 數據與組織分析專員 (85% 契合)：</w:t>
      </w:r>
      <w:r>
        <w:t>偏好結構化與客觀指標評估，能理性進行人才數據歸納。</w:t>
      </w:r>
    </w:p>
    <w:p>
      <w:r>
        <w:rPr>
          <w:b/>
        </w:rPr>
        <w:t>【較不適合職務 (Low Fit)】</w:t>
      </w:r>
    </w:p>
    <w:p>
      <w:r>
        <w:rPr>
          <w:b/>
          <w:color w:val="F43F5E"/>
        </w:rPr>
        <w:t>✕ 高壓第一線門市銷售 (38% 契合)：</w:t>
      </w:r>
      <w:r>
        <w:t>語調與性格較為沉穩內斂，缺乏高張力的外向感染力與即興銷售熱情。</w:t>
      </w:r>
    </w:p>
    <w:p>
      <w:pPr>
        <w:pStyle w:val="Heading2"/>
      </w:pPr>
      <w:r>
        <w:rPr>
          <w:rFonts w:ascii="Microsoft JhengHei" w:hAnsi="Microsoft JhengHei"/>
          <w:color w:val="4F46E5"/>
        </w:rPr>
        <w:t>四、 主管帶領建議與二面追問題目</w:t>
      </w:r>
    </w:p>
    <w:p>
      <w:r>
        <w:rPr>
          <w:b/>
        </w:rPr>
        <w:t>【團隊融入與帶領建議】</w:t>
        <w:br/>
      </w:r>
      <w:r>
        <w:t>建議給予明確的專案目標與結構化授權，鼓勵其發揮邏輯分析與系統建構長才；溝通時提供客觀數據與事實依據更能取得共識。</w:t>
      </w:r>
    </w:p>
    <w:p>
      <w:r>
        <w:rPr>
          <w:b/>
        </w:rPr>
        <w:t>【建議二面追問題目】</w:t>
      </w:r>
    </w:p>
    <w:p>
      <w:r>
        <w:t>• 該系統目前在分析求職者特質時，主要採用哪些指標或模型？</w:t>
      </w:r>
    </w:p>
    <w:p>
      <w:r>
        <w:t>• 您預計如何將此系統的評估結果應用於實際的組織調度或管理決策中？</w:t>
      </w:r>
    </w:p>
    <w:p>
      <w:pPr>
        <w:pStyle w:val="Heading2"/>
      </w:pPr>
      <w:r>
        <w:rPr>
          <w:rFonts w:ascii="Microsoft JhengHei" w:hAnsi="Microsoft JhengHei"/>
          <w:color w:val="4F46E5"/>
        </w:rPr>
        <w:t>五、 附錄：面試語音完整逐字稿</w:t>
      </w:r>
    </w:p>
    <w:p>
      <w:r>
        <w:rPr>
          <w:rFonts w:ascii="Microsoft JhengHei" w:hAnsi="Microsoft JhengHei"/>
          <w:color w:val="475569"/>
          <w:sz w:val="19"/>
        </w:rPr>
        <w:t>我這個系統主要是在面試人員，來了解人員對話的內容以及分析他是哪一種特質，以及他適合哪一個工作項目，以及未來他對於這個工作是否勝任以及態度。</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