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4D"/>
          <w:sz w:val="32"/>
        </w:rPr>
        <w:t>Validating Multimodal Models as Raters of Facial Aesthetics</w:t>
      </w:r>
    </w:p>
    <w:p>
      <w:pPr>
        <w:jc w:val="center"/>
      </w:pPr>
      <w:r>
        <w:rPr>
          <w:i/>
          <w:sz w:val="24"/>
        </w:rPr>
        <w:t>Reliability, validity, and demographic fairness of prompted attractiveness ratings</w:t>
      </w:r>
    </w:p>
    <w:p>
      <w:pPr>
        <w:jc w:val="center"/>
      </w:pPr>
      <w:r>
        <w:rPr>
          <w:color w:val="606060"/>
          <w:sz w:val="19"/>
        </w:rPr>
        <w:t>Preliminary results · working draft · 25 September 2026</w:t>
      </w:r>
    </w:p>
    <w:p>
      <w:pPr>
        <w:pStyle w:val="Heading1"/>
      </w:pPr>
      <w:r>
        <w:rPr>
          <w:color w:val="1F364D"/>
        </w:rPr>
        <w:t>1. The question</w:t>
      </w:r>
    </w:p>
    <w:p>
      <w:r>
        <w:rPr>
          <w:b w:val="0"/>
          <w:i w:val="0"/>
        </w:rPr>
        <w:t>Multimodal large language models are increasingly used to score facial photographs on Likert scales by prompting alone — no model training, no calibration. Before such a score can inform clinical judgement, three things must be true: it must repeat, it must respond to the scale as defined, and it must agree with human judgement. A fourth follows immediately in a surgical context — it must do so equally for every patient group.</w:t>
      </w:r>
    </w:p>
    <w:p>
      <w:r>
        <w:rPr>
          <w:b/>
          <w:i w:val="0"/>
        </w:rPr>
        <w:t>We treat the rating as an instrument and validate it accordingly. The finding is not that these models fail, but that they differ enormously: one of the two tested is unusable, and the other performs at the level of human rater agreement.</w:t>
      </w:r>
    </w:p>
    <w:p>
      <w:pPr>
        <w:pStyle w:val="Heading2"/>
      </w:pPr>
      <w:r>
        <w:rPr>
          <w:color w:val="1F364D"/>
        </w:rPr>
        <w:t>2. Relationship to existing work in aesthetic surgery</w:t>
      </w:r>
    </w:p>
    <w:p>
      <w:r>
        <w:rPr>
          <w:b w:val="0"/>
          <w:i w:val="0"/>
        </w:rPr>
        <w:t>AI-derived aesthetic scoring has already entered the surgical outcomes literature. Rames et al. applied trained ensemble models for perceived age and attractiveness to 676 patients from the ASPS Before and After gallery (Plast Reconstr Surg, doi:10.1097/PRS.0000000000013412). Varghaei et al. built a landmark-geometric pipeline over 7,160 photographs from 1,259 patients (arXiv:2508.13363), reporting nasal ratios — including alar width to intercanthal distance — as outcome measures.</w:t>
      </w:r>
    </w:p>
    <w:p>
      <w:r>
        <w:rPr>
          <w:b w:val="0"/>
          <w:i w:val="0"/>
        </w:rPr>
        <w:t>Those are purpose-built instruments: a supervised regressor is calibrated to its training distribution by construction, and a geometric pipeline measures what it is told to measure. We examine general-purpose models prompted to produce ratings directly — the tool a clinician reaches for without training anything. Our scope is complementary, and nothing here bears on the validity of purpose-built models.</w:t>
      </w:r>
    </w:p>
    <w:p>
      <w:r>
        <w:rPr>
          <w:b w:val="0"/>
          <w:i w:val="0"/>
        </w:rPr>
        <w:t>Notably, neither prior work could assess demographic fairness: Varghaei et al. state explicitly that their dataset carries no subject-level demographic annotations. The Chicago Face Database does, which is what makes the present analysis possible.</w:t>
      </w:r>
    </w:p>
    <w:p>
      <w:pPr>
        <w:pStyle w:val="Heading1"/>
      </w:pPr>
      <w:r>
        <w:rPr>
          <w:color w:val="1F364D"/>
        </w:rPr>
        <w:t>3. Preliminary findings</w:t>
      </w:r>
    </w:p>
    <w:p>
      <w:r>
        <w:rPr>
          <w:b w:val="0"/>
          <w:i/>
        </w:rPr>
        <w:t>Two models on the Chicago Face Database: one open-weight (Qwen2.5-VL-7B) and one commercial (Claude Opus 5). Fairness figures are from 276 of 826 faces; the remainder are pending.</w:t>
      </w:r>
    </w:p>
    <w:p>
      <w:pPr>
        <w:pStyle w:val="Heading2"/>
      </w:pPr>
      <w:r>
        <w:rPr>
          <w:color w:val="1F364D"/>
        </w:rPr>
        <w:t>3.1 The two models are not comparable instruments</w:t>
      </w:r>
    </w:p>
    <w:tbl>
      <w:tblPr>
        <w:tblStyle w:val="TableGrid"/>
        <w:tblW w:type="auto" w:w="0"/>
        <w:jc w:val="center"/>
        <w:tblLook w:firstColumn="1" w:firstRow="1" w:lastColumn="0" w:lastRow="0" w:noHBand="0" w:noVBand="1" w:val="04A0"/>
      </w:tblPr>
      <w:tblGrid>
        <w:gridCol w:w="3024"/>
        <w:gridCol w:w="3024"/>
        <w:gridCol w:w="3024"/>
      </w:tblGrid>
      <w:tr>
        <w:tc>
          <w:tcPr>
            <w:tcW w:type="dxa" w:w="2232"/>
          </w:tcPr>
          <w:p>
            <w:r/>
            <w:r>
              <w:rPr>
                <w:b/>
                <w:sz w:val="19"/>
              </w:rPr>
            </w:r>
          </w:p>
        </w:tc>
        <w:tc>
          <w:tcPr>
            <w:tcW w:type="dxa" w:w="3456"/>
          </w:tcPr>
          <w:p>
            <w:r/>
            <w:r>
              <w:rPr>
                <w:b/>
                <w:sz w:val="19"/>
              </w:rPr>
              <w:t>Qwen2.5-VL-7B</w:t>
            </w:r>
          </w:p>
        </w:tc>
        <w:tc>
          <w:tcPr>
            <w:tcW w:type="dxa" w:w="3384"/>
          </w:tcPr>
          <w:p>
            <w:r/>
            <w:r>
              <w:rPr>
                <w:b/>
                <w:sz w:val="19"/>
              </w:rPr>
              <w:t>Claude Opus 5</w:t>
            </w:r>
          </w:p>
        </w:tc>
      </w:tr>
      <w:tr>
        <w:tc>
          <w:tcPr>
            <w:tcW w:type="dxa" w:w="2232"/>
          </w:tcPr>
          <w:p>
            <w:r/>
            <w:r>
              <w:rPr>
                <w:sz w:val="19"/>
              </w:rPr>
              <w:t>Repeats on re-query?</w:t>
            </w:r>
          </w:p>
        </w:tc>
        <w:tc>
          <w:tcPr>
            <w:tcW w:type="dxa" w:w="3456"/>
          </w:tcPr>
          <w:p>
            <w:r/>
            <w:r>
              <w:rPr>
                <w:sz w:val="19"/>
              </w:rPr>
              <w:t>No — SE ≈ 0.44 per face, larger than the true spread between faces (SD 0.27)</w:t>
            </w:r>
          </w:p>
        </w:tc>
        <w:tc>
          <w:tcPr>
            <w:tcW w:type="dxa" w:w="3384"/>
          </w:tcPr>
          <w:p>
            <w:r/>
            <w:r>
              <w:rPr>
                <w:sz w:val="19"/>
              </w:rPr>
              <w:t>Yes — SD 0.02, effectively deterministic</w:t>
            </w:r>
          </w:p>
        </w:tc>
      </w:tr>
      <w:tr>
        <w:tc>
          <w:tcPr>
            <w:tcW w:type="dxa" w:w="2232"/>
          </w:tcPr>
          <w:p>
            <w:r/>
            <w:r>
              <w:rPr>
                <w:sz w:val="19"/>
              </w:rPr>
              <w:t>Responds to the scale's meaning?</w:t>
            </w:r>
          </w:p>
        </w:tc>
        <w:tc>
          <w:tcPr>
            <w:tcW w:type="dxa" w:w="3456"/>
          </w:tcPr>
          <w:p>
            <w:r/>
            <w:r>
              <w:rPr>
                <w:sz w:val="19"/>
              </w:rPr>
              <w:t>No — flipping which end means “most attractive” leaves ratings almost unchanged (ρ = +0.98)</w:t>
            </w:r>
          </w:p>
        </w:tc>
        <w:tc>
          <w:tcPr>
            <w:tcW w:type="dxa" w:w="3384"/>
          </w:tcPr>
          <w:p>
            <w:r/>
            <w:r>
              <w:rPr>
                <w:sz w:val="19"/>
              </w:rPr>
              <w:t>Yes</w:t>
            </w:r>
          </w:p>
        </w:tc>
      </w:tr>
      <w:tr>
        <w:tc>
          <w:tcPr>
            <w:tcW w:type="dxa" w:w="2232"/>
          </w:tcPr>
          <w:p>
            <w:r/>
            <w:r>
              <w:rPr>
                <w:sz w:val="19"/>
              </w:rPr>
              <w:t>Sensitive to irrelevant wording?</w:t>
            </w:r>
          </w:p>
        </w:tc>
        <w:tc>
          <w:tcPr>
            <w:tcW w:type="dxa" w:w="3456"/>
          </w:tcPr>
          <w:p>
            <w:r/>
            <w:r>
              <w:rPr>
                <w:sz w:val="19"/>
              </w:rPr>
              <w:t>Severely — reversing digit order moves the mean 2.2 points and decorrelates ratings from the photograph entirely (ρ = 0.00)</w:t>
            </w:r>
          </w:p>
        </w:tc>
        <w:tc>
          <w:tcPr>
            <w:tcW w:type="dxa" w:w="3384"/>
          </w:tcPr>
          <w:p>
            <w:r/>
            <w:r>
              <w:rPr>
                <w:sz w:val="19"/>
              </w:rPr>
              <w:t>No</w:t>
            </w:r>
          </w:p>
        </w:tc>
      </w:tr>
      <w:tr>
        <w:tc>
          <w:tcPr>
            <w:tcW w:type="dxa" w:w="2232"/>
          </w:tcPr>
          <w:p>
            <w:r/>
            <w:r>
              <w:rPr>
                <w:sz w:val="19"/>
              </w:rPr>
              <w:t>Agrees with human raters?</w:t>
            </w:r>
          </w:p>
        </w:tc>
        <w:tc>
          <w:tcPr>
            <w:tcW w:type="dxa" w:w="3456"/>
          </w:tcPr>
          <w:p>
            <w:r/>
            <w:r>
              <w:rPr>
                <w:sz w:val="19"/>
              </w:rPr>
              <w:t>Not assessed — the instrument fails first</w:t>
            </w:r>
          </w:p>
        </w:tc>
        <w:tc>
          <w:tcPr>
            <w:tcW w:type="dxa" w:w="3384"/>
          </w:tcPr>
          <w:p>
            <w:r/>
            <w:r>
              <w:rPr>
                <w:sz w:val="19"/>
              </w:rPr>
              <w:t>ρ = +0.57 to +0.63 within demographic cells</w:t>
            </w:r>
          </w:p>
        </w:tc>
      </w:tr>
    </w:tbl>
    <w:p/>
    <w:p>
      <w:r>
        <w:rPr>
          <w:b/>
          <w:i w:val="0"/>
        </w:rPr>
        <w:t>An investigator using the open-weight model would obtain confident numbers driven by the wording of the question rather than by the photograph, with no indication from the output that anything was wrong. This is why the validation step is not optional.</w:t>
      </w:r>
    </w:p>
    <w:p>
      <w:pPr>
        <w:pStyle w:val="Heading2"/>
      </w:pPr>
      <w:r>
        <w:rPr>
          <w:color w:val="1F364D"/>
        </w:rPr>
        <w:t>3.2 The commercial model performs at human level</w:t>
      </w:r>
    </w:p>
    <w:p>
      <w:r>
        <w:rPr>
          <w:b w:val="0"/>
          <w:i w:val="0"/>
        </w:rPr>
        <w:t>Agreement with CFD's human attractiveness norms, computed within race × gender cells because CFD's principal item asks raters to judge each face relative to others of the same race and gender:</w:t>
      </w:r>
    </w:p>
    <w:tbl>
      <w:tblPr>
        <w:tblStyle w:val="TableGrid"/>
        <w:tblW w:type="auto" w:w="0"/>
        <w:jc w:val="center"/>
        <w:tblLook w:firstColumn="1" w:firstRow="1" w:lastColumn="0" w:lastRow="0" w:noHBand="0" w:noVBand="1" w:val="04A0"/>
      </w:tblPr>
      <w:tblGrid>
        <w:gridCol w:w="3024"/>
        <w:gridCol w:w="3024"/>
        <w:gridCol w:w="3024"/>
      </w:tblGrid>
      <w:tr>
        <w:tc>
          <w:tcPr>
            <w:tcW w:type="dxa" w:w="2160"/>
          </w:tcPr>
          <w:p>
            <w:r/>
            <w:r>
              <w:rPr>
                <w:b/>
                <w:sz w:val="19"/>
              </w:rPr>
              <w:t>Group</w:t>
            </w:r>
          </w:p>
        </w:tc>
        <w:tc>
          <w:tcPr>
            <w:tcW w:type="dxa" w:w="1008"/>
          </w:tcPr>
          <w:p>
            <w:r/>
            <w:r>
              <w:rPr>
                <w:b/>
                <w:sz w:val="19"/>
              </w:rPr>
              <w:t>n</w:t>
            </w:r>
          </w:p>
        </w:tc>
        <w:tc>
          <w:tcPr>
            <w:tcW w:type="dxa" w:w="5904"/>
          </w:tcPr>
          <w:p>
            <w:r/>
            <w:r>
              <w:rPr>
                <w:b/>
                <w:sz w:val="19"/>
              </w:rPr>
              <w:t>Agreement with human norms (95% CI)</w:t>
            </w:r>
          </w:p>
        </w:tc>
      </w:tr>
      <w:tr>
        <w:tc>
          <w:tcPr>
            <w:tcW w:type="dxa" w:w="2160"/>
          </w:tcPr>
          <w:p>
            <w:r/>
            <w:r>
              <w:rPr>
                <w:sz w:val="19"/>
              </w:rPr>
              <w:t>Black</w:t>
            </w:r>
          </w:p>
        </w:tc>
        <w:tc>
          <w:tcPr>
            <w:tcW w:type="dxa" w:w="1008"/>
          </w:tcPr>
          <w:p>
            <w:r/>
            <w:r>
              <w:rPr>
                <w:sz w:val="19"/>
              </w:rPr>
              <w:t>55</w:t>
            </w:r>
          </w:p>
        </w:tc>
        <w:tc>
          <w:tcPr>
            <w:tcW w:type="dxa" w:w="5904"/>
          </w:tcPr>
          <w:p>
            <w:r/>
            <w:r>
              <w:rPr>
                <w:sz w:val="19"/>
              </w:rPr>
              <w:t>+0.63  [+0.44, +0.77]</w:t>
            </w:r>
          </w:p>
        </w:tc>
      </w:tr>
      <w:tr>
        <w:tc>
          <w:tcPr>
            <w:tcW w:type="dxa" w:w="2160"/>
          </w:tcPr>
          <w:p>
            <w:r/>
            <w:r>
              <w:rPr>
                <w:sz w:val="19"/>
              </w:rPr>
              <w:t>White</w:t>
            </w:r>
          </w:p>
        </w:tc>
        <w:tc>
          <w:tcPr>
            <w:tcW w:type="dxa" w:w="1008"/>
          </w:tcPr>
          <w:p>
            <w:r/>
            <w:r>
              <w:rPr>
                <w:sz w:val="19"/>
              </w:rPr>
              <w:t>48</w:t>
            </w:r>
          </w:p>
        </w:tc>
        <w:tc>
          <w:tcPr>
            <w:tcW w:type="dxa" w:w="5904"/>
          </w:tcPr>
          <w:p>
            <w:r/>
            <w:r>
              <w:rPr>
                <w:sz w:val="19"/>
              </w:rPr>
              <w:t>+0.62  [+0.37, +0.79]</w:t>
            </w:r>
          </w:p>
        </w:tc>
      </w:tr>
      <w:tr>
        <w:tc>
          <w:tcPr>
            <w:tcW w:type="dxa" w:w="2160"/>
          </w:tcPr>
          <w:p>
            <w:r/>
            <w:r>
              <w:rPr>
                <w:sz w:val="19"/>
              </w:rPr>
              <w:t>Multiracial</w:t>
            </w:r>
          </w:p>
        </w:tc>
        <w:tc>
          <w:tcPr>
            <w:tcW w:type="dxa" w:w="1008"/>
          </w:tcPr>
          <w:p>
            <w:r/>
            <w:r>
              <w:rPr>
                <w:sz w:val="19"/>
              </w:rPr>
              <w:t>19</w:t>
            </w:r>
          </w:p>
        </w:tc>
        <w:tc>
          <w:tcPr>
            <w:tcW w:type="dxa" w:w="5904"/>
          </w:tcPr>
          <w:p>
            <w:r/>
            <w:r>
              <w:rPr>
                <w:sz w:val="19"/>
              </w:rPr>
              <w:t>+0.62  [+0.19, +0.88]</w:t>
            </w:r>
          </w:p>
        </w:tc>
      </w:tr>
      <w:tr>
        <w:tc>
          <w:tcPr>
            <w:tcW w:type="dxa" w:w="2160"/>
          </w:tcPr>
          <w:p>
            <w:r/>
            <w:r>
              <w:rPr>
                <w:sz w:val="19"/>
              </w:rPr>
              <w:t>Asian</w:t>
            </w:r>
          </w:p>
        </w:tc>
        <w:tc>
          <w:tcPr>
            <w:tcW w:type="dxa" w:w="1008"/>
          </w:tcPr>
          <w:p>
            <w:r/>
            <w:r>
              <w:rPr>
                <w:sz w:val="19"/>
              </w:rPr>
              <w:t>97</w:t>
            </w:r>
          </w:p>
        </w:tc>
        <w:tc>
          <w:tcPr>
            <w:tcW w:type="dxa" w:w="5904"/>
          </w:tcPr>
          <w:p>
            <w:r/>
            <w:r>
              <w:rPr>
                <w:sz w:val="19"/>
              </w:rPr>
              <w:t>+0.60  [+0.46, +0.71]</w:t>
            </w:r>
          </w:p>
        </w:tc>
      </w:tr>
      <w:tr>
        <w:tc>
          <w:tcPr>
            <w:tcW w:type="dxa" w:w="2160"/>
          </w:tcPr>
          <w:p>
            <w:r/>
            <w:r>
              <w:rPr>
                <w:sz w:val="19"/>
              </w:rPr>
              <w:t>Indian</w:t>
            </w:r>
          </w:p>
        </w:tc>
        <w:tc>
          <w:tcPr>
            <w:tcW w:type="dxa" w:w="1008"/>
          </w:tcPr>
          <w:p>
            <w:r/>
            <w:r>
              <w:rPr>
                <w:sz w:val="19"/>
              </w:rPr>
              <w:t>35</w:t>
            </w:r>
          </w:p>
        </w:tc>
        <w:tc>
          <w:tcPr>
            <w:tcW w:type="dxa" w:w="5904"/>
          </w:tcPr>
          <w:p>
            <w:r/>
            <w:r>
              <w:rPr>
                <w:sz w:val="19"/>
              </w:rPr>
              <w:t>+0.44  [+0.12, +0.68]</w:t>
            </w:r>
          </w:p>
        </w:tc>
      </w:tr>
      <w:tr>
        <w:tc>
          <w:tcPr>
            <w:tcW w:type="dxa" w:w="2160"/>
          </w:tcPr>
          <w:p>
            <w:r/>
            <w:r>
              <w:rPr>
                <w:sz w:val="19"/>
              </w:rPr>
              <w:t>Latino</w:t>
            </w:r>
          </w:p>
        </w:tc>
        <w:tc>
          <w:tcPr>
            <w:tcW w:type="dxa" w:w="1008"/>
          </w:tcPr>
          <w:p>
            <w:r/>
            <w:r>
              <w:rPr>
                <w:sz w:val="19"/>
              </w:rPr>
              <w:t>22</w:t>
            </w:r>
          </w:p>
        </w:tc>
        <w:tc>
          <w:tcPr>
            <w:tcW w:type="dxa" w:w="5904"/>
          </w:tcPr>
          <w:p>
            <w:r/>
            <w:r>
              <w:rPr>
                <w:sz w:val="19"/>
              </w:rPr>
              <w:t>+0.28  [−0.19, +0.68]</w:t>
            </w:r>
          </w:p>
        </w:tc>
      </w:tr>
    </w:tbl>
    <w:p/>
    <w:p>
      <w:r>
        <w:rPr>
          <w:b w:val="0"/>
          <w:i w:val="0"/>
        </w:rPr>
        <w:t>For reference, two human rater pools (US and Indian) agree with each other at ρ = 0.585 on the same construct. The model's agreement with human raters is of the same order as human agreement with one another.</w:t>
      </w:r>
    </w:p>
    <w:p>
      <w:pPr>
        <w:pStyle w:val="Heading2"/>
      </w:pPr>
      <w:r>
        <w:rPr>
          <w:color w:val="1F364D"/>
        </w:rPr>
        <w:t>3.3 No demographic bias detected — with the power caveat</w:t>
      </w:r>
    </w:p>
    <w:p>
      <w:pPr>
        <w:pStyle w:val="ListBullet"/>
      </w:pPr>
      <w:r>
        <w:t>Differential validity: all six confidence intervals overlap. There is no evidence the model tracks human judgement better for one race group than another. The two lowest estimates are also the two smallest groups (n = 22 and 19), so this is a null with limited power rather than a demonstration of fairness.</w:t>
      </w:r>
    </w:p>
    <w:p>
      <w:pPr>
        <w:pStyle w:val="ListBullet"/>
      </w:pPr>
      <w:r>
        <w:t>Colorism: with race and gender held fixed, lighter skin is associated with higher ratings at ρ = +0.10 for the model and ρ = +0.12 for human raters on the identical test. The model does not amplify the human effect.</w:t>
      </w:r>
    </w:p>
    <w:p>
      <w:pPr>
        <w:pStyle w:val="ListBullet"/>
      </w:pPr>
      <w:r>
        <w:t>Scale use: rating diversity ranges 0.38–0.59 across groups — no group is collapsed to a single value, so all remain internally rankable.</w:t>
      </w:r>
    </w:p>
    <w:p>
      <w:pPr>
        <w:pStyle w:val="ListBullet"/>
      </w:pPr>
      <w:r>
        <w:t>Absolute mean ratings differ across groups by up to 0.6 scale points, but CFD supplies no absolute human baseline for the main set. That difference cannot be attributed to the model rather than to the faces or the photographs, and is not reported as bias.</w:t>
      </w:r>
    </w:p>
    <w:p>
      <w:pPr>
        <w:pStyle w:val="Heading1"/>
      </w:pPr>
      <w:r>
        <w:rPr>
          <w:color w:val="1F364D"/>
        </w:rPr>
        <w:t>4. Methods in brief</w:t>
      </w:r>
    </w:p>
    <w:p>
      <w:pPr>
        <w:pStyle w:val="ListBullet"/>
      </w:pPr>
      <w:r>
        <w:t>Chicago Face Database, neutral expression, 831 photographs. Standardized lighting, camera and framing, so group differences cannot be confounded with how groups were photographed. Includes self-identified demographics, human norming data, and 60 objective facial measurements used as ground truth.</w:t>
      </w:r>
    </w:p>
    <w:p>
      <w:pPr>
        <w:pStyle w:val="ListBullet"/>
      </w:pPr>
      <w:r>
        <w:t>Ratings read exactly from token probabilities where model weights allow, and estimated from repeated sampling where they do not. The two readouts are compared head-to-head on a model permitting both (ρ = 0.88), which is what licenses the sampled method on commercial APIs.</w:t>
      </w:r>
    </w:p>
    <w:p>
      <w:pPr>
        <w:pStyle w:val="ListBullet"/>
      </w:pPr>
      <w:r>
        <w:t>Four tests, each isolating one way the number could be produced by something other than the photograph: scale semantics, digit anchoring, paraphrase robustness, and refusal rate including refusal by demographic group.</w:t>
      </w:r>
    </w:p>
    <w:p>
      <w:pPr>
        <w:pStyle w:val="ListBullet"/>
      </w:pPr>
      <w:r>
        <w:t>Precision is decomposed into true between-face variation and sampling error, and correlations are reported both raw and corrected for attenuation.</w:t>
      </w:r>
    </w:p>
    <w:p>
      <w:pPr>
        <w:pStyle w:val="ListBullet"/>
      </w:pPr>
      <w:r>
        <w:t>Where absolute rating fails, counterbalanced forced-choice comparison is evaluated as the alternative — the standard psychometric remedy for anchor-dependent scales, and structurally the same judgement the Global Aesthetic Improvement Scale asks for.</w:t>
      </w:r>
    </w:p>
    <w:p>
      <w:pPr>
        <w:pStyle w:val="Heading1"/>
      </w:pPr>
      <w:r>
        <w:rPr>
          <w:color w:val="1F364D"/>
        </w:rPr>
        <w:t>5. What remains</w:t>
      </w:r>
    </w:p>
    <w:p>
      <w:pPr>
        <w:pStyle w:val="ListBullet"/>
      </w:pPr>
      <w:r>
        <w:t>Completing the fairness run: 550 of 826 faces remain, roughly $4 of API credit.</w:t>
      </w:r>
    </w:p>
    <w:p>
      <w:pPr>
        <w:pStyle w:val="ListBullet"/>
      </w:pPr>
      <w:r>
        <w:t>Additional models, including a second commercial system, before any claim about multimodal models as a class.</w:t>
      </w:r>
    </w:p>
    <w:p>
      <w:pPr>
        <w:pStyle w:val="ListBullet"/>
      </w:pPr>
      <w:r>
        <w:t>A scale-format arm: verbally anchored and categorical scales of the kind validated clinical instruments use, to test whether those formats avoid the failures seen with bare numeric scales.</w:t>
      </w:r>
    </w:p>
    <w:p>
      <w:pPr>
        <w:pStyle w:val="ListBullet"/>
      </w:pPr>
      <w:r>
        <w:t>Replication on surgical photographs, which requires IRB and institutional data.</w:t>
      </w:r>
    </w:p>
    <w:p>
      <w:pPr>
        <w:pStyle w:val="Heading1"/>
      </w:pPr>
      <w:r>
        <w:rPr>
          <w:color w:val="1F364D"/>
        </w:rPr>
        <w:t>6. Positioning</w:t>
      </w:r>
    </w:p>
    <w:p>
      <w:r>
        <w:rPr>
          <w:b w:val="0"/>
          <w:i w:val="0"/>
        </w:rPr>
        <w:t>The contribution is a validation protocol, a demonstration that models differ enough for it to matter, and the first demographic fairness audit of a prompted multimodal model on standardized facial photographs. The message to clinicians is not that these tools cannot be used, but that the specific model and prompt must be validated before they are.</w:t>
      </w:r>
    </w:p>
    <w:p>
      <w:r>
        <w:rPr>
          <w:b w:val="0"/>
          <w:i w:val="0"/>
        </w:rPr>
        <w:t>Candidate venues: Aesthetic Surgery Journal; Facial Plastic Surgery &amp; Aesthetic Medicine; Plastic and Reconstructive Surgery – Global Open. No patient data and no IRB requirement; all stimuli are from a public de-identified research database. Code and analysis are public at github.com/shiitavie/face.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