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64D"/>
          <w:sz w:val="34"/>
        </w:rPr>
        <w:t>Are Multimodal Model Aesthetic Ratings a Measurement?</w:t>
      </w:r>
    </w:p>
    <w:p>
      <w:pPr>
        <w:jc w:val="center"/>
      </w:pPr>
      <w:r>
        <w:rPr>
          <w:i/>
          <w:sz w:val="24"/>
        </w:rPr>
        <w:t>A reliability audit of Likert-scale facial ratings, with implications for aesthetic outcome assessment</w:t>
      </w:r>
    </w:p>
    <w:p>
      <w:pPr>
        <w:jc w:val="center"/>
      </w:pPr>
      <w:r>
        <w:rPr>
          <w:color w:val="606060"/>
          <w:sz w:val="19"/>
        </w:rPr>
        <w:t>Methods summary · working draft · 19 September 2026</w:t>
      </w:r>
    </w:p>
    <w:p>
      <w:pPr>
        <w:pStyle w:val="Heading1"/>
      </w:pPr>
      <w:r>
        <w:rPr>
          <w:color w:val="1F364D"/>
        </w:rPr>
        <w:t>1. The question</w:t>
      </w:r>
    </w:p>
    <w:p>
      <w:r>
        <w:rPr>
          <w:b w:val="0"/>
          <w:i w:val="0"/>
        </w:rPr>
        <w:t>Multimodal large language models are increasingly used to score facial photographs on Likert scales, including for aesthetic and surgical outcome assessment. Published reports already quote figures of the form “GPT-4V rated our post-operative results 8.2/10.”</w:t>
      </w:r>
    </w:p>
    <w:p>
      <w:r>
        <w:rPr>
          <w:b w:val="0"/>
          <w:i w:val="0"/>
        </w:rPr>
        <w:t>Such use assumes the number behaves as a measurement: that it reflects the image, that it responds to the scale as defined, and that repeating the query returns approximately the same value. To our knowledge none of these assumptions has been tested.</w:t>
      </w:r>
    </w:p>
    <w:p>
      <w:r>
        <w:rPr>
          <w:b/>
          <w:i w:val="0"/>
        </w:rPr>
        <w:t>We treat the rating as an instrument rather than as data, and subject it to the validation any instrument requires before clinical use.</w:t>
      </w:r>
    </w:p>
    <w:p>
      <w:pPr>
        <w:pStyle w:val="Heading1"/>
      </w:pPr>
      <w:r>
        <w:rPr>
          <w:color w:val="1F364D"/>
        </w:rPr>
        <w:t>2. Preliminary findings</w:t>
      </w:r>
    </w:p>
    <w:p>
      <w:r>
        <w:rPr>
          <w:b w:val="0"/>
          <w:i/>
        </w:rPr>
        <w:t>All figures below are from a single open-weight model (Qwen2.5-VL-7B-Instruct) on the Chicago Face Database. They are pilot results and are not yet sufficient to support a claim about multimodal models as a class.</w:t>
      </w:r>
    </w:p>
    <w:tbl>
      <w:tblPr>
        <w:tblStyle w:val="TableGrid"/>
        <w:tblW w:type="auto" w:w="0"/>
        <w:jc w:val="center"/>
        <w:tblLook w:firstColumn="1" w:firstRow="1" w:lastColumn="0" w:lastRow="0" w:noHBand="0" w:noVBand="1" w:val="04A0"/>
      </w:tblPr>
      <w:tblGrid>
        <w:gridCol w:w="3024"/>
        <w:gridCol w:w="3024"/>
        <w:gridCol w:w="3024"/>
      </w:tblGrid>
      <w:tr>
        <w:tc>
          <w:tcPr>
            <w:tcW w:type="dxa" w:w="1944"/>
          </w:tcPr>
          <w:p>
            <w:r/>
            <w:r>
              <w:rPr>
                <w:b/>
                <w:sz w:val="19"/>
              </w:rPr>
              <w:t>Test</w:t>
            </w:r>
          </w:p>
        </w:tc>
        <w:tc>
          <w:tcPr>
            <w:tcW w:type="dxa" w:w="1368"/>
          </w:tcPr>
          <w:p>
            <w:r/>
            <w:r>
              <w:rPr>
                <w:b/>
                <w:sz w:val="19"/>
              </w:rPr>
              <w:t>Result</w:t>
            </w:r>
          </w:p>
        </w:tc>
        <w:tc>
          <w:tcPr>
            <w:tcW w:type="dxa" w:w="5760"/>
          </w:tcPr>
          <w:p>
            <w:r/>
            <w:r>
              <w:rPr>
                <w:b/>
                <w:sz w:val="19"/>
              </w:rPr>
              <w:t>Interpretation</w:t>
            </w:r>
          </w:p>
        </w:tc>
      </w:tr>
      <w:tr>
        <w:tc>
          <w:tcPr>
            <w:tcW w:type="dxa" w:w="1944"/>
          </w:tcPr>
          <w:p>
            <w:r/>
            <w:r>
              <w:rPr>
                <w:sz w:val="19"/>
              </w:rPr>
              <w:t>Scale direction</w:t>
            </w:r>
          </w:p>
        </w:tc>
        <w:tc>
          <w:tcPr>
            <w:tcW w:type="dxa" w:w="1368"/>
          </w:tcPr>
          <w:p>
            <w:r/>
            <w:r>
              <w:rPr>
                <w:sz w:val="19"/>
              </w:rPr>
              <w:t>ρ = +0.982</w:t>
            </w:r>
          </w:p>
        </w:tc>
        <w:tc>
          <w:tcPr>
            <w:tcW w:type="dxa" w:w="5760"/>
          </w:tcPr>
          <w:p>
            <w:r/>
            <w:r>
              <w:rPr>
                <w:sz w:val="19"/>
              </w:rPr>
              <w:t>Flipping which end means “most attractive”, with digits and their order unchanged, leaves ratings almost identical. A model reading the scale would give a strongly negative correlation.</w:t>
            </w:r>
          </w:p>
        </w:tc>
      </w:tr>
      <w:tr>
        <w:tc>
          <w:tcPr>
            <w:tcW w:type="dxa" w:w="1944"/>
          </w:tcPr>
          <w:p>
            <w:r/>
            <w:r>
              <w:rPr>
                <w:sz w:val="19"/>
              </w:rPr>
              <w:t>Digit anchoring</w:t>
            </w:r>
          </w:p>
        </w:tc>
        <w:tc>
          <w:tcPr>
            <w:tcW w:type="dxa" w:w="1368"/>
          </w:tcPr>
          <w:p>
            <w:r/>
            <w:r>
              <w:rPr>
                <w:sz w:val="19"/>
              </w:rPr>
              <w:t>2.1 points</w:t>
            </w:r>
          </w:p>
        </w:tc>
        <w:tc>
          <w:tcPr>
            <w:tcW w:type="dxa" w:w="5760"/>
          </w:tcPr>
          <w:p>
            <w:r/>
            <w:r>
              <w:rPr>
                <w:sz w:val="19"/>
              </w:rPr>
              <w:t>Reversing the digit order shifts the mean by 2.1 points on a 7-point scale, with the photographs unchanged.</w:t>
            </w:r>
          </w:p>
        </w:tc>
      </w:tr>
      <w:tr>
        <w:tc>
          <w:tcPr>
            <w:tcW w:type="dxa" w:w="1944"/>
          </w:tcPr>
          <w:p>
            <w:r/>
            <w:r>
              <w:rPr>
                <w:sz w:val="19"/>
              </w:rPr>
              <w:t>Rating precision</w:t>
            </w:r>
          </w:p>
        </w:tc>
        <w:tc>
          <w:tcPr>
            <w:tcW w:type="dxa" w:w="1368"/>
          </w:tcPr>
          <w:p>
            <w:r/>
            <w:r>
              <w:rPr>
                <w:sz w:val="19"/>
              </w:rPr>
              <w:t>SE ≈ 0.44</w:t>
            </w:r>
          </w:p>
        </w:tc>
        <w:tc>
          <w:tcPr>
            <w:tcW w:type="dxa" w:w="5760"/>
          </w:tcPr>
          <w:p>
            <w:r/>
            <w:r>
              <w:rPr>
                <w:sz w:val="19"/>
              </w:rPr>
              <w:t>Standard error of a single image’s rating exceeds the true spread between faces (SD 0.27). A clinician querying once per photograph cannot see this.</w:t>
            </w:r>
          </w:p>
        </w:tc>
      </w:tr>
      <w:tr>
        <w:tc>
          <w:tcPr>
            <w:tcW w:type="dxa" w:w="1944"/>
          </w:tcPr>
          <w:p>
            <w:r/>
            <w:r>
              <w:rPr>
                <w:sz w:val="19"/>
              </w:rPr>
              <w:t>Presentation order</w:t>
            </w:r>
          </w:p>
        </w:tc>
        <w:tc>
          <w:tcPr>
            <w:tcW w:type="dxa" w:w="1368"/>
          </w:tcPr>
          <w:p>
            <w:r/>
            <w:r>
              <w:rPr>
                <w:sz w:val="19"/>
              </w:rPr>
              <w:t>≈ 99%</w:t>
            </w:r>
          </w:p>
        </w:tc>
        <w:tc>
          <w:tcPr>
            <w:tcW w:type="dxa" w:w="5760"/>
          </w:tcPr>
          <w:p>
            <w:r/>
            <w:r>
              <w:rPr>
                <w:sz w:val="19"/>
              </w:rPr>
              <w:t>In paired comparison the model chose whichever image appeared second in almost every trial.</w:t>
            </w:r>
          </w:p>
        </w:tc>
      </w:tr>
      <w:tr>
        <w:tc>
          <w:tcPr>
            <w:tcW w:type="dxa" w:w="1944"/>
          </w:tcPr>
          <w:p>
            <w:r/>
            <w:r>
              <w:rPr>
                <w:sz w:val="19"/>
              </w:rPr>
              <w:t>Counterbalancing</w:t>
            </w:r>
          </w:p>
        </w:tc>
        <w:tc>
          <w:tcPr>
            <w:tcW w:type="dxa" w:w="1368"/>
          </w:tcPr>
          <w:p>
            <w:r/>
            <w:r>
              <w:rPr>
                <w:sz w:val="19"/>
              </w:rPr>
              <w:t>53% → 81%</w:t>
            </w:r>
          </w:p>
        </w:tc>
        <w:tc>
          <w:tcPr>
            <w:tcW w:type="dxa" w:w="5760"/>
          </w:tcPr>
          <w:p>
            <w:r/>
            <w:r>
              <w:rPr>
                <w:sz w:val="19"/>
              </w:rPr>
              <w:t>Accuracy against human ratings from a single presentation order is chance; averaging both orders recovers it.</w:t>
            </w:r>
          </w:p>
        </w:tc>
      </w:tr>
    </w:tbl>
    <w:p/>
    <w:p>
      <w:r>
        <w:rPr>
          <w:b/>
          <w:i w:val="0"/>
        </w:rPr>
        <w:t>The second finding is the one most likely to affect practice, because it is invisible. A single API call returns a confident number with no indication that repeating it would return something different.</w:t>
      </w:r>
    </w:p>
    <w:p>
      <w:pPr>
        <w:pStyle w:val="Heading1"/>
      </w:pPr>
      <w:r>
        <w:rPr>
          <w:color w:val="1F364D"/>
        </w:rPr>
        <w:t>3. Methods</w:t>
      </w:r>
    </w:p>
    <w:p>
      <w:pPr>
        <w:pStyle w:val="Heading2"/>
      </w:pPr>
      <w:r>
        <w:rPr>
          <w:color w:val="1F364D"/>
        </w:rPr>
        <w:t>3.1 Stimuli</w:t>
      </w:r>
    </w:p>
    <w:p>
      <w:r>
        <w:rPr>
          <w:b w:val="0"/>
          <w:i w:val="0"/>
        </w:rPr>
        <w:t>Chicago Face Database v3.0, neutral expression only: 831 photographs, 826 joined to norming records. CFD was chosen for standardized capture — identical lighting, camera, framing and expression across subjects. In uncontrolled datasets, photographic variance correlates with subject demographics, so any group difference in model output is confounded with how the groups were photographed.</w:t>
      </w:r>
    </w:p>
    <w:p>
      <w:r>
        <w:rPr>
          <w:b w:val="0"/>
          <w:i w:val="0"/>
        </w:rPr>
        <w:t>CFD also supplies self-identified race, gender and age, human norming data, and 60 objective facial measurements. The measurements provide ground truth for the positive controls in §3.4.</w:t>
      </w:r>
    </w:p>
    <w:p>
      <w:r>
        <w:rPr>
          <w:b w:val="0"/>
          <w:i w:val="0"/>
        </w:rPr>
        <w:t>Note on human norms: CFD’s principal attractiveness variable asks raters to judge each face relative to others of the same race and gender, so it is normed within group by construction and cannot serve as a between-group baseline. The India extension instead uses an absolute rating and is normed twice, by US and by Indian rater pools, on the same 141 faces. Those pools agree at ρ = 0.585 — the ceiling against which model–human agreement should be judged, rather than 1.0.</w:t>
      </w:r>
    </w:p>
    <w:p>
      <w:pPr>
        <w:pStyle w:val="Heading2"/>
      </w:pPr>
      <w:r>
        <w:rPr>
          <w:color w:val="1F364D"/>
        </w:rPr>
        <w:t>3.2 Elicitation and readout</w:t>
      </w:r>
    </w:p>
    <w:p>
      <w:r>
        <w:rPr>
          <w:b w:val="0"/>
          <w:i w:val="0"/>
        </w:rPr>
        <w:t>Models are prompted “On a scale of 1 to 7, how attractive is this person?” A 1–7 scale was chosen because every point is a single token under the tokenizers tested (“10” is two, which makes the readout ill-defined), and because it matches the scale of CFD’s human norms.</w:t>
      </w:r>
    </w:p>
    <w:p>
      <w:r>
        <w:rPr>
          <w:b w:val="0"/>
          <w:i w:val="0"/>
        </w:rPr>
        <w:t>Where model weights are available, the rating is read exactly from the token probability distribution. Where they are not — as with some commercial APIs — the same quantity is estimated by sampling repeated responses and parsing them. Responses are classified as answer, hedged, refusal or unparseable; hedged responses contribute their rating, since counting them as refusals would both inflate the refusal rate and discard data. The two readouts are compared directly on models where both are possible, which is what licenses using the sampled one elsewhere.</w:t>
      </w:r>
    </w:p>
    <w:p>
      <w:pPr>
        <w:pStyle w:val="Heading2"/>
      </w:pPr>
      <w:r>
        <w:rPr>
          <w:color w:val="1F364D"/>
        </w:rPr>
        <w:t>3.3 Validation battery</w:t>
      </w:r>
    </w:p>
    <w:p>
      <w:r>
        <w:rPr>
          <w:b w:val="0"/>
          <w:i w:val="0"/>
        </w:rPr>
        <w:t>Four tests, each isolating one way the number could be produced by something other than the photograph:</w:t>
      </w:r>
    </w:p>
    <w:p>
      <w:pPr>
        <w:pStyle w:val="ListBullet"/>
      </w:pPr>
      <w:r>
        <w:t>Scale semantics — two prompts with identical digits in identical order, differing only in which end is declared most attractive. This is the primary test.</w:t>
      </w:r>
    </w:p>
    <w:p>
      <w:pPr>
        <w:pStyle w:val="ListBullet"/>
      </w:pPr>
      <w:r>
        <w:t>Digit anchoring — the digits are reordered with meaning otherwise unchanged, separating response to surface form from response to meaning.</w:t>
      </w:r>
    </w:p>
    <w:p>
      <w:pPr>
        <w:pStyle w:val="ListBullet"/>
      </w:pPr>
      <w:r>
        <w:t>Paraphrase robustness — rewording without altering the scale. Rank agreement matters; a shift in level alone is survivable.</w:t>
      </w:r>
    </w:p>
    <w:p>
      <w:pPr>
        <w:pStyle w:val="ListBullet"/>
      </w:pPr>
      <w:r>
        <w:t>Refusal — recorded per response rather than discarded, since differential refusal across demographic groups would itself be a finding.</w:t>
      </w:r>
    </w:p>
    <w:p>
      <w:pPr>
        <w:pStyle w:val="Heading2"/>
      </w:pPr>
      <w:r>
        <w:rPr>
          <w:color w:val="1F364D"/>
        </w:rPr>
        <w:t>3.4 Precision</w:t>
      </w:r>
    </w:p>
    <w:p>
      <w:r>
        <w:rPr>
          <w:b w:val="0"/>
          <w:i w:val="0"/>
        </w:rPr>
        <w:t>Each sampled rating is a noisy estimate, so observed variation between faces is the sum of true variation and sampling error. We decompose the two and report reliability, estimated both by that decomposition and by split-half correlation. Because low reliability drags every correlation toward zero, correlations are reported both raw and corrected — the corrected values as sensitivity analyses only, since at low reliability the correction is unstable.</w:t>
      </w:r>
    </w:p>
    <w:p>
      <w:r>
        <w:rPr>
          <w:b w:val="0"/>
          <w:i w:val="0"/>
        </w:rPr>
        <w:t>Sampling temperature proved load-bearing: reliability rose from 0.27 to 0.95 when temperature fell from 1.0 to 0.3. It is reported explicitly and held constant.</w:t>
      </w:r>
    </w:p>
    <w:p>
      <w:pPr>
        <w:pStyle w:val="Heading2"/>
      </w:pPr>
      <w:r>
        <w:rPr>
          <w:color w:val="1F364D"/>
        </w:rPr>
        <w:t>3.5 Pairwise comparison as an alternative</w:t>
      </w:r>
    </w:p>
    <w:p>
      <w:r>
        <w:rPr>
          <w:b w:val="0"/>
          <w:i w:val="0"/>
        </w:rPr>
        <w:t>Where absolute rating fails, forced-choice comparison is the standard psychometric remedy for anchor-dependent scales. Every pair is presented in both orders, because the model shows a near-deterministic preference for whichever image appears second. Averaging must be performed in log-odds rather than probability: the bias is additive on that scale, and averaging probabilities collapses the comparison toward a coin flip.</w:t>
      </w:r>
    </w:p>
    <w:p>
      <w:r>
        <w:rPr>
          <w:b w:val="0"/>
          <w:i w:val="0"/>
        </w:rPr>
        <w:t>Comparison ability is verified separately using questions with objective answers drawn from CFD’s measurements — for example which face has the wider nose — which distinguishes inability to compare images from absence of a stable preference. Comparisons are then converted to a latent scale by Bradley–Terry.</w:t>
      </w:r>
    </w:p>
    <w:p>
      <w:pPr>
        <w:pStyle w:val="Heading1"/>
      </w:pPr>
      <w:r>
        <w:rPr>
          <w:color w:val="1F364D"/>
        </w:rPr>
        <w:t>4. What remains before submission</w:t>
      </w:r>
    </w:p>
    <w:p>
      <w:pPr>
        <w:pStyle w:val="ListBullet"/>
      </w:pPr>
      <w:r>
        <w:t>Additional models. All figures above come from one 7B open-weight model. At minimum two further open-weight models, plus the commercial models clinicians actually use.</w:t>
      </w:r>
    </w:p>
    <w:p>
      <w:pPr>
        <w:pStyle w:val="ListBullet"/>
      </w:pPr>
      <w:r>
        <w:t>Model scale. Whether these failures persist in frontier-scale models is the first question a reviewer will ask.</w:t>
      </w:r>
    </w:p>
    <w:p>
      <w:pPr>
        <w:pStyle w:val="ListBullet"/>
      </w:pPr>
      <w:r>
        <w:t>Temperature sensitivity. The battery should be reported at a second temperature to show the finding is not an artifact of the chosen value.</w:t>
      </w:r>
    </w:p>
    <w:p>
      <w:pPr>
        <w:pStyle w:val="ListBullet"/>
      </w:pPr>
      <w:r>
        <w:t>Two pilot comparisons changed two variables at once and must be re-run before being cited.</w:t>
      </w:r>
    </w:p>
    <w:p>
      <w:pPr>
        <w:pStyle w:val="Heading1"/>
      </w:pPr>
      <w:r>
        <w:rPr>
          <w:color w:val="1F364D"/>
        </w:rPr>
        <w:t>5. Positioning</w:t>
      </w:r>
    </w:p>
    <w:p>
      <w:r>
        <w:rPr>
          <w:b w:val="0"/>
          <w:i w:val="0"/>
        </w:rPr>
        <w:t>The contribution is a validation protocol and a caution, not a benchmark. The paper reports what fails, why the failure is invisible in ordinary use, and a counterbalanced comparison procedure that works where direct rating does not.</w:t>
      </w:r>
    </w:p>
    <w:p>
      <w:r>
        <w:rPr>
          <w:b w:val="0"/>
          <w:i w:val="0"/>
        </w:rPr>
        <w:t>Candidate venues: Aesthetic Surgery Journal; Facial Plastic Surgery &amp; Aesthetic Medicine; Plastic and Reconstructive Surgery – Global Open. No patient data, no IRB requirement; all stimuli from a public de-identified research database. Code and analysis are public at github.com/shiitavie/face.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