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4D"/>
          <w:sz w:val="32"/>
        </w:rPr>
        <w:t>Are Prompted Multimodal Model Aesthetic Ratings a Measurement?</w:t>
      </w:r>
    </w:p>
    <w:p>
      <w:pPr>
        <w:jc w:val="center"/>
      </w:pPr>
      <w:r>
        <w:rPr>
          <w:i/>
          <w:sz w:val="24"/>
        </w:rPr>
        <w:t>A reliability audit of Likert-scale facial ratings, with implications for aesthetic outcome assessment</w:t>
      </w:r>
    </w:p>
    <w:p>
      <w:pPr>
        <w:jc w:val="center"/>
      </w:pPr>
      <w:r>
        <w:rPr>
          <w:color w:val="606060"/>
          <w:sz w:val="19"/>
        </w:rPr>
        <w:t>Methods summary · working draft · 20 September 2026</w:t>
      </w:r>
    </w:p>
    <w:p>
      <w:pPr>
        <w:pStyle w:val="Heading1"/>
      </w:pPr>
      <w:r>
        <w:rPr>
          <w:color w:val="1F364D"/>
        </w:rPr>
        <w:t>1. The question</w:t>
      </w:r>
    </w:p>
    <w:p>
      <w:r>
        <w:rPr>
          <w:b w:val="0"/>
          <w:i w:val="0"/>
        </w:rPr>
        <w:t>Multimodal large language models are increasingly used to score facial photographs on Likert scales by prompting alone — no model training, no calibration. Reports already quote figures of the form “the model rated our post-operative results 8.2/10.”</w:t>
      </w:r>
    </w:p>
    <w:p>
      <w:r>
        <w:rPr>
          <w:b w:val="0"/>
          <w:i w:val="0"/>
        </w:rPr>
        <w:t>Such use assumes the number behaves as a measurement: that it reflects the image, that it responds to the scale as defined, and that repeating the query returns approximately the same value. To our knowledge none of these assumptions has been tested.</w:t>
      </w:r>
    </w:p>
    <w:p>
      <w:r>
        <w:rPr>
          <w:b/>
          <w:i w:val="0"/>
        </w:rPr>
        <w:t>We treat the rating as an instrument rather than as data, and subject it to the validation any instrument requires before clinical use.</w:t>
      </w:r>
    </w:p>
    <w:p>
      <w:pPr>
        <w:pStyle w:val="Heading2"/>
      </w:pPr>
      <w:r>
        <w:rPr>
          <w:color w:val="1F364D"/>
        </w:rPr>
        <w:t>2. Relationship to existing work in aesthetic surgery</w:t>
      </w:r>
    </w:p>
    <w:p>
      <w:r>
        <w:rPr>
          <w:b w:val="0"/>
          <w:i w:val="0"/>
        </w:rPr>
        <w:t>AI-derived aesthetic scoring has already entered the surgical outcomes literature. Rames et al. applied trained ensemble models for perceived age and perceived attractiveness to 676 patients from the ASPS Before and After gallery, deriving a composite aesthetic benefit score and using it to compare procedures and identify patient factors associated with greater benefit (Plast Reconstr Surg, doi:10.1097/PRS.0000000000013412). That work establishes both the clinical appetite for objective aesthetic outcome measurement and the feasibility of applying computer vision at scale to surgical photographs.</w:t>
      </w:r>
    </w:p>
    <w:p>
      <w:r>
        <w:rPr>
          <w:b w:val="0"/>
          <w:i w:val="0"/>
        </w:rPr>
        <w:t>Our scope is complementary. Rames et al. use purpose-trained supervised ensembles, fit to human ratings and validated against them. We examine general-purpose models prompted to produce ratings directly — the tool a clinician reaches for without training anything. These are different instruments with different failure modes: a supervised regressor is calibrated to its training distribution by construction, whereas a prompted model's output depends on how the question is worded.</w:t>
      </w:r>
    </w:p>
    <w:p>
      <w:r>
        <w:rPr>
          <w:b/>
          <w:i w:val="0"/>
        </w:rPr>
        <w:t>This study asks what validation a prompted model requires before it is used the way trained models are now being used. Nothing here bears on the validity of purpose-trained models.</w:t>
      </w:r>
    </w:p>
    <w:p>
      <w:pPr>
        <w:pStyle w:val="Heading1"/>
      </w:pPr>
      <w:r>
        <w:rPr>
          <w:color w:val="1F364D"/>
        </w:rPr>
        <w:t>3. Preliminary findings</w:t>
      </w:r>
    </w:p>
    <w:p>
      <w:r>
        <w:rPr>
          <w:b w:val="0"/>
          <w:i/>
        </w:rPr>
        <w:t>Two models so far — one open-weight (Qwen2.5-VL-7B) and one commercial (Claude Opus 5) — on the Chicago Face Database. They fail in opposite ways.</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r/>
            <w:r>
              <w:rPr>
                <w:b/>
                <w:sz w:val="19"/>
              </w:rPr>
              <w:t>Test</w:t>
            </w:r>
          </w:p>
        </w:tc>
        <w:tc>
          <w:tcPr>
            <w:tcW w:type="dxa" w:w="3312"/>
          </w:tcPr>
          <w:p>
            <w:r/>
            <w:r>
              <w:rPr>
                <w:b/>
                <w:sz w:val="19"/>
              </w:rPr>
              <w:t>Qwen2.5-VL-7B</w:t>
            </w:r>
          </w:p>
        </w:tc>
        <w:tc>
          <w:tcPr>
            <w:tcW w:type="dxa" w:w="3312"/>
          </w:tcPr>
          <w:p>
            <w:r/>
            <w:r>
              <w:rPr>
                <w:b/>
                <w:sz w:val="19"/>
              </w:rPr>
              <w:t>Claude Opus 5</w:t>
            </w:r>
          </w:p>
        </w:tc>
      </w:tr>
      <w:tr>
        <w:tc>
          <w:tcPr>
            <w:tcW w:type="dxa" w:w="2448"/>
          </w:tcPr>
          <w:p>
            <w:r/>
            <w:r>
              <w:rPr>
                <w:sz w:val="19"/>
              </w:rPr>
              <w:t>Scale direction — flipping which end means “most attractive”, digits unchanged</w:t>
            </w:r>
          </w:p>
        </w:tc>
        <w:tc>
          <w:tcPr>
            <w:tcW w:type="dxa" w:w="3312"/>
          </w:tcPr>
          <w:p>
            <w:r/>
            <w:r>
              <w:rPr>
                <w:sz w:val="19"/>
              </w:rPr>
              <w:t>ρ = +0.98 (should be strongly negative)</w:t>
            </w:r>
          </w:p>
        </w:tc>
        <w:tc>
          <w:tcPr>
            <w:tcW w:type="dxa" w:w="3312"/>
          </w:tcPr>
          <w:p>
            <w:r/>
            <w:r>
              <w:rPr>
                <w:sz w:val="19"/>
              </w:rPr>
              <w:t>pending</w:t>
            </w:r>
          </w:p>
        </w:tc>
      </w:tr>
      <w:tr>
        <w:tc>
          <w:tcPr>
            <w:tcW w:type="dxa" w:w="2448"/>
          </w:tcPr>
          <w:p>
            <w:r/>
            <w:r>
              <w:rPr>
                <w:sz w:val="19"/>
              </w:rPr>
              <w:t>Digit anchoring — reversing digit order, meaning unchanged</w:t>
            </w:r>
          </w:p>
        </w:tc>
        <w:tc>
          <w:tcPr>
            <w:tcW w:type="dxa" w:w="3312"/>
          </w:tcPr>
          <w:p>
            <w:r/>
            <w:r>
              <w:rPr>
                <w:sz w:val="19"/>
              </w:rPr>
              <w:t>mean shifts 2.2 points on a 7-point scale; ratings become uncorrelated with the photograph (ρ = 0.00)</w:t>
            </w:r>
          </w:p>
        </w:tc>
        <w:tc>
          <w:tcPr>
            <w:tcW w:type="dxa" w:w="3312"/>
          </w:tcPr>
          <w:p>
            <w:r/>
            <w:r>
              <w:rPr>
                <w:sz w:val="19"/>
              </w:rPr>
              <w:t>pending</w:t>
            </w:r>
          </w:p>
        </w:tc>
      </w:tr>
      <w:tr>
        <w:tc>
          <w:tcPr>
            <w:tcW w:type="dxa" w:w="2448"/>
          </w:tcPr>
          <w:p>
            <w:r/>
            <w:r>
              <w:rPr>
                <w:sz w:val="19"/>
              </w:rPr>
              <w:t>Repeatability at a fixed prompt</w:t>
            </w:r>
          </w:p>
        </w:tc>
        <w:tc>
          <w:tcPr>
            <w:tcW w:type="dxa" w:w="3312"/>
          </w:tcPr>
          <w:p>
            <w:r/>
            <w:r>
              <w:rPr>
                <w:sz w:val="19"/>
              </w:rPr>
              <w:t>SE ≈ 0.44 per image, larger than the true spread between faces (SD 0.27)</w:t>
            </w:r>
          </w:p>
        </w:tc>
        <w:tc>
          <w:tcPr>
            <w:tcW w:type="dxa" w:w="3312"/>
          </w:tcPr>
          <w:p>
            <w:r/>
            <w:r>
              <w:rPr>
                <w:sz w:val="19"/>
              </w:rPr>
              <w:t>near-deterministic (SD 0.02)</w:t>
            </w:r>
          </w:p>
        </w:tc>
      </w:tr>
      <w:tr>
        <w:tc>
          <w:tcPr>
            <w:tcW w:type="dxa" w:w="2448"/>
          </w:tcPr>
          <w:p>
            <w:r/>
            <w:r>
              <w:rPr>
                <w:sz w:val="19"/>
              </w:rPr>
              <w:t>Scale use</w:t>
            </w:r>
          </w:p>
        </w:tc>
        <w:tc>
          <w:tcPr>
            <w:tcW w:type="dxa" w:w="3312"/>
          </w:tcPr>
          <w:p>
            <w:r/>
            <w:r>
              <w:rPr>
                <w:sz w:val="19"/>
              </w:rPr>
              <w:t>uses the full range</w:t>
            </w:r>
          </w:p>
        </w:tc>
        <w:tc>
          <w:tcPr>
            <w:tcW w:type="dxa" w:w="3312"/>
          </w:tcPr>
          <w:p>
            <w:r/>
            <w:r>
              <w:rPr>
                <w:sz w:val="19"/>
              </w:rPr>
              <w:t>75% of all ratings are the midpoint; only 3 of 7 points ever used</w:t>
            </w:r>
          </w:p>
        </w:tc>
      </w:tr>
      <w:tr>
        <w:tc>
          <w:tcPr>
            <w:tcW w:type="dxa" w:w="2448"/>
          </w:tcPr>
          <w:p>
            <w:r/>
            <w:r>
              <w:rPr>
                <w:sz w:val="19"/>
              </w:rPr>
              <w:t>Presentation order in paired comparison</w:t>
            </w:r>
          </w:p>
        </w:tc>
        <w:tc>
          <w:tcPr>
            <w:tcW w:type="dxa" w:w="3312"/>
          </w:tcPr>
          <w:p>
            <w:r/>
            <w:r>
              <w:rPr>
                <w:sz w:val="19"/>
              </w:rPr>
              <w:t>chooses the second image in ~99% of trials</w:t>
            </w:r>
          </w:p>
        </w:tc>
        <w:tc>
          <w:tcPr>
            <w:tcW w:type="dxa" w:w="3312"/>
          </w:tcPr>
          <w:p>
            <w:r/>
            <w:r>
              <w:rPr>
                <w:sz w:val="19"/>
              </w:rPr>
              <w:t>position bias present; under measurement</w:t>
            </w:r>
          </w:p>
        </w:tc>
      </w:tr>
    </w:tbl>
    <w:p/>
    <w:p>
      <w:r>
        <w:rPr>
          <w:b/>
          <w:i w:val="0"/>
        </w:rPr>
        <w:t>Qwen is imprecise and driven by the surface form of the question. Claude is perfectly repeatable but barely discriminates. Both are unusable as measurements, for opposite reasons — which is why validating the specific model and prompt in use is not optional.</w:t>
      </w:r>
    </w:p>
    <w:p>
      <w:pPr>
        <w:pStyle w:val="Heading1"/>
      </w:pPr>
      <w:r>
        <w:rPr>
          <w:color w:val="1F364D"/>
        </w:rPr>
        <w:t>4. Methods in brief</w:t>
      </w:r>
    </w:p>
    <w:p>
      <w:pPr>
        <w:pStyle w:val="ListBullet"/>
      </w:pPr>
      <w:r>
        <w:t>Chicago Face Database, neutral expression, 831 photographs. Standardized lighting, camera and framing, so group differences cannot be confounded with how groups were photographed. Includes self-identified demographics, human norming data, and 60 objective facial measurements used as ground truth.</w:t>
      </w:r>
    </w:p>
    <w:p>
      <w:pPr>
        <w:pStyle w:val="ListBullet"/>
      </w:pPr>
      <w:r>
        <w:t>Ratings read exactly from token probabilities where model weights allow, and estimated from repeated sampling where they do not. The two readouts are compared head-to-head on a model permitting both (ρ = 0.88), which is what licenses the sampled method on commercial APIs.</w:t>
      </w:r>
    </w:p>
    <w:p>
      <w:pPr>
        <w:pStyle w:val="ListBullet"/>
      </w:pPr>
      <w:r>
        <w:t>Four tests, each isolating one way the number could be produced by something other than the photograph: scale semantics, digit anchoring, paraphrase robustness, and refusal rate including refusal by demographic group.</w:t>
      </w:r>
    </w:p>
    <w:p>
      <w:pPr>
        <w:pStyle w:val="ListBullet"/>
      </w:pPr>
      <w:r>
        <w:t>Precision is decomposed into true between-face variation and sampling error, and correlations are reported both raw and corrected for attenuation.</w:t>
      </w:r>
    </w:p>
    <w:p>
      <w:pPr>
        <w:pStyle w:val="ListBullet"/>
      </w:pPr>
      <w:r>
        <w:t>Where absolute rating fails, counterbalanced forced-choice comparison is evaluated as the alternative — the standard psychometric remedy for anchor-dependent scales, and structurally the same judgement the Global Aesthetic Improvement Scale asks for.</w:t>
      </w:r>
    </w:p>
    <w:p>
      <w:pPr>
        <w:pStyle w:val="Heading1"/>
      </w:pPr>
      <w:r>
        <w:rPr>
          <w:color w:val="1F364D"/>
        </w:rPr>
        <w:t>5. What remains</w:t>
      </w:r>
    </w:p>
    <w:p>
      <w:pPr>
        <w:pStyle w:val="ListBullet"/>
      </w:pPr>
      <w:r>
        <w:t>Additional models, including further commercial systems, before any claim about multimodal models as a class.</w:t>
      </w:r>
    </w:p>
    <w:p>
      <w:pPr>
        <w:pStyle w:val="ListBullet"/>
      </w:pPr>
      <w:r>
        <w:t>Whether these failures persist at frontier scale — the first question a reviewer will ask.</w:t>
      </w:r>
    </w:p>
    <w:p>
      <w:pPr>
        <w:pStyle w:val="ListBullet"/>
      </w:pPr>
      <w:r>
        <w:t>A scale-format arm: verbally anchored and categorical scales, to test whether the formats used by validated clinical instruments avoid the failures seen with bare numeric scales.</w:t>
      </w:r>
    </w:p>
    <w:p>
      <w:pPr>
        <w:pStyle w:val="Heading1"/>
      </w:pPr>
      <w:r>
        <w:rPr>
          <w:color w:val="1F364D"/>
        </w:rPr>
        <w:t>6. Positioning</w:t>
      </w:r>
    </w:p>
    <w:p>
      <w:r>
        <w:rPr>
          <w:b w:val="0"/>
          <w:i w:val="0"/>
        </w:rPr>
        <w:t>The contribution is a validation protocol and a caution, not a benchmark. The paper reports what fails, why the failure is invisible in ordinary use, and a counterbalanced comparison procedure that works where direct rating does not.</w:t>
      </w:r>
    </w:p>
    <w:p>
      <w:r>
        <w:rPr>
          <w:b w:val="0"/>
          <w:i w:val="0"/>
        </w:rPr>
        <w:t>Candidate venues: Aesthetic Surgery Journal; Facial Plastic Surgery &amp; Aesthetic Medicine; Plastic and Reconstructive Surgery – Global Open. No patient data and no IRB requirement; all stimuli are from a public de-identified research database. Code and analysis are public at github.com/shiitavie/face.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