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5"/>
        <w:gridCol w:w="3022"/>
        <w:gridCol w:w="3022"/>
        <w:gridCol w:w="3022"/>
        <w:gridCol w:w="3024"/>
        <w:gridCol w:w="3024"/>
        <w:gridCol w:w="3025"/>
      </w:tblGrid>
      <w:tr w:rsidR="00E46633" w:rsidRPr="00D84870" w:rsidTr="00FA4A38">
        <w:tc>
          <w:tcPr>
            <w:tcW w:w="2789" w:type="dxa"/>
            <w:tcBorders>
              <w:top w:val="single" w:sz="4" w:space="0" w:color="auto"/>
              <w:left w:val="single" w:sz="4" w:space="0" w:color="auto"/>
              <w:bottom w:val="single" w:sz="4" w:space="0" w:color="auto"/>
              <w:right w:val="single" w:sz="4" w:space="0" w:color="auto"/>
            </w:tcBorders>
            <w:shd w:val="clear" w:color="auto" w:fill="99FF33"/>
          </w:tcPr>
          <w:p w:rsidR="00E46633" w:rsidRPr="00D84870" w:rsidRDefault="00E46633" w:rsidP="00AC1C03">
            <w:pPr>
              <w:spacing w:before="120" w:after="24"/>
              <w:rPr>
                <w:rFonts w:ascii="Arial" w:hAnsi="Arial" w:cs="Arial"/>
                <w:b/>
              </w:rPr>
            </w:pPr>
            <w:r w:rsidRPr="00D84870">
              <w:rPr>
                <w:rFonts w:ascii="Arial" w:hAnsi="Arial" w:cs="Arial"/>
                <w:b/>
              </w:rPr>
              <w:t>TSC Category</w:t>
            </w:r>
          </w:p>
          <w:p w:rsidR="00E46633" w:rsidRPr="00D84870" w:rsidRDefault="00E46633" w:rsidP="00AC1C03">
            <w:pPr>
              <w:spacing w:after="24"/>
              <w:rPr>
                <w:rFonts w:ascii="Arial" w:hAnsi="Arial" w:cs="Arial"/>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99FF33"/>
          </w:tcPr>
          <w:p w:rsidR="00E46633" w:rsidRPr="00D84870" w:rsidRDefault="0060209B" w:rsidP="00AC1C03">
            <w:pPr>
              <w:spacing w:before="120" w:after="24"/>
              <w:rPr>
                <w:rFonts w:ascii="Arial" w:hAnsi="Arial" w:cs="Arial"/>
              </w:rPr>
            </w:pPr>
            <w:r>
              <w:rPr>
                <w:rFonts w:ascii="Arial" w:hAnsi="Arial" w:cs="Arial"/>
                <w:noProof/>
              </w:rPr>
              <w:t>Governance and Compliance</w:t>
            </w:r>
          </w:p>
        </w:tc>
      </w:tr>
      <w:tr w:rsidR="00E46633" w:rsidRPr="00D84870" w:rsidTr="00FA4A38">
        <w:trPr>
          <w:trHeight w:val="533"/>
        </w:trPr>
        <w:tc>
          <w:tcPr>
            <w:tcW w:w="2789" w:type="dxa"/>
            <w:tcBorders>
              <w:top w:val="single" w:sz="4" w:space="0" w:color="auto"/>
              <w:left w:val="single" w:sz="4" w:space="0" w:color="auto"/>
              <w:bottom w:val="single" w:sz="4" w:space="0" w:color="auto"/>
              <w:right w:val="single" w:sz="4" w:space="0" w:color="auto"/>
            </w:tcBorders>
            <w:shd w:val="clear" w:color="auto" w:fill="C0FF33"/>
          </w:tcPr>
          <w:p w:rsidR="00E46633" w:rsidRPr="00D84870" w:rsidRDefault="00E46633" w:rsidP="00AC1C03">
            <w:pPr>
              <w:spacing w:before="120" w:after="24"/>
              <w:rPr>
                <w:rFonts w:ascii="Arial" w:hAnsi="Arial" w:cs="Arial"/>
                <w:b/>
              </w:rPr>
            </w:pPr>
            <w:r w:rsidRPr="00D84870">
              <w:rPr>
                <w:rFonts w:ascii="Arial" w:hAnsi="Arial" w:cs="Arial"/>
                <w:b/>
              </w:rPr>
              <w:t xml:space="preserve">TSC </w:t>
            </w:r>
            <w:r w:rsidR="00FA4A38">
              <w:rPr>
                <w:rFonts w:ascii="Arial" w:hAnsi="Arial" w:cs="Arial"/>
                <w:b/>
              </w:rPr>
              <w:t>Title</w:t>
            </w:r>
          </w:p>
        </w:tc>
        <w:tc>
          <w:tcPr>
            <w:tcW w:w="18157" w:type="dxa"/>
            <w:gridSpan w:val="6"/>
            <w:tcBorders>
              <w:top w:val="single" w:sz="4" w:space="0" w:color="auto"/>
              <w:left w:val="single" w:sz="4" w:space="0" w:color="auto"/>
              <w:bottom w:val="single" w:sz="4" w:space="0" w:color="auto"/>
              <w:right w:val="single" w:sz="4" w:space="0" w:color="auto"/>
            </w:tcBorders>
            <w:shd w:val="clear" w:color="auto" w:fill="C0FF33"/>
          </w:tcPr>
          <w:p w:rsidR="00E46633" w:rsidRPr="00D84870" w:rsidRDefault="00E46633" w:rsidP="00AC1C03">
            <w:pPr>
              <w:spacing w:before="120" w:after="24"/>
              <w:rPr>
                <w:rFonts w:ascii="Arial" w:hAnsi="Arial" w:cs="Arial"/>
              </w:rPr>
            </w:pPr>
            <w:r w:rsidRPr="00D84870">
              <w:rPr>
                <w:rFonts w:ascii="Arial" w:hAnsi="Arial" w:cs="Arial"/>
                <w:noProof/>
              </w:rPr>
              <w:t>Data Governance</w:t>
            </w:r>
          </w:p>
        </w:tc>
      </w:tr>
      <w:tr w:rsidR="00E46633" w:rsidRPr="00D84870" w:rsidTr="00FA4A38">
        <w:tc>
          <w:tcPr>
            <w:tcW w:w="2789" w:type="dxa"/>
            <w:tcBorders>
              <w:top w:val="single" w:sz="4" w:space="0" w:color="auto"/>
              <w:left w:val="single" w:sz="4" w:space="0" w:color="auto"/>
              <w:bottom w:val="single" w:sz="4" w:space="0" w:color="auto"/>
              <w:right w:val="single" w:sz="4" w:space="0" w:color="auto"/>
            </w:tcBorders>
            <w:shd w:val="clear" w:color="auto" w:fill="E0FFC1"/>
          </w:tcPr>
          <w:p w:rsidR="00E46633" w:rsidRPr="00D84870" w:rsidRDefault="00E46633" w:rsidP="00AC1C03">
            <w:pPr>
              <w:spacing w:before="120" w:after="24"/>
              <w:jc w:val="both"/>
              <w:rPr>
                <w:rFonts w:ascii="Arial" w:hAnsi="Arial" w:cs="Arial"/>
                <w:b/>
              </w:rPr>
            </w:pPr>
            <w:r w:rsidRPr="00D84870">
              <w:rPr>
                <w:rFonts w:ascii="Arial" w:hAnsi="Arial" w:cs="Arial"/>
                <w:b/>
              </w:rPr>
              <w:t>TSC Description</w:t>
            </w:r>
          </w:p>
          <w:p w:rsidR="00E46633" w:rsidRPr="00D84870" w:rsidRDefault="00E46633" w:rsidP="00AC1C03">
            <w:pPr>
              <w:pStyle w:val="Default"/>
              <w:spacing w:after="24"/>
              <w:rPr>
                <w:rFonts w:ascii="Arial" w:hAnsi="Arial" w:cs="Arial"/>
                <w:b/>
                <w:i/>
                <w:sz w:val="22"/>
                <w:szCs w:val="22"/>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E0FFC1"/>
          </w:tcPr>
          <w:p w:rsidR="00E46633" w:rsidRPr="00D84870" w:rsidRDefault="00E46633" w:rsidP="00FA4A38">
            <w:pPr>
              <w:spacing w:before="120" w:after="24" w:line="276" w:lineRule="auto"/>
              <w:rPr>
                <w:rFonts w:ascii="Arial" w:hAnsi="Arial" w:cs="Arial"/>
              </w:rPr>
            </w:pPr>
            <w:r w:rsidRPr="00D84870">
              <w:rPr>
                <w:rFonts w:ascii="Arial" w:hAnsi="Arial" w:cs="Arial"/>
                <w:noProof/>
              </w:rPr>
              <w:t>Develop and implement guidelines, laws, and regulations across the organisation for the handling of data at various stages in its lifecycle as well as the provision of advice on proper data handling and resolution of data breaches in a range of complex, ambi</w:t>
            </w:r>
            <w:r w:rsidR="00295FA2">
              <w:rPr>
                <w:rFonts w:ascii="Arial" w:hAnsi="Arial" w:cs="Arial"/>
                <w:noProof/>
              </w:rPr>
              <w:t>guous or multi-faceted contexts</w:t>
            </w:r>
          </w:p>
        </w:tc>
      </w:tr>
      <w:tr w:rsidR="00E46633" w:rsidRPr="00D84870" w:rsidTr="00FA4A38">
        <w:tc>
          <w:tcPr>
            <w:tcW w:w="2789" w:type="dxa"/>
            <w:vMerge w:val="restart"/>
            <w:tcBorders>
              <w:top w:val="single" w:sz="4" w:space="0" w:color="auto"/>
              <w:left w:val="single" w:sz="4" w:space="0" w:color="auto"/>
              <w:right w:val="single" w:sz="4" w:space="0" w:color="auto"/>
            </w:tcBorders>
            <w:shd w:val="clear" w:color="auto" w:fill="D9D9D9" w:themeFill="background1" w:themeFillShade="D9"/>
          </w:tcPr>
          <w:p w:rsidR="00E46633" w:rsidRPr="00D84870" w:rsidRDefault="00E46633" w:rsidP="00AC1C03">
            <w:pPr>
              <w:spacing w:before="120" w:after="24"/>
              <w:rPr>
                <w:rFonts w:ascii="Arial" w:hAnsi="Arial" w:cs="Arial"/>
                <w:b/>
              </w:rPr>
            </w:pPr>
            <w:r w:rsidRPr="00D84870">
              <w:rPr>
                <w:rFonts w:ascii="Arial" w:hAnsi="Arial" w:cs="Arial"/>
                <w:b/>
              </w:rPr>
              <w:t>TSC Proficiency Description</w:t>
            </w:r>
          </w:p>
        </w:tc>
        <w:tc>
          <w:tcPr>
            <w:tcW w:w="3026" w:type="dxa"/>
            <w:tcBorders>
              <w:top w:val="single" w:sz="4" w:space="0" w:color="auto"/>
              <w:left w:val="single" w:sz="4" w:space="0" w:color="auto"/>
              <w:bottom w:val="single" w:sz="4" w:space="0" w:color="auto"/>
              <w:right w:val="single" w:sz="4" w:space="0" w:color="auto"/>
            </w:tcBorders>
            <w:hideMark/>
          </w:tcPr>
          <w:p w:rsidR="00E46633" w:rsidRPr="00D84870" w:rsidRDefault="00E46633" w:rsidP="00AC1C03">
            <w:pPr>
              <w:spacing w:after="24"/>
              <w:jc w:val="center"/>
              <w:rPr>
                <w:rFonts w:ascii="Arial" w:hAnsi="Arial" w:cs="Arial"/>
                <w:b/>
              </w:rPr>
            </w:pPr>
            <w:r w:rsidRPr="00D84870">
              <w:rPr>
                <w:rFonts w:ascii="Arial" w:hAnsi="Arial" w:cs="Arial"/>
                <w:b/>
              </w:rPr>
              <w:t>Level 1</w:t>
            </w:r>
          </w:p>
        </w:tc>
        <w:tc>
          <w:tcPr>
            <w:tcW w:w="3026" w:type="dxa"/>
            <w:tcBorders>
              <w:top w:val="single" w:sz="4" w:space="0" w:color="auto"/>
              <w:left w:val="single" w:sz="4" w:space="0" w:color="auto"/>
              <w:bottom w:val="single" w:sz="4" w:space="0" w:color="auto"/>
              <w:right w:val="single" w:sz="4" w:space="0" w:color="auto"/>
            </w:tcBorders>
            <w:hideMark/>
          </w:tcPr>
          <w:p w:rsidR="00E46633" w:rsidRPr="00D84870" w:rsidRDefault="00E46633" w:rsidP="00AC1C03">
            <w:pPr>
              <w:spacing w:after="24"/>
              <w:jc w:val="center"/>
              <w:rPr>
                <w:rFonts w:ascii="Arial" w:hAnsi="Arial" w:cs="Arial"/>
                <w:b/>
              </w:rPr>
            </w:pPr>
            <w:r w:rsidRPr="00D84870">
              <w:rPr>
                <w:rFonts w:ascii="Arial" w:hAnsi="Arial" w:cs="Arial"/>
                <w:b/>
              </w:rPr>
              <w:t>Level 2</w:t>
            </w:r>
          </w:p>
        </w:tc>
        <w:tc>
          <w:tcPr>
            <w:tcW w:w="3026" w:type="dxa"/>
            <w:tcBorders>
              <w:top w:val="single" w:sz="4" w:space="0" w:color="auto"/>
              <w:left w:val="single" w:sz="4" w:space="0" w:color="auto"/>
              <w:bottom w:val="single" w:sz="4" w:space="0" w:color="auto"/>
              <w:right w:val="single" w:sz="4" w:space="0" w:color="auto"/>
            </w:tcBorders>
            <w:hideMark/>
          </w:tcPr>
          <w:p w:rsidR="00E46633" w:rsidRPr="00D84870" w:rsidRDefault="00E46633" w:rsidP="00AC1C03">
            <w:pPr>
              <w:spacing w:after="24"/>
              <w:jc w:val="center"/>
              <w:rPr>
                <w:rFonts w:ascii="Arial" w:hAnsi="Arial" w:cs="Arial"/>
                <w:b/>
              </w:rPr>
            </w:pPr>
            <w:r w:rsidRPr="00D84870">
              <w:rPr>
                <w:rFonts w:ascii="Arial" w:hAnsi="Arial" w:cs="Arial"/>
                <w:b/>
              </w:rPr>
              <w:t>Level 3</w:t>
            </w:r>
          </w:p>
        </w:tc>
        <w:tc>
          <w:tcPr>
            <w:tcW w:w="3026" w:type="dxa"/>
            <w:tcBorders>
              <w:top w:val="single" w:sz="4" w:space="0" w:color="auto"/>
              <w:left w:val="single" w:sz="4" w:space="0" w:color="auto"/>
              <w:bottom w:val="single" w:sz="4" w:space="0" w:color="auto"/>
              <w:right w:val="single" w:sz="4" w:space="0" w:color="auto"/>
            </w:tcBorders>
            <w:hideMark/>
          </w:tcPr>
          <w:p w:rsidR="00E46633" w:rsidRPr="00D84870" w:rsidRDefault="00E46633" w:rsidP="00AC1C03">
            <w:pPr>
              <w:spacing w:after="24"/>
              <w:jc w:val="center"/>
              <w:rPr>
                <w:rFonts w:ascii="Arial" w:hAnsi="Arial" w:cs="Arial"/>
                <w:b/>
              </w:rPr>
            </w:pPr>
            <w:r w:rsidRPr="00D84870">
              <w:rPr>
                <w:rFonts w:ascii="Arial" w:hAnsi="Arial" w:cs="Arial"/>
                <w:b/>
              </w:rPr>
              <w:t>Level 4</w:t>
            </w:r>
          </w:p>
        </w:tc>
        <w:tc>
          <w:tcPr>
            <w:tcW w:w="3026" w:type="dxa"/>
            <w:tcBorders>
              <w:top w:val="single" w:sz="4" w:space="0" w:color="auto"/>
              <w:left w:val="single" w:sz="4" w:space="0" w:color="auto"/>
              <w:bottom w:val="single" w:sz="4" w:space="0" w:color="auto"/>
              <w:right w:val="single" w:sz="4" w:space="0" w:color="auto"/>
            </w:tcBorders>
            <w:hideMark/>
          </w:tcPr>
          <w:p w:rsidR="00E46633" w:rsidRPr="00D84870" w:rsidRDefault="00E46633" w:rsidP="00AC1C03">
            <w:pPr>
              <w:spacing w:after="24"/>
              <w:jc w:val="center"/>
              <w:rPr>
                <w:rFonts w:ascii="Arial" w:hAnsi="Arial" w:cs="Arial"/>
                <w:b/>
              </w:rPr>
            </w:pPr>
            <w:r w:rsidRPr="00D84870">
              <w:rPr>
                <w:rFonts w:ascii="Arial" w:hAnsi="Arial" w:cs="Arial"/>
                <w:b/>
              </w:rPr>
              <w:t>Level 5</w:t>
            </w:r>
          </w:p>
        </w:tc>
        <w:tc>
          <w:tcPr>
            <w:tcW w:w="3027" w:type="dxa"/>
            <w:tcBorders>
              <w:top w:val="single" w:sz="4" w:space="0" w:color="auto"/>
              <w:left w:val="single" w:sz="4" w:space="0" w:color="auto"/>
              <w:bottom w:val="single" w:sz="4" w:space="0" w:color="auto"/>
              <w:right w:val="single" w:sz="4" w:space="0" w:color="auto"/>
            </w:tcBorders>
            <w:hideMark/>
          </w:tcPr>
          <w:p w:rsidR="00E46633" w:rsidRPr="00D84870" w:rsidRDefault="00E46633" w:rsidP="00AC1C03">
            <w:pPr>
              <w:spacing w:after="24"/>
              <w:jc w:val="center"/>
              <w:rPr>
                <w:rFonts w:ascii="Arial" w:hAnsi="Arial" w:cs="Arial"/>
                <w:b/>
              </w:rPr>
            </w:pPr>
            <w:r w:rsidRPr="00D84870">
              <w:rPr>
                <w:rFonts w:ascii="Arial" w:hAnsi="Arial" w:cs="Arial"/>
                <w:b/>
              </w:rPr>
              <w:t>Level 6</w:t>
            </w:r>
          </w:p>
        </w:tc>
      </w:tr>
      <w:tr w:rsidR="00BB290E" w:rsidRPr="00D84870" w:rsidTr="00FA4A38">
        <w:tc>
          <w:tcPr>
            <w:tcW w:w="0" w:type="auto"/>
            <w:vMerge/>
            <w:tcBorders>
              <w:left w:val="single" w:sz="4" w:space="0" w:color="auto"/>
              <w:right w:val="single" w:sz="4" w:space="0" w:color="auto"/>
            </w:tcBorders>
            <w:shd w:val="clear" w:color="auto" w:fill="D9D9D9"/>
            <w:vAlign w:val="center"/>
            <w:hideMark/>
          </w:tcPr>
          <w:p w:rsidR="00BB290E" w:rsidRPr="00D84870" w:rsidRDefault="00BB290E" w:rsidP="00BB290E">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290E" w:rsidRPr="00D84870" w:rsidRDefault="00BB290E" w:rsidP="00BB290E">
            <w:pPr>
              <w:spacing w:after="24"/>
              <w:jc w:val="cente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290E" w:rsidRPr="00D84870" w:rsidRDefault="00BB290E" w:rsidP="00BB290E">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290E" w:rsidRPr="00D84870" w:rsidRDefault="00BB290E" w:rsidP="00BB290E">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tcPr>
          <w:p w:rsidR="00BB290E" w:rsidRPr="00D84870" w:rsidRDefault="00BB290E" w:rsidP="00BB290E">
            <w:pPr>
              <w:jc w:val="center"/>
              <w:rPr>
                <w:rFonts w:ascii="Arial" w:hAnsi="Arial" w:cs="Arial"/>
              </w:rPr>
            </w:pPr>
            <w:r>
              <w:rPr>
                <w:rFonts w:ascii="Arial" w:hAnsi="Arial" w:cs="Arial"/>
                <w:b/>
              </w:rPr>
              <w:t>ICT-SNA-4008-1.1</w:t>
            </w:r>
          </w:p>
        </w:tc>
        <w:tc>
          <w:tcPr>
            <w:tcW w:w="3026" w:type="dxa"/>
            <w:tcBorders>
              <w:top w:val="single" w:sz="4" w:space="0" w:color="auto"/>
              <w:left w:val="single" w:sz="4" w:space="0" w:color="auto"/>
              <w:bottom w:val="single" w:sz="4" w:space="0" w:color="auto"/>
              <w:right w:val="single" w:sz="4" w:space="0" w:color="auto"/>
            </w:tcBorders>
          </w:tcPr>
          <w:p w:rsidR="00BB290E" w:rsidRPr="00D84870" w:rsidRDefault="00BB290E" w:rsidP="00BB290E">
            <w:pPr>
              <w:jc w:val="center"/>
              <w:rPr>
                <w:rFonts w:ascii="Arial" w:hAnsi="Arial" w:cs="Arial"/>
              </w:rPr>
            </w:pPr>
            <w:r>
              <w:rPr>
                <w:rFonts w:ascii="Arial" w:hAnsi="Arial" w:cs="Arial"/>
                <w:b/>
              </w:rPr>
              <w:t>ICT-SNA-5008-1.1</w:t>
            </w:r>
          </w:p>
        </w:tc>
        <w:tc>
          <w:tcPr>
            <w:tcW w:w="3027" w:type="dxa"/>
            <w:tcBorders>
              <w:top w:val="single" w:sz="4" w:space="0" w:color="auto"/>
              <w:left w:val="single" w:sz="4" w:space="0" w:color="auto"/>
              <w:bottom w:val="single" w:sz="4" w:space="0" w:color="auto"/>
              <w:right w:val="single" w:sz="4" w:space="0" w:color="auto"/>
            </w:tcBorders>
          </w:tcPr>
          <w:p w:rsidR="00BB290E" w:rsidRPr="00D84870" w:rsidRDefault="00BB290E" w:rsidP="00BB290E">
            <w:pPr>
              <w:jc w:val="center"/>
              <w:rPr>
                <w:rFonts w:ascii="Arial" w:hAnsi="Arial" w:cs="Arial"/>
              </w:rPr>
            </w:pPr>
            <w:r>
              <w:rPr>
                <w:rFonts w:ascii="Arial" w:hAnsi="Arial" w:cs="Arial"/>
                <w:b/>
              </w:rPr>
              <w:t>ICT-SNA-6008-1.1</w:t>
            </w:r>
          </w:p>
        </w:tc>
      </w:tr>
      <w:tr w:rsidR="00BB290E" w:rsidRPr="00D84870" w:rsidTr="00FA4A38">
        <w:tc>
          <w:tcPr>
            <w:tcW w:w="0" w:type="auto"/>
            <w:vMerge/>
            <w:tcBorders>
              <w:left w:val="single" w:sz="4" w:space="0" w:color="auto"/>
              <w:bottom w:val="single" w:sz="4" w:space="0" w:color="auto"/>
              <w:right w:val="single" w:sz="4" w:space="0" w:color="auto"/>
            </w:tcBorders>
            <w:shd w:val="clear" w:color="auto" w:fill="D9D9D9"/>
            <w:vAlign w:val="center"/>
            <w:hideMark/>
          </w:tcPr>
          <w:p w:rsidR="00BB290E" w:rsidRPr="00D84870" w:rsidRDefault="00BB290E" w:rsidP="00BB290E">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B290E" w:rsidRPr="00D84870" w:rsidRDefault="00BB290E" w:rsidP="00FA4A38">
            <w:pPr>
              <w:spacing w:before="100" w:beforeAutospacing="1" w:after="24" w:line="276" w:lineRule="auto"/>
              <w:rPr>
                <w:rFonts w:ascii="Arial" w:hAnsi="Arial" w:cs="Arial"/>
              </w:rPr>
            </w:pPr>
            <w:r w:rsidRPr="00D84870">
              <w:rPr>
                <w:rFonts w:ascii="Arial" w:hAnsi="Arial" w:cs="Arial"/>
                <w:noProof/>
              </w:rPr>
              <w:t>Implement guidelines, laws, statutes and regulations on appropriate handling of data at various stages in their lifecycle, and monito</w:t>
            </w:r>
            <w:r w:rsidR="00FA4A38">
              <w:rPr>
                <w:rFonts w:ascii="Arial" w:hAnsi="Arial" w:cs="Arial"/>
                <w:noProof/>
              </w:rPr>
              <w:t>r compliance with data policies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B290E" w:rsidRPr="00D84870" w:rsidRDefault="00BB290E" w:rsidP="00FA4A38">
            <w:pPr>
              <w:spacing w:before="100" w:beforeAutospacing="1" w:after="24" w:line="276" w:lineRule="auto"/>
              <w:rPr>
                <w:rFonts w:ascii="Arial" w:hAnsi="Arial" w:cs="Arial"/>
              </w:rPr>
            </w:pPr>
            <w:r w:rsidRPr="00D84870">
              <w:rPr>
                <w:rFonts w:ascii="Arial" w:hAnsi="Arial" w:cs="Arial"/>
                <w:noProof/>
              </w:rPr>
              <w:t>Develop organisation practices and standards for handling data throughout their lifecycle, resolve breaches, and oversee transfe</w:t>
            </w:r>
            <w:r w:rsidR="00FA4A38">
              <w:rPr>
                <w:rFonts w:ascii="Arial" w:hAnsi="Arial" w:cs="Arial"/>
                <w:noProof/>
              </w:rPr>
              <w:t>r of data between organisations</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BB290E" w:rsidRPr="00D84870" w:rsidRDefault="00BB290E" w:rsidP="00FA4A38">
            <w:pPr>
              <w:spacing w:before="100" w:beforeAutospacing="1" w:after="24" w:line="276" w:lineRule="auto"/>
              <w:rPr>
                <w:rFonts w:ascii="Arial" w:hAnsi="Arial" w:cs="Arial"/>
              </w:rPr>
            </w:pPr>
            <w:r w:rsidRPr="00D84870">
              <w:rPr>
                <w:rFonts w:ascii="Arial" w:hAnsi="Arial" w:cs="Arial"/>
                <w:noProof/>
              </w:rPr>
              <w:t>Establish policies for data security and usage, facilitate industry consensus around data ethics, and provide expert advice on d</w:t>
            </w:r>
            <w:r w:rsidR="00FA4A38">
              <w:rPr>
                <w:rFonts w:ascii="Arial" w:hAnsi="Arial" w:cs="Arial"/>
                <w:noProof/>
              </w:rPr>
              <w:t>ata transfer across geographies</w:t>
            </w:r>
          </w:p>
        </w:tc>
      </w:tr>
      <w:tr w:rsidR="00BB290E" w:rsidRPr="00D84870" w:rsidTr="00FA4A38">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4A38" w:rsidRPr="0060209B" w:rsidRDefault="00BB290E" w:rsidP="00FA4A38">
            <w:pPr>
              <w:spacing w:before="120"/>
            </w:pPr>
            <w:r w:rsidRPr="00D84870">
              <w:rPr>
                <w:rFonts w:ascii="Arial" w:hAnsi="Arial" w:cs="Arial"/>
                <w:b/>
              </w:rPr>
              <w:t>Knowledge</w:t>
            </w:r>
          </w:p>
          <w:p w:rsidR="00BB290E" w:rsidRPr="0060209B" w:rsidRDefault="00BB290E" w:rsidP="0060209B">
            <w:pPr>
              <w:tabs>
                <w:tab w:val="left" w:pos="1875"/>
              </w:tabs>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Data and privacy policies, laws and regulations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Different stages in the data lifecycle</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Standard practices for proper data handling</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Required approvals for data handling at different stages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Relevant ethical guidelines in the I</w:t>
            </w:r>
            <w:r>
              <w:rPr>
                <w:rFonts w:ascii="Arial" w:hAnsi="Arial" w:cs="Arial"/>
                <w:noProof/>
                <w:sz w:val="22"/>
                <w:szCs w:val="22"/>
              </w:rPr>
              <w:t>nfocomm Technology (I</w:t>
            </w:r>
            <w:r w:rsidRPr="00D84870">
              <w:rPr>
                <w:rFonts w:ascii="Arial" w:hAnsi="Arial" w:cs="Arial"/>
                <w:noProof/>
                <w:sz w:val="22"/>
                <w:szCs w:val="22"/>
              </w:rPr>
              <w:t>CT</w:t>
            </w:r>
            <w:r>
              <w:rPr>
                <w:rFonts w:ascii="Arial" w:hAnsi="Arial" w:cs="Arial"/>
                <w:noProof/>
                <w:sz w:val="22"/>
                <w:szCs w:val="22"/>
              </w:rPr>
              <w:t>)</w:t>
            </w:r>
            <w:r w:rsidRPr="00D84870">
              <w:rPr>
                <w:rFonts w:ascii="Arial" w:hAnsi="Arial" w:cs="Arial"/>
                <w:noProof/>
                <w:sz w:val="22"/>
                <w:szCs w:val="22"/>
              </w:rPr>
              <w:t xml:space="preserve"> industry</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Indicators of a data breach</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Organisation's</w:t>
            </w:r>
            <w:r>
              <w:rPr>
                <w:rFonts w:ascii="Arial" w:hAnsi="Arial" w:cs="Arial"/>
                <w:noProof/>
                <w:sz w:val="22"/>
                <w:szCs w:val="22"/>
              </w:rPr>
              <w:t xml:space="preserve"> perspective on fundamental IT and</w:t>
            </w:r>
            <w:r w:rsidRPr="00D84870">
              <w:rPr>
                <w:rFonts w:ascii="Arial" w:hAnsi="Arial" w:cs="Arial"/>
                <w:noProof/>
                <w:sz w:val="22"/>
                <w:szCs w:val="22"/>
              </w:rPr>
              <w:t xml:space="preserve"> data principles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Impact of poor data quality and practices on the business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Strategies to mitigate poor data practices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Legal parameters or business implications of data handling </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Underlying ethical principles governing data handling practices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Privacy laws in a range of organisations, and similarities or differences from own organisation</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Possible treatment of data breaches</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Industry developments and emerging issues in IT and data ethics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Internal data policy development process and consideration</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Categories of critical data and corresponding levels of accountability and security required</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Relationship between data handling and business value</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Different data privacy laws and policies in different countries or regions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Wider implications of ethical laws, policies and regulations in the ICT industry</w:t>
            </w:r>
          </w:p>
        </w:tc>
      </w:tr>
      <w:tr w:rsidR="00BB290E" w:rsidRPr="00D84870" w:rsidTr="00FA4A38">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290E" w:rsidRPr="00D84870" w:rsidRDefault="00BB290E" w:rsidP="00BB290E">
            <w:pPr>
              <w:spacing w:before="120"/>
              <w:rPr>
                <w:rFonts w:ascii="Arial" w:hAnsi="Arial" w:cs="Arial"/>
                <w:b/>
              </w:rPr>
            </w:pPr>
            <w:r w:rsidRPr="00D84870">
              <w:rPr>
                <w:rFonts w:ascii="Arial" w:hAnsi="Arial" w:cs="Arial"/>
                <w:b/>
              </w:rPr>
              <w:t>Abilities</w:t>
            </w:r>
          </w:p>
          <w:p w:rsidR="00BB290E" w:rsidRPr="00D84870" w:rsidRDefault="00BB290E" w:rsidP="00BB290E">
            <w:pPr>
              <w:pStyle w:val="Default"/>
              <w:rPr>
                <w:rFonts w:ascii="Arial" w:hAnsi="Arial" w:cs="Arial"/>
                <w:color w:val="auto"/>
                <w:sz w:val="22"/>
                <w:szCs w:val="22"/>
              </w:rPr>
            </w:pPr>
          </w:p>
          <w:p w:rsidR="00BB290E" w:rsidRPr="00D84870" w:rsidRDefault="00BB290E" w:rsidP="00BB290E">
            <w:pPr>
              <w:pStyle w:val="Default"/>
              <w:rPr>
                <w:rFonts w:ascii="Arial" w:hAnsi="Arial" w:cs="Arial"/>
                <w:i/>
                <w:color w:val="auto"/>
                <w:sz w:val="22"/>
                <w:szCs w:val="22"/>
              </w:rPr>
            </w:pPr>
          </w:p>
          <w:p w:rsidR="00BB290E" w:rsidRPr="00D84870" w:rsidRDefault="00BB290E" w:rsidP="00BB290E">
            <w:pPr>
              <w:pStyle w:val="Default"/>
              <w:rPr>
                <w:rFonts w:ascii="Arial" w:hAnsi="Arial" w:cs="Arial"/>
                <w:color w:val="auto"/>
                <w:sz w:val="22"/>
                <w:szCs w:val="22"/>
              </w:rPr>
            </w:pPr>
          </w:p>
          <w:p w:rsidR="00BB290E" w:rsidRPr="00D84870" w:rsidRDefault="00BB290E" w:rsidP="00BB290E">
            <w:pPr>
              <w:pStyle w:val="Default"/>
              <w:rPr>
                <w:rFonts w:ascii="Arial" w:hAnsi="Arial" w:cs="Arial"/>
                <w:color w:val="auto"/>
                <w:sz w:val="22"/>
                <w:szCs w:val="22"/>
              </w:rPr>
            </w:pPr>
          </w:p>
          <w:p w:rsidR="00BB290E" w:rsidRPr="00D84870" w:rsidRDefault="00BB290E" w:rsidP="00BB290E">
            <w:pPr>
              <w:rPr>
                <w:rFonts w:ascii="Arial" w:hAnsi="Arial" w:cs="Arial"/>
                <w:b/>
              </w:rPr>
            </w:pPr>
          </w:p>
          <w:p w:rsidR="00BB290E" w:rsidRPr="00D84870" w:rsidRDefault="00BB290E" w:rsidP="00BB290E">
            <w:pP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Roll out data guidelines, laws, statutes and regulations within the organisation</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Develop detailed guides on how to appropriately </w:t>
            </w:r>
            <w:r w:rsidRPr="00D84870">
              <w:rPr>
                <w:rFonts w:ascii="Arial" w:hAnsi="Arial" w:cs="Arial"/>
                <w:noProof/>
                <w:sz w:val="22"/>
                <w:szCs w:val="22"/>
              </w:rPr>
              <w:lastRenderedPageBreak/>
              <w:t>handle data throughout its lifecycle</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Communicate internal standards for information life-cycle management to employees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Obtain necessary approvals when gathering, handling, processing, storing and using data</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Oversee transfer of data within the organisation</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Monitor compliance with data policies, workflows and rules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Investigate data breaches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Develop organisation practices for handling the lifecycle of data</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Develop internal standards to guide data capture and validation, access, usage, masking, </w:t>
            </w:r>
            <w:r w:rsidRPr="00D84870">
              <w:rPr>
                <w:rFonts w:ascii="Arial" w:hAnsi="Arial" w:cs="Arial"/>
                <w:noProof/>
                <w:sz w:val="22"/>
                <w:szCs w:val="22"/>
              </w:rPr>
              <w:lastRenderedPageBreak/>
              <w:t>storage, archival and retention</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Initiate process and programmes to mitigate business risk of poor data quality and practices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Clarify ethically questionable situations at various stages of the data or information life cycle</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Oversee transfer of data between organisations governed by the same privacy laws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Anticipate</w:t>
            </w:r>
            <w:r w:rsidRPr="00D84870">
              <w:rPr>
                <w:rFonts w:ascii="Arial" w:hAnsi="Arial" w:cs="Arial"/>
                <w:noProof/>
                <w:sz w:val="22"/>
                <w:szCs w:val="22"/>
              </w:rPr>
              <w:t xml:space="preserve"> legal implications of data handling processes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Resolve data breaches</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Establish enterprise-wide policies and key principles for data security and usage</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Establish policies to define ownership and accountabilities for the </w:t>
            </w:r>
            <w:r w:rsidRPr="00D84870">
              <w:rPr>
                <w:rFonts w:ascii="Arial" w:hAnsi="Arial" w:cs="Arial"/>
                <w:noProof/>
                <w:sz w:val="22"/>
                <w:szCs w:val="22"/>
              </w:rPr>
              <w:lastRenderedPageBreak/>
              <w:t>quality and security of critical data</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impact of various stages of the data lifecycle on business value</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Provide expert advice on data handling and management strategies in ambiguous or complex situations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Oversee transfer of data across different countries or regions governed by different data privacy laws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Facilitate industry consensus around technology and data ethics and regulations</w:t>
            </w:r>
          </w:p>
          <w:p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Chart direction and strategy</w:t>
            </w:r>
            <w:r w:rsidRPr="00D84870">
              <w:rPr>
                <w:rFonts w:ascii="Arial" w:hAnsi="Arial" w:cs="Arial"/>
                <w:noProof/>
                <w:sz w:val="22"/>
                <w:szCs w:val="22"/>
              </w:rPr>
              <w:t xml:space="preserve"> on ethical issues relating to information technology and data usage</w:t>
            </w:r>
          </w:p>
        </w:tc>
      </w:tr>
      <w:tr w:rsidR="00BB290E" w:rsidRPr="00D84870" w:rsidTr="00334BD2">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290E" w:rsidRPr="00D84870" w:rsidRDefault="00BB290E" w:rsidP="00BB290E">
            <w:pPr>
              <w:spacing w:before="120"/>
              <w:rPr>
                <w:rFonts w:ascii="Arial" w:hAnsi="Arial" w:cs="Arial"/>
                <w:b/>
              </w:rPr>
            </w:pPr>
            <w:r w:rsidRPr="00D84870">
              <w:rPr>
                <w:rFonts w:ascii="Arial" w:hAnsi="Arial" w:cs="Arial"/>
                <w:b/>
              </w:rPr>
              <w:lastRenderedPageBreak/>
              <w:t>Range of Application</w:t>
            </w:r>
          </w:p>
          <w:p w:rsidR="00BB290E" w:rsidRPr="00D84870" w:rsidRDefault="00BB290E" w:rsidP="00BB290E">
            <w:pPr>
              <w:spacing w:before="120"/>
              <w:rPr>
                <w:rFonts w:ascii="Arial" w:hAnsi="Arial" w:cs="Arial"/>
                <w:b/>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auto"/>
          </w:tcPr>
          <w:p w:rsidR="00BB290E" w:rsidRPr="00D84870" w:rsidRDefault="00334BD2" w:rsidP="00BB290E">
            <w:pPr>
              <w:spacing w:before="100" w:beforeAutospacing="1" w:after="24"/>
              <w:rPr>
                <w:rFonts w:ascii="Arial" w:hAnsi="Arial" w:cs="Arial"/>
              </w:rPr>
            </w:pPr>
            <w:r>
              <w:rPr>
                <w:rFonts w:ascii="Arial" w:hAnsi="Arial" w:cs="Arial"/>
                <w:color w:val="000000"/>
              </w:rPr>
              <w:t xml:space="preserve">For Data Protection-related programmes, please refer “Guide to Develop Training Courses for Data Protection Officer (DPO)”, Personal Data Protection Commission (PDPC), </w:t>
            </w:r>
            <w:hyperlink r:id="rId7" w:history="1">
              <w:r>
                <w:rPr>
                  <w:rStyle w:val="Hyperlink"/>
                  <w:rFonts w:ascii="Arial" w:hAnsi="Arial" w:cs="Arial"/>
                  <w:color w:val="000000"/>
                </w:rPr>
                <w:t>http://www.pdpc.gov.sg/dp-competency</w:t>
              </w:r>
            </w:hyperlink>
            <w:r>
              <w:rPr>
                <w:rFonts w:ascii="Arial" w:hAnsi="Arial" w:cs="Arial"/>
                <w:color w:val="000000"/>
                <w:u w:val="single"/>
              </w:rPr>
              <w:t xml:space="preserve"> </w:t>
            </w:r>
            <w:r>
              <w:rPr>
                <w:rFonts w:ascii="Arial" w:hAnsi="Arial" w:cs="Arial"/>
                <w:color w:val="000000"/>
              </w:rPr>
              <w:t>[March 2020]</w:t>
            </w:r>
            <w:bookmarkStart w:id="0" w:name="_GoBack"/>
            <w:bookmarkEnd w:id="0"/>
          </w:p>
        </w:tc>
      </w:tr>
    </w:tbl>
    <w:p w:rsidR="006173D7" w:rsidRDefault="006173D7"/>
    <w:sectPr w:rsidR="006173D7" w:rsidSect="00E46633">
      <w:headerReference w:type="default" r:id="rId8"/>
      <w:footerReference w:type="default" r:id="rId9"/>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63D" w:rsidRDefault="004A363D">
      <w:pPr>
        <w:spacing w:after="0" w:line="240" w:lineRule="auto"/>
      </w:pPr>
      <w:r>
        <w:separator/>
      </w:r>
    </w:p>
  </w:endnote>
  <w:endnote w:type="continuationSeparator" w:id="0">
    <w:p w:rsidR="004A363D" w:rsidRDefault="004A3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90E" w:rsidRDefault="00C52D87" w:rsidP="00BB290E">
    <w:pPr>
      <w:pStyle w:val="Footer"/>
    </w:pPr>
    <w:r>
      <w:t>©SkillsFuture Singapore and Infocomm Media Development Authority</w:t>
    </w:r>
  </w:p>
  <w:p w:rsidR="00AE7701" w:rsidRDefault="00BB290E" w:rsidP="00BB290E">
    <w:pPr>
      <w:pStyle w:val="Footer"/>
    </w:pPr>
    <w:r>
      <w:t xml:space="preserve">Effective Date: </w:t>
    </w:r>
    <w:r w:rsidR="0060209B">
      <w:t>January</w:t>
    </w:r>
    <w:r>
      <w:t xml:space="preserve"> 20</w:t>
    </w:r>
    <w:r w:rsidR="0060209B">
      <w:t>20, Version 2</w:t>
    </w:r>
    <w:r>
      <w:t>.1</w:t>
    </w:r>
    <w:r w:rsidR="00E46633">
      <w:tab/>
    </w:r>
    <w:r w:rsidR="00E46633">
      <w:tab/>
      <w:t xml:space="preserve">Page </w:t>
    </w:r>
    <w:r w:rsidR="00E46633">
      <w:fldChar w:fldCharType="begin"/>
    </w:r>
    <w:r w:rsidR="00E46633">
      <w:instrText xml:space="preserve"> PAGE   \* MERGEFORMAT </w:instrText>
    </w:r>
    <w:r w:rsidR="00E46633">
      <w:fldChar w:fldCharType="separate"/>
    </w:r>
    <w:r w:rsidR="00334BD2">
      <w:rPr>
        <w:noProof/>
      </w:rPr>
      <w:t>2</w:t>
    </w:r>
    <w:r w:rsidR="00E46633">
      <w:fldChar w:fldCharType="end"/>
    </w:r>
    <w:r w:rsidR="00E46633">
      <w:t xml:space="preserve"> of </w:t>
    </w:r>
    <w:r w:rsidR="004A363D">
      <w:fldChar w:fldCharType="begin"/>
    </w:r>
    <w:r w:rsidR="004A363D">
      <w:instrText xml:space="preserve"> NUMPAGES   \* MERGEFORMAT </w:instrText>
    </w:r>
    <w:r w:rsidR="004A363D">
      <w:fldChar w:fldCharType="separate"/>
    </w:r>
    <w:r w:rsidR="00334BD2">
      <w:rPr>
        <w:noProof/>
      </w:rPr>
      <w:t>2</w:t>
    </w:r>
    <w:r w:rsidR="004A363D">
      <w:rPr>
        <w:noProof/>
      </w:rPr>
      <w:fldChar w:fldCharType="end"/>
    </w:r>
  </w:p>
  <w:p w:rsidR="00AE7701" w:rsidRDefault="004A3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63D" w:rsidRDefault="004A363D">
      <w:pPr>
        <w:spacing w:after="0" w:line="240" w:lineRule="auto"/>
      </w:pPr>
      <w:r>
        <w:separator/>
      </w:r>
    </w:p>
  </w:footnote>
  <w:footnote w:type="continuationSeparator" w:id="0">
    <w:p w:rsidR="004A363D" w:rsidRDefault="004A3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90E" w:rsidRDefault="00C52D87" w:rsidP="00BB290E">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18AE1A7B" wp14:editId="6A3AB234">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E46633"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E46633"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4A3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633"/>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76166"/>
    <w:rsid w:val="00180348"/>
    <w:rsid w:val="00183DBF"/>
    <w:rsid w:val="00185726"/>
    <w:rsid w:val="00186940"/>
    <w:rsid w:val="001957FE"/>
    <w:rsid w:val="001A19AB"/>
    <w:rsid w:val="001B12F3"/>
    <w:rsid w:val="001D2565"/>
    <w:rsid w:val="001D4A38"/>
    <w:rsid w:val="001D55D9"/>
    <w:rsid w:val="001E1BE5"/>
    <w:rsid w:val="001E3386"/>
    <w:rsid w:val="001E59F4"/>
    <w:rsid w:val="001F5890"/>
    <w:rsid w:val="001F6F11"/>
    <w:rsid w:val="00202858"/>
    <w:rsid w:val="00203863"/>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5FA2"/>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4793"/>
    <w:rsid w:val="00316034"/>
    <w:rsid w:val="00316E49"/>
    <w:rsid w:val="00320C67"/>
    <w:rsid w:val="00324DDF"/>
    <w:rsid w:val="00327040"/>
    <w:rsid w:val="003278B8"/>
    <w:rsid w:val="00334BD2"/>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363D"/>
    <w:rsid w:val="004A4BD6"/>
    <w:rsid w:val="004A4F8E"/>
    <w:rsid w:val="004A62D8"/>
    <w:rsid w:val="004C14FB"/>
    <w:rsid w:val="004C1D25"/>
    <w:rsid w:val="004C1D50"/>
    <w:rsid w:val="004C4BB3"/>
    <w:rsid w:val="004C57FA"/>
    <w:rsid w:val="004C614A"/>
    <w:rsid w:val="004D06C9"/>
    <w:rsid w:val="004D53CA"/>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209B"/>
    <w:rsid w:val="0060723F"/>
    <w:rsid w:val="00607892"/>
    <w:rsid w:val="00613E72"/>
    <w:rsid w:val="00614AC5"/>
    <w:rsid w:val="006173D7"/>
    <w:rsid w:val="00617C3D"/>
    <w:rsid w:val="00625A45"/>
    <w:rsid w:val="0063166E"/>
    <w:rsid w:val="0063170E"/>
    <w:rsid w:val="00635018"/>
    <w:rsid w:val="00636D1A"/>
    <w:rsid w:val="00637802"/>
    <w:rsid w:val="00637AD1"/>
    <w:rsid w:val="006406CF"/>
    <w:rsid w:val="00642545"/>
    <w:rsid w:val="00642E3A"/>
    <w:rsid w:val="00653582"/>
    <w:rsid w:val="006538B8"/>
    <w:rsid w:val="006668C3"/>
    <w:rsid w:val="006719D8"/>
    <w:rsid w:val="00680BFA"/>
    <w:rsid w:val="0068629B"/>
    <w:rsid w:val="00690024"/>
    <w:rsid w:val="006938A0"/>
    <w:rsid w:val="006A44CE"/>
    <w:rsid w:val="006A4908"/>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3200"/>
    <w:rsid w:val="00854F14"/>
    <w:rsid w:val="0085625D"/>
    <w:rsid w:val="00856E1D"/>
    <w:rsid w:val="00870BB4"/>
    <w:rsid w:val="0087538E"/>
    <w:rsid w:val="008847E0"/>
    <w:rsid w:val="00885608"/>
    <w:rsid w:val="00893F8A"/>
    <w:rsid w:val="00894078"/>
    <w:rsid w:val="008A120D"/>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6632"/>
    <w:rsid w:val="009E73AE"/>
    <w:rsid w:val="009E7754"/>
    <w:rsid w:val="009F1EC5"/>
    <w:rsid w:val="009F754F"/>
    <w:rsid w:val="00A009AA"/>
    <w:rsid w:val="00A00BD0"/>
    <w:rsid w:val="00A016E0"/>
    <w:rsid w:val="00A25E40"/>
    <w:rsid w:val="00A312D0"/>
    <w:rsid w:val="00A40989"/>
    <w:rsid w:val="00A42BB2"/>
    <w:rsid w:val="00A45841"/>
    <w:rsid w:val="00A51299"/>
    <w:rsid w:val="00A52E94"/>
    <w:rsid w:val="00A5414D"/>
    <w:rsid w:val="00A65348"/>
    <w:rsid w:val="00A71CF2"/>
    <w:rsid w:val="00A71CFF"/>
    <w:rsid w:val="00A746BD"/>
    <w:rsid w:val="00A80C21"/>
    <w:rsid w:val="00A97699"/>
    <w:rsid w:val="00AA15BC"/>
    <w:rsid w:val="00AA5043"/>
    <w:rsid w:val="00AA7233"/>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290E"/>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2D87"/>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97590"/>
    <w:rsid w:val="00DA4415"/>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46633"/>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A4A38"/>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ADD3E7-BFF7-4BAE-9095-87D7CDEC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E46633"/>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E46633"/>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E46633"/>
    <w:rPr>
      <w:rFonts w:ascii="Calibri" w:hAnsi="Calibri" w:cs="Times New Roman"/>
      <w:sz w:val="20"/>
      <w:szCs w:val="20"/>
      <w:lang w:val="en-SG" w:eastAsia="zh-CN"/>
    </w:rPr>
  </w:style>
  <w:style w:type="paragraph" w:customStyle="1" w:styleId="Default">
    <w:name w:val="Default"/>
    <w:rsid w:val="00E46633"/>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E46633"/>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E46633"/>
    <w:rPr>
      <w:lang w:val="en-SG"/>
    </w:rPr>
  </w:style>
  <w:style w:type="paragraph" w:styleId="Footer">
    <w:name w:val="footer"/>
    <w:basedOn w:val="Normal"/>
    <w:link w:val="FooterChar"/>
    <w:uiPriority w:val="99"/>
    <w:unhideWhenUsed/>
    <w:rsid w:val="00E46633"/>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E46633"/>
    <w:rPr>
      <w:lang w:val="en-SG"/>
    </w:rPr>
  </w:style>
  <w:style w:type="character" w:styleId="Hyperlink">
    <w:name w:val="Hyperlink"/>
    <w:basedOn w:val="DefaultParagraphFont"/>
    <w:uiPriority w:val="99"/>
    <w:semiHidden/>
    <w:unhideWhenUsed/>
    <w:rsid w:val="00334BD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dpc.gov.sg/dp-compete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4</cp:revision>
  <dcterms:created xsi:type="dcterms:W3CDTF">2020-01-21T15:39:00Z</dcterms:created>
  <dcterms:modified xsi:type="dcterms:W3CDTF">2020-03-03T07:11:00Z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5eb8fec8dfbb49a59670af3377bab413</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SSGRKT@soe.sgnet.gov.sg</vt:lpwstr>
  </property>
  <property fmtid="{D5CDD505-2E9C-101B-9397-08002B2CF9AE}" pid="7" name="MSIP_Label_3f9331f7-95a2-472a-92bc-d73219eb516b_SetDate">
    <vt:lpwstr>2020-02-28T05:33:22.2889491Z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1c764631-f617-425c-95b1-e647fbc41a0e</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SSGRKT@soe.sgnet.gov.sg</vt:lpwstr>
  </property>
  <property fmtid="{D5CDD505-2E9C-101B-9397-08002B2CF9AE}" pid="15" name="MSIP_Label_4f288355-fb4c-44cd-b9ca-40cfc2aee5f8_SetDate">
    <vt:lpwstr>2020-02-28T05:33:22.2889491Z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1c764631-f617-425c-95b1-e647fbc41a0e</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