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科研文献阅读训练需要兼顾内容理解、问题识别和理由解释，使学习者能够结合论文信息审查证据与推断。新手需要先理解作者研究了什么、如何研究及结果显示了什么，再检查结论是否得到支持。因此，Agent既要帮助学生理解论文，也要引导其说明批评的依据及其对结论的影响；效果评价则需要观察实际阅读产出，并将批判性思维倾向与任务表现分别考察。</w:t>
            </w:r>
          </w:p>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将主张、证据和推理作为分析方向，可以让阅读指导与具体材料相联系；讨论后的修订则为学习者完善判断提供了机会。本研究将追问嵌入真实阅读过程，使学生围绕自己的判断展开讨论并修正理由，同时通过独立阅读任务考察训练后的表现，将对话中的即时改善与个人学习收获区分开来。</w:t>
            </w:r>
          </w:p>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这些评价方式来看，自主发现问题与说明问题为何成立需要分别考察。模拟研究及配套评析可用于确定材料中的评价参照，开放式审稿任务可用于观察自主发现，论证评分则可帮助判断理由与证据的联系。在此基础上，本研究采用独立书面评价任务，将缺陷识别与解释质量分别考察，并辅以内容概括，以了解参与者是否准确理解了所评价的论文。</w:t>
            </w:r>
          </w:p>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仅区分是否使用AI，还不足以说明学习者在互动中是否主动分析了依据、生成了理由。因此，实验在共同阅读任务下设置通用Agent、苏格拉底式Agent和无AI条件，通过独立任务表现比较不同支持方式的效果，并结合对话记录了解学生实际进行了哪些思考活动。</w:t>
            </w:r>
          </w:p>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更轻松地获取信息或更快地完成当前任务，并不必然意味着学生形成了更充分的理解与论证能力。要判断AI工具的学习效果，需要考察撤去支持后的独立表现，并结合互动过程了解支持方式如何被使用。因此，本研究统一两个AI组的模型与信息条件，将教学互动策略作为主要操纵，在撤去AI后评价独立阅读表现，并以对话过程记录补充说明学生如何使用这些支持。</w:t>
            </w:r>
          </w:p>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论文阅读系统已将主动表达与反馈纳入阅读活动，并通过撤去工具后的产出检验训练效果。本研究在这些设计的基础上，保留围绕论文具体内容展开讨论及反馈后修订的机会，将任务扩展至完整研究的方法与证据审查，并进一步考察根据学生当前理由持续追问，能否改善独立缺陷识别及解释质量。</w:t>
            </w:r>
          </w:p>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苏格拉底式Agent的追问需要承接学生已经表达的判断和理由，并与具体任务及当前困难相适应。具体而言，本研究围绕判断依据、推断理由和替代解释组织对话，根据当前困难调整提示，并利用跨轮记录承接已有讨论。在效果验证上，采用相同底层模型下的不同互动策略比较，通过独立文献评价任务考察学习收获，避免仅用使用感受或对话表现代替训练效果。</w:t>
            </w:r>
          </w:p>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表1中的系统比较进一步明确了实现与验证的重点：Agent需要根据当前判断选择追问对象、生成反馈，并检查回复是否执行了相应策略。在验证上，研究二通过可用性测试了解新手能否理解和使用这些支持，研究三再通过独立测验检验训练效果。这样的安排使产品是否可用、追问是否得到执行，以及学生是否学会独立评价，分别获得对应的证据。</w:t>
            </w:r>
          </w:p>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p w14:paraId="3EE1912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运用自我解释支持论文评价，关键是让学生自己说明研究做法、方法学原则与结论之间的联系。例如，学生说“分组不合理”后，Agent可继续询问原文依据、这一做法如何影响结论，以及是否存在其他解释，使学生逐步说明自行选择参加干预可能带来的原有组间差异。在这一过程中，选择、组织和整合分别落实为证据定位、关系解释及方法学知识应用，并通过后续反馈支持判断修正（见表2）；过程分析关注学生生成了怎样的联系及理由。</w:t>
            </w:r>
          </w:p>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按照最近发展区的观点，帮助程度应随学生当前能够完成的活动而调整。已有判断但理由不足时，可通过追问保留自行推理的空间；缺少必要概念时，先提供讲解；已经能够定位依据并解释关系时，则减少提示。为适应这些差异，本研究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论文阅读中，Toulmin模型可用于审查作者的研究结论，也可用于检验学生的评价判断。Agent需要先确认讨论对象，再检查其依据、推理和适用边界（见表3）。例如，对“样本太小，所以研究无效”的评价，可先追问哪一种推断受到影响，再讨论估计不确定性与结论强度之间的关系；已有充分理由但结论过强时，则追问限定条件。这些论证成分为追问内容和策略选择提供了参照。Agent可将生成性学习与自我解释所要求的主动加工落实到具体论证关系，再依据学生当前困难调整帮助程度。</w:t>
            </w:r>
          </w:p>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围绕这些问题，本研究依次开展设计依据与需求分析、Agent开发与可用性测试及三组效果实验。三个研究分别回答设计需要什么支持、支持怎样实现，以及是否产生训练收益。具体研究问题与预期如下。</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研究一：设计依据与需求分析</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RQ1a：科研新手在理解论文、判断研究方法与结果能否支持结论时，主要遇到哪些困难？他们希望在什么情境下获得怎样的帮助？</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RQ1b：生成性学习与自我解释、最近发展区与自适应支架、Toulmin论证模型，如何结合已有工具及科研新手的阅读经验，转化为苏格拉底式文献阅读Agent的设计要求？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的设计预期是，科研新手的困难不仅涉及术语和方法的理解，还涉及寻找判断依据、建立方法与结论之间的推理联系，以及确认批评是否成立。因此，Agent需要根据学生当前困难，在内容解释、依据追问和适量提示之间调整支持。文献梳理、同类工具比较与访谈将共同用于核对并完善这一设计预期。</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研究二：Agent开发与可用性测试</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RQ2a：如何将研究一形成的设计要求实现为能够承接不同阅读疑问、连续追问依据与理由，并根据学生回答调整帮助程度的Agent？</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RQ2b：科研新手能否顺利使用该Agent完成阅读与讨论？其追问是否清楚、贴合当前问题，帮助程度及交互节奏是否适当，哪些地方需要改进？</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的设计预期是，基于学生当前判断与回答调整追问和提示，能够为学生说明依据、补充推理和修正判断提供支持；清楚的讨论入口与可调整的帮助方式能够使这种支持融入阅读过程。通过两轮可用性测试，结合任务完成情况、操作问题、对话记录、SUS及回顾访谈，检查设计的实际实现与使用体验，并据此迭代。</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研究三：训练效果与个体差异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RQ3a：苏格拉底式Agent辅助阅读能否提升科研新手在撤去AI后的文献批判性评价表现？</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H3a：控制对应前测及材料顺序后，苏格拉底式Agent组的后测缺陷识别击中率高于通用Agent组。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H3b：控制对应前测及材料顺序后，苏格拉底式Agent组的后测缺陷识别击中率高于无AI组。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H3c：控制对应前测及材料顺序后，苏格拉底式Agent组的后测平均解释质量高于通用Agent组。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H3d：控制对应前测及材料顺序后，苏格拉底式Agent组的后测平均解释质量高于无AI组。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RQ3b：不同辅助方式是否影响科研新手对论文内容的理解表现？本研究控制前测概括得分与材料顺序，比较三组后测论文内容概括表现，不预设组间差异方向。</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RQ3c：初始批判性思维倾向是否调节苏格拉底式Agent相对通用Agent的训练效果？该问题作为探索性分析，提出以下预期。</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H3e：初始批判性思维倾向越低，苏格拉底式Agent相对通用Agent在后测缺陷识别击中率上的优势越大。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H3f：初始批判性思维倾向越低，苏格拉底式Agent相对通用Agent在后测平均解释质量上的优势越大。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三个研究的问题与研究安排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关注内容</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研究方法与判断依据</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研究一：RQ1a—RQ1b</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阅读与评价困难、支持需求及理论向设计的转化</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文献梳理、同类工具比较和访谈，形成设计要求</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研究二：RQ2a—RQ2b</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追问与支架的实现、可用性及需要改进的环节</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开发与两轮可用性测试；操作、对话、SUS及访谈资料</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研究三：RQ3a</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检验H3a—H3d；比较苏格拉底式Agent与两个对照条件</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研究三：RQ3b</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控制前测与材料顺序，比较三组后测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研究三：RQ3c</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初始批判性思维倾向的调节作用</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探索性检验H3e—H3f，分析组别与倾向的交互作用</w:t>
                  </w:r>
                </w:p>
              </w:tc>
            </w:tr>
          </w:tbl>
          <w:p w14:paraId="0B1131C4">
            <w:pPr>
              <w:spacing w:before="0" w:after="40" w:line="40" w:lineRule="exact"/>
            </w:pPr>
          </w:p>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三个研究的内容与阶段产出</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主要研究内容</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采用的方法</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阶段产出及用途</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梳理支持科研新手评价论文的理论与系统，了解真实阅读中的困难和支持需要</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形成设计依据、典型困难和功能要求，指导Agent规则与界面设计</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研究二：产品开发与可用性测试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将追问内容、帮助程度和跨轮讨论规则转化为可运行系统</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原型与Agent开发、两轮各5—6人的可用性测试</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形成正式实验可用的系统、交互规范及迭代记录</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研究三：效果实验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检验三种辅助方式对独立缺陷识别、解释质量和概括表现的影响</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4人预实验、三组随机前后测实验、盲评及统计分析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形成独立表现证据、过程描述及产品设计建议</w:t>
                  </w:r>
                </w:p>
              </w:tc>
            </w:tr>
          </w:tbl>
          <w:p w14:paraId="4C9FE179">
            <w:pPr>
              <w:spacing w:before="0" w:after="40" w:line="40" w:lineRule="exact"/>
            </w:pPr>
          </w:p>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6。</w:t>
            </w:r>
          </w:p>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