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B71341">
      <w:pPr>
        <w:jc w:val="center"/>
        <w:rPr>
          <w:rFonts w:hint="eastAsia"/>
          <w:b/>
          <w:sz w:val="52"/>
        </w:rPr>
      </w:pPr>
    </w:p>
    <w:p w14:paraId="6BB57452">
      <w:pPr>
        <w:jc w:val="center"/>
        <w:rPr>
          <w:rFonts w:hint="eastAsia"/>
          <w:b/>
          <w:sz w:val="72"/>
        </w:rPr>
      </w:pPr>
      <w:r>
        <w:rPr>
          <w:rFonts w:hint="eastAsia"/>
          <w:b/>
          <w:sz w:val="72"/>
        </w:rPr>
        <w:t>北 京 师 范 大 学</w:t>
      </w:r>
    </w:p>
    <w:p w14:paraId="1703E628">
      <w:pPr>
        <w:jc w:val="center"/>
        <w:rPr>
          <w:rFonts w:hint="eastAsia"/>
          <w:b/>
          <w:sz w:val="48"/>
          <w:szCs w:val="48"/>
        </w:rPr>
      </w:pPr>
      <w:r>
        <w:rPr>
          <w:rFonts w:hint="eastAsia"/>
          <w:b/>
          <w:sz w:val="48"/>
          <w:szCs w:val="48"/>
        </w:rPr>
        <w:t>硕士研究生学位论文开题报告</w:t>
      </w:r>
    </w:p>
    <w:p w14:paraId="7D0CEA9D">
      <w:pPr>
        <w:rPr>
          <w:rFonts w:hint="eastAsia"/>
          <w:b/>
          <w:sz w:val="28"/>
          <w:szCs w:val="48"/>
        </w:rPr>
      </w:pPr>
    </w:p>
    <w:p w14:paraId="2B0AC574">
      <w:pPr>
        <w:rPr>
          <w:rFonts w:hint="eastAsia"/>
          <w:sz w:val="28"/>
        </w:rPr>
      </w:pPr>
    </w:p>
    <w:p w14:paraId="0CAD0147">
      <w:pPr>
        <w:rPr>
          <w:rFonts w:hint="eastAsia"/>
          <w:sz w:val="28"/>
          <w:u w:val="single"/>
        </w:rPr>
      </w:pPr>
      <w:r>
        <w:rPr>
          <w:rFonts w:ascii="Times New Roman" w:hAnsi="Times New Roman" w:eastAsia="宋体"/>
          <w:b w:val="0"/>
          <w:i w:val="0"/>
          <w:color w:val="000000"/>
          <w:sz w:val="28"/>
        </w:rPr>
        <w:t>研 究 生 姓 名  __________________</w:t>
      </w:r>
    </w:p>
    <w:p w14:paraId="159B98EE">
      <w:pPr>
        <w:rPr>
          <w:sz w:val="28"/>
          <w:u w:val="single"/>
        </w:rPr>
      </w:pPr>
      <w:r>
        <w:rPr>
          <w:rFonts w:ascii="Times New Roman" w:hAnsi="Times New Roman" w:eastAsia="宋体"/>
          <w:b w:val="0"/>
          <w:i w:val="0"/>
          <w:color w:val="000000"/>
          <w:sz w:val="28"/>
        </w:rPr>
        <w:t>学        号  __________________</w:t>
      </w:r>
    </w:p>
    <w:p w14:paraId="76A60B1E">
      <w:pPr>
        <w:rPr>
          <w:rFonts w:hint="eastAsia"/>
          <w:sz w:val="28"/>
          <w:u w:val="single"/>
        </w:rPr>
      </w:pPr>
      <w:r>
        <w:rPr>
          <w:rFonts w:ascii="Times New Roman" w:hAnsi="Times New Roman" w:eastAsia="宋体"/>
          <w:b w:val="0"/>
          <w:i w:val="0"/>
          <w:color w:val="000000"/>
          <w:sz w:val="28"/>
        </w:rPr>
        <w:t>导师姓名、职称  __________________</w:t>
      </w:r>
    </w:p>
    <w:p w14:paraId="1516A92F">
      <w:pPr>
        <w:rPr>
          <w:rFonts w:hint="eastAsia"/>
          <w:sz w:val="28"/>
          <w:u w:val="single"/>
        </w:rPr>
      </w:pPr>
      <w:r>
        <w:rPr>
          <w:rFonts w:hint="eastAsia"/>
          <w:sz w:val="28"/>
        </w:rPr>
        <w:t xml:space="preserve">           培  养  单  位</w:t>
      </w:r>
      <w:r>
        <w:rPr>
          <w:rFonts w:hint="eastAsia"/>
          <w:sz w:val="28"/>
          <w:u w:val="single"/>
        </w:rPr>
        <w:t xml:space="preserve">   心理学部      </w:t>
      </w:r>
    </w:p>
    <w:p w14:paraId="47933E02">
      <w:pPr>
        <w:rPr>
          <w:rFonts w:hint="eastAsia"/>
          <w:sz w:val="28"/>
          <w:u w:val="single"/>
        </w:rPr>
      </w:pPr>
      <w:r>
        <w:rPr>
          <w:rFonts w:hint="eastAsia"/>
          <w:sz w:val="28"/>
        </w:rPr>
        <w:t xml:space="preserve">           专          业</w:t>
      </w:r>
      <w:r>
        <w:rPr>
          <w:rFonts w:hint="eastAsia"/>
          <w:sz w:val="28"/>
          <w:u w:val="single"/>
        </w:rPr>
        <w:t xml:space="preserve">   应用心理     </w:t>
      </w:r>
    </w:p>
    <w:p w14:paraId="25A1EBAB">
      <w:pPr>
        <w:spacing w:line="336" w:lineRule="auto"/>
        <w:rPr>
          <w:rFonts w:hint="eastAsia"/>
          <w:sz w:val="28"/>
          <w:u w:val="single"/>
        </w:rPr>
      </w:pPr>
      <w:r>
        <w:rPr>
          <w:rFonts w:ascii="Times New Roman" w:hAnsi="Times New Roman" w:eastAsia="宋体"/>
          <w:b w:val="0"/>
          <w:i w:val="0"/>
          <w:color w:val="000000"/>
          <w:sz w:val="28"/>
        </w:rPr>
        <w:t>研 究 方 向  用户体验（UX）</w:t>
      </w:r>
    </w:p>
    <w:p w14:paraId="7FE4F8AE">
      <w:pPr>
        <w:rPr>
          <w:rFonts w:hint="eastAsia"/>
          <w:sz w:val="28"/>
          <w:u w:val="single"/>
        </w:rPr>
      </w:pPr>
      <w:r>
        <w:rPr>
          <w:rFonts w:hint="eastAsia"/>
          <w:sz w:val="28"/>
        </w:rPr>
        <w:t xml:space="preserve">           入  学  时  间</w:t>
      </w:r>
      <w:r>
        <w:rPr>
          <w:rFonts w:hint="eastAsia"/>
          <w:sz w:val="28"/>
          <w:u w:val="single"/>
        </w:rPr>
        <w:t xml:space="preserve">   20   年   月  </w:t>
      </w:r>
    </w:p>
    <w:p w14:paraId="7C00BFE9">
      <w:pPr>
        <w:rPr>
          <w:rFonts w:hint="eastAsia"/>
          <w:sz w:val="28"/>
          <w:u w:val="single"/>
        </w:rPr>
      </w:pPr>
    </w:p>
    <w:p w14:paraId="7DCD624B">
      <w:pPr>
        <w:rPr>
          <w:rFonts w:hint="eastAsia"/>
          <w:sz w:val="28"/>
        </w:rPr>
      </w:pPr>
    </w:p>
    <w:p w14:paraId="1D467483">
      <w:pPr>
        <w:spacing w:line="336" w:lineRule="auto"/>
        <w:rPr>
          <w:rFonts w:hint="eastAsia"/>
          <w:sz w:val="28"/>
          <w:u w:val="single"/>
        </w:rPr>
      </w:pPr>
      <w:r>
        <w:rPr>
          <w:rFonts w:ascii="Times New Roman" w:hAnsi="Times New Roman" w:eastAsia="宋体"/>
          <w:b w:val="0"/>
          <w:i w:val="0"/>
          <w:color w:val="000000"/>
          <w:sz w:val="28"/>
        </w:rPr>
        <w:t>论 文 题 目  苏格拉底式智能体辅助阅读对科研新手</w:t>
      </w:r>
    </w:p>
    <w:p w14:paraId="01D32BAB">
      <w:pPr>
        <w:spacing w:line="336" w:lineRule="auto"/>
        <w:rPr>
          <w:rFonts w:hint="eastAsia"/>
          <w:sz w:val="28"/>
          <w:u w:val="single"/>
        </w:rPr>
      </w:pPr>
      <w:r>
        <w:rPr>
          <w:rFonts w:ascii="Times New Roman" w:hAnsi="Times New Roman" w:eastAsia="宋体"/>
          <w:b w:val="0"/>
          <w:i w:val="0"/>
          <w:color w:val="000000"/>
          <w:sz w:val="28"/>
        </w:rPr>
        <w:t xml:space="preserve">                    文献批判性评价表现的影响</w:t>
      </w:r>
    </w:p>
    <w:p w14:paraId="327E9FE8">
      <w:pPr>
        <w:keepNext/>
        <w:pageBreakBefore/>
        <w:spacing w:before="0" w:after="160"/>
        <w:rPr>
          <w:rFonts w:hint="eastAsia"/>
          <w:bCs/>
          <w:sz w:val="28"/>
        </w:rPr>
      </w:pPr>
      <w:r>
        <w:rPr>
          <w:rFonts w:hint="eastAsia" w:ascii="Times New Roman" w:hAnsi="Times New Roman" w:eastAsia="宋体"/>
          <w:b/>
          <w:bCs/>
          <w:i w:val="0"/>
          <w:color w:val="000000"/>
          <w:sz w:val="28"/>
        </w:rPr>
        <w:t>一、立论依据</w:t>
      </w:r>
    </w:p>
    <w:tbl>
      <w:tblPr>
        <w:tblStyle w:val="7"/>
        <w:tblW w:w="10440" w:type="dxa"/>
        <w:jc w:val="center"/>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108" w:type="dxa"/>
          <w:bottom w:w="0" w:type="dxa"/>
          <w:right w:w="108" w:type="dxa"/>
        </w:tblCellMar>
      </w:tblPr>
      <w:tblGrid>
        <w:gridCol w:w="10440"/>
      </w:tblGrid>
      <w:tr w14:paraId="1BD17699">
        <w:trPr>
          <w:jc w:val="center"/>
        </w:trPr>
        <w:tc>
          <w:tcPr>
            <w:tcW w:w="10440" w:type="dxa"/>
            <w:tcMar>
              <w:top w:w="0" w:type="dxa"/>
              <w:left w:w="160" w:type="dxa"/>
              <w:bottom w:w="0" w:type="dxa"/>
              <w:right w:w="160" w:type="dxa"/>
            </w:tcMar>
            <w:vAlign w:val="top"/>
          </w:tcPr>
          <w:p w14:paraId="1010FA6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（选题的研究意义、国内外研究现状分析）</w:t>
            </w:r>
          </w:p>
        </w:tc>
      </w:tr>
      <w:tr w14:paraId="69C6AA21">
        <w:trPr>
          <w:jc w:val="center"/>
        </w:trPr>
        <w:tc>
          <w:tcPr>
            <w:tcW w:w="10440" w:type="dxa"/>
            <w:tcMar>
              <w:top w:w="0" w:type="dxa"/>
              <w:left w:w="160" w:type="dxa"/>
              <w:bottom w:w="0" w:type="dxa"/>
              <w:right w:w="160" w:type="dxa"/>
            </w:tcMar>
            <w:vAlign w:val="top"/>
          </w:tcPr>
          <w:p w14:paraId="24D087C4">
            <w:pPr>
              <w:pStyle w:val="19"/>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1．选题的研究意义</w:t>
            </w:r>
          </w:p>
          <w:p w14:paraId="7DCA312D">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1.1 研究背景与问题提出</w:t>
            </w:r>
          </w:p>
          <w:p w14:paraId="50C528A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生成式人工智能（AI）的发展为科研中的文献查找、阅读与分析提供了新的支持。传统文献工作主要依靠研究者通过数据库和搜索引擎检索资料，逐篇阅读、记录笔记并整合观点。如今，AI科研工具已开始帮助用户发现文献、提取信息、比较论文和组织研究主题，使部分原本需要人工完成的工作能够在人机协作中开展（Kang et al., 2023）。</w:t>
            </w:r>
          </w:p>
        </w:tc>
      </w:tr>
      <w:tr w14:paraId="72C4A733">
        <w:trPr>
          <w:jc w:val="center"/>
        </w:trPr>
        <w:tc>
          <w:tcPr>
            <w:tcW w:w="10440" w:type="dxa"/>
            <w:tcMar>
              <w:top w:w="0" w:type="dxa"/>
              <w:left w:w="160" w:type="dxa"/>
              <w:bottom w:w="0" w:type="dxa"/>
              <w:right w:w="160" w:type="dxa"/>
            </w:tcMar>
            <w:vAlign w:val="top"/>
          </w:tcPr>
          <w:p w14:paraId="745D3E2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对于科研实践经验有限的新手，即使能够借助AI理解论文内容，也未必能够独立判断研究设计是否合理、结果是否足以支持结论。他们需要在阅读中学习检查研究方法、证据与结论之间的联系，并形成自己的判断。Meltzoff和Cooper（2018）强调，研究评价需要审查样本、设计、测量、分析和解释等具体环节，识别问题并说明理由。本研究所关注的文献批判性评价，是在理解论文内容的基础上，判断研究方法与结果能否支持作者的结论，并说明判断的依据。这既关系到新手如何使用已有研究，也关系到他们后续如何设计和解释自己的研究。已有研究开始探索AI和交互工具对这一学习过程的支持。例如，Yuan等（2023）发现，接受CriTrainer训练的学生，相比接受一般阅读指导的学生，能够在撤去工具后对新论文提出质量更高的批判性问题；Fang等（2026）发现，在论文阅读中加入AI观点交流，相比无AI阅读能够改善参与者的批判性思维得分。</w:t>
            </w:r>
          </w:p>
        </w:tc>
      </w:tr>
      <w:tr w14:paraId="6E951E78">
        <w:trPr>
          <w:jc w:val="center"/>
        </w:trPr>
        <w:tc>
          <w:tcPr>
            <w:tcW w:w="10440" w:type="dxa"/>
            <w:tcMar>
              <w:top w:w="0" w:type="dxa"/>
              <w:left w:w="160" w:type="dxa"/>
              <w:bottom w:w="0" w:type="dxa"/>
              <w:right w:w="160" w:type="dxa"/>
            </w:tcMar>
            <w:vAlign w:val="top"/>
          </w:tcPr>
          <w:p w14:paraId="66C46C0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与此同时，AI使用中的认知卸载及其学习后果也引起了广泛讨论。Gerlich（2025）发现，较频繁的AI工具使用与更多认知卸载及较低的批判性思维得分相关。Tian和Zhang（2025）对大学生的调查也发现，较高的AI依赖与较低的批判性思维水平相关。在学习情境中，Bastani等（2025）的随机实验发现，普通GPT辅助提高了高中生的数学练习表现，但撤去工具后的独立考试表现低于未使用AI的对照组，而面向学习的引导式设计缓解了这一负面效应。这些研究提示，工具支持下的表现改善与用户自身的学习收获需要加以区分，AI如何参与学习过程也值得进一步考察。</w:t>
            </w:r>
          </w:p>
        </w:tc>
      </w:tr>
      <w:tr w14:paraId="7E4CED07">
        <w:trPr>
          <w:jc w:val="center"/>
        </w:trPr>
        <w:tc>
          <w:tcPr>
            <w:tcW w:w="10440" w:type="dxa"/>
            <w:tcMar>
              <w:top w:w="0" w:type="dxa"/>
              <w:left w:w="160" w:type="dxa"/>
              <w:bottom w:w="0" w:type="dxa"/>
              <w:right w:w="160" w:type="dxa"/>
            </w:tcMar>
            <w:vAlign w:val="top"/>
          </w:tcPr>
          <w:p w14:paraId="6E12F6F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围绕AI如何引导学习者思考，已有研究将苏格拉底式追问融入对话Agent，要求学生澄清观点、说明理由并检验自己的判断。Xi等（2026）在研究方法课程中发现，相比非苏格拉底式Agent，苏格拉底式Agent支持下的小组研究方案质量更高，学生的反思性思维问卷得分也更高。Namaziandost和Teng（2026）在英语学习中比较苏格拉底式AI、通用AI与无AI三种条件，发现苏格拉底式AI组在批判性思维和论证技能的自评量表上提升更大。这些研究为采用追问支持学生推理提供了依据，但其评价主要围绕合作完成的研究方案或学习者的自报表现；前述论文阅读研究则侧重引言中的概括与提问，或AI观点交流的作用。对于需要检查整篇论文的研究方法、结果与结论依据的科研新手，苏格拉底式追问相较于通用AI帮助能否带来独立评价表现的改善，仍需直接检验。因此，本研究关注：苏格拉底式追问能否帮助科研新手在撤去AI后，更准确地识别研究缺陷，并解释这些缺陷为什么影响结论？</w:t>
            </w:r>
          </w:p>
        </w:tc>
      </w:tr>
      <w:tr w14:paraId="6A212D97">
        <w:trPr>
          <w:jc w:val="center"/>
        </w:trPr>
        <w:tc>
          <w:tcPr>
            <w:tcW w:w="10440" w:type="dxa"/>
            <w:tcMar>
              <w:top w:w="0" w:type="dxa"/>
              <w:left w:w="160" w:type="dxa"/>
              <w:bottom w:w="0" w:type="dxa"/>
              <w:right w:w="160" w:type="dxa"/>
            </w:tcMar>
            <w:vAlign w:val="top"/>
          </w:tcPr>
          <w:p w14:paraId="71A31BD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生成性学习为这种追问提供了学习理论依据。学习者需要主动组织材料，并将其与已有知识联系起来，形成自己的理解；自我解释是促进这一过程的重要学习活动，涉及生成推论、补充材料中未明示的联系及修正原有理解（Chi, 2000; Fiorella &amp; Mayer, 2016）。在论文评价中，追问“这一研究做法为什么影响结论”，就是引导学生联系原文信息与方法学知识，说明自己的判断如何成立。为帮助学生完成这些推理，本研究借鉴最近发展区的观点，根据其当前表现调整提示和讲解的程度，并在能够自主推进时减少支持（Vygotsky, 1978）。同时，Toulmin（2003）论证模型为追问内容提供框架，引导Agent检查主张、证据、连接二者的理由，以及判断成立的条件。由此，Agent通过针对性的追问与适度支持，促使学生自己建立证据与判断之间的联系，为提高缺陷识别与解释质量提供学习机会。</w:t>
            </w:r>
          </w:p>
        </w:tc>
      </w:tr>
      <w:tr w14:paraId="59DDF622">
        <w:trPr>
          <w:jc w:val="center"/>
        </w:trPr>
        <w:tc>
          <w:tcPr>
            <w:tcW w:w="10440" w:type="dxa"/>
            <w:tcMar>
              <w:top w:w="0" w:type="dxa"/>
              <w:left w:w="160" w:type="dxa"/>
              <w:bottom w:w="0" w:type="dxa"/>
              <w:right w:w="160" w:type="dxa"/>
            </w:tcMar>
            <w:vAlign w:val="top"/>
          </w:tcPr>
          <w:p w14:paraId="62497F3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基于上述研究与理论依据，本研究拟设计面向科研新手的苏格拉底式文献阅读Agent，围绕学生的疑问与判断追问证据、理由和结论边界，并根据其困难提供适度支持。在基础AI能力一致的条件下，将其与通用Agent辅助阅读进行比较，同时设置无AI独立阅读组，考察训练后撤去工具时的缺陷识别与解释质量。研究将检验持续追问相较于通用AI帮助是否带来额外的学习收益，为理解AI支持方式与科研新手独立评价表现的关系提供证据。研究成果将为AI文献阅读工具提供设计依据，从而帮助科研新手提高批判性论文阅读表现。</w:t>
            </w:r>
          </w:p>
        </w:tc>
      </w:tr>
      <w:tr w14:paraId="4D8DDA13">
        <w:trPr>
          <w:jc w:val="center"/>
        </w:trPr>
        <w:tc>
          <w:tcPr>
            <w:tcW w:w="10440" w:type="dxa"/>
            <w:tcMar>
              <w:top w:w="0" w:type="dxa"/>
              <w:left w:w="160" w:type="dxa"/>
              <w:bottom w:w="0" w:type="dxa"/>
              <w:right w:w="160" w:type="dxa"/>
            </w:tcMar>
            <w:vAlign w:val="top"/>
          </w:tcPr>
          <w:p w14:paraId="4BB2C3C2">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1.2 理论意义</w:t>
            </w:r>
          </w:p>
          <w:p w14:paraId="5843767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将AI辅助学习中关于认知卸载与独立学习的讨论推进到科研论文评价情境。已有研究揭示了AI帮助下的任务表现与独立表现可能存在差异，科研阅读则进一步要求学习者结合研究内容与方法学知识，判断证据能支持何种结论。本研究通过比较三种阅读支持方式，并在撤去工具后评价学生的缺陷识别与解释，为理解AI支持方式与科研新手独立评价表现之间的关系提供实验证据。区分“能够指出问题”和“能够说明问题为何影响结论”，也有助于更具体地考察AI辅助阅读带来的学习收获。</w:t>
            </w:r>
          </w:p>
        </w:tc>
      </w:tr>
      <w:tr w14:paraId="3E2C9454">
        <w:trPr>
          <w:jc w:val="center"/>
        </w:trPr>
        <w:tc>
          <w:tcPr>
            <w:tcW w:w="10440" w:type="dxa"/>
            <w:tcMar>
              <w:top w:w="0" w:type="dxa"/>
              <w:left w:w="160" w:type="dxa"/>
              <w:bottom w:w="0" w:type="dxa"/>
              <w:right w:w="160" w:type="dxa"/>
            </w:tcMar>
            <w:vAlign w:val="top"/>
          </w:tcPr>
          <w:p w14:paraId="3AC8D8F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本研究还将生成性学习与自我解释的理论要求转化为科研阅读中的互动设计。生成性学习强调学习者主动组织信息并与已有知识建立联系，自我解释则要求学习者生成推论、说明关系并修正理解（Chi, 2000; Fiorella &amp; Mayer, 2016）。在论文评价中，这体现为学生主动联系原文中的方法与结果、相关方法学原则以及作者的结论。研究据此设计追问与提示，将Toulmin框架中的主张、证据和论证依据用于组织追问内容，考察这种理论指导的支持能否改善独立评价表现。对话中的理由生成与判断修正记录，可进一步帮助理解学生如何参与这一学习过程。</w:t>
            </w:r>
          </w:p>
        </w:tc>
      </w:tr>
      <w:tr w14:paraId="7120FE3D">
        <w:trPr>
          <w:jc w:val="center"/>
        </w:trPr>
        <w:tc>
          <w:tcPr>
            <w:tcW w:w="10440" w:type="dxa"/>
            <w:tcMar>
              <w:top w:w="0" w:type="dxa"/>
              <w:left w:w="160" w:type="dxa"/>
              <w:bottom w:w="0" w:type="dxa"/>
              <w:right w:w="160" w:type="dxa"/>
            </w:tcMar>
            <w:vAlign w:val="top"/>
          </w:tcPr>
          <w:p w14:paraId="556480D6">
            <w:pPr>
              <w:pStyle w:val="20"/>
              <w:keepNext w:val="0"/>
              <w:keepLines w:val="0"/>
              <w:widowControl/>
              <w:snapToGrid w:val="0"/>
              <w:spacing w:before="160" w:after="100" w:line="360" w:lineRule="exact"/>
              <w:ind w:left="0" w:right="0" w:firstLine="0"/>
              <w:jc w:val="both"/>
            </w:pPr>
            <w:r>
              <w:rPr>
                <w:rFonts w:ascii="Times New Roman" w:hAnsi="Times New Roman" w:eastAsia="宋体"/>
                <w:b/>
                <w:i w:val="0"/>
                <w:color w:val="000000"/>
                <w:sz w:val="24"/>
              </w:rPr>
              <w:t>1.3 实践意义</w:t>
            </w:r>
          </w:p>
          <w:p w14:paraId="7BC475D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面向科研新手在实际阅读中从“理解内容”走向“评价研究”的需要。方法课程能够介绍研究设计和统计推断的基本原则，但在具体论文中，学生仍需要判断这些原则如何适用、证据是否充分以及结论应受到何种限制。围绕这些判断提供及时的追问与反馈，可以为课堂教学、论文研读和课外自主学习补充练习机会。研究拟开发的Agent允许学生从不理解的内容、已有判断或暂时无法确定的问题进入讨论，在必要讲解的基础上继续引导其核对原文、组织理由，使科研评价训练能够嵌入日常阅读。</w:t>
            </w:r>
          </w:p>
        </w:tc>
      </w:tr>
      <w:tr w14:paraId="6D29F730">
        <w:trPr>
          <w:jc w:val="center"/>
        </w:trPr>
        <w:tc>
          <w:tcPr>
            <w:tcW w:w="10440" w:type="dxa"/>
            <w:tcMar>
              <w:top w:w="0" w:type="dxa"/>
              <w:left w:w="160" w:type="dxa"/>
              <w:bottom w:w="0" w:type="dxa"/>
              <w:right w:w="160" w:type="dxa"/>
            </w:tcMar>
            <w:vAlign w:val="top"/>
          </w:tcPr>
          <w:p w14:paraId="148E88B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也为AI科研阅读工具的设计与评价提供依据。现有工具能够快速生成总结与分析，面向学习的工具还需要考虑何时直接解释、何时追问依据，以及学生遇到困难时应提供多少帮助。本研究将形成可运行的Agent、相应的追问与支持规则，以及可用性测试和三组实验的证据，为这些设计选择提供参考。同时，以撤去工具后的独立表现检验学习效果，有助于在工具评价中同时关注使用体验与能力发展。研究成果将为AI文献阅读工具提供设计依据，从而帮助科研新手提高批判性论文阅读表现。</w:t>
            </w:r>
          </w:p>
        </w:tc>
      </w:tr>
      <w:tr w14:paraId="6FB90DB8">
        <w:trPr>
          <w:jc w:val="center"/>
        </w:trPr>
        <w:tc>
          <w:tcPr>
            <w:tcW w:w="10440" w:type="dxa"/>
            <w:tcMar>
              <w:top w:w="0" w:type="dxa"/>
              <w:left w:w="160" w:type="dxa"/>
              <w:bottom w:w="0" w:type="dxa"/>
              <w:right w:w="160" w:type="dxa"/>
            </w:tcMar>
            <w:vAlign w:val="top"/>
          </w:tcPr>
          <w:p w14:paraId="2EA78D48">
            <w:pPr>
              <w:pStyle w:val="19"/>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2．国内外研究现状分析</w:t>
            </w:r>
          </w:p>
          <w:p w14:paraId="1559E907">
            <w:pPr>
              <w:pStyle w:val="20"/>
              <w:keepNext w:val="0"/>
              <w:keepLines w:val="0"/>
              <w:widowControl/>
              <w:snapToGrid w:val="0"/>
              <w:spacing w:before="160" w:after="100" w:line="360" w:lineRule="exact"/>
              <w:ind w:left="0" w:right="0" w:firstLine="0"/>
              <w:jc w:val="both"/>
            </w:pPr>
            <w:r>
              <w:rPr>
                <w:rFonts w:ascii="Times New Roman" w:hAnsi="Times New Roman" w:eastAsia="宋体"/>
                <w:b/>
                <w:i w:val="0"/>
                <w:color w:val="000000"/>
                <w:sz w:val="24"/>
              </w:rPr>
              <w:t>2.1 批判性思维与批判性文献阅读</w:t>
            </w:r>
          </w:p>
          <w:p w14:paraId="00F7DD63">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2.1.1 批判性思维与文献阅读中的评价要求</w:t>
            </w:r>
          </w:p>
          <w:p w14:paraId="016EF54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Facione（1990）通过专家共识研究，将批判性思维描述为有目的、自我调节的判断，涉及解释、分析、评价、推论、说明和自我调节等技能。其中，分析证据与主张的联系、评价推断是否成立、说明判断的理由，均与研究论文阅读中的评价活动相关。这一框架明确了批判性思维所包含的认知技能，为将笼统的“批判性”转化为具体任务要求提供了依据。</w:t>
            </w:r>
          </w:p>
        </w:tc>
      </w:tr>
      <w:tr w14:paraId="27608951">
        <w:trPr>
          <w:jc w:val="center"/>
        </w:trPr>
        <w:tc>
          <w:tcPr>
            <w:tcW w:w="10440" w:type="dxa"/>
            <w:tcMar>
              <w:top w:w="0" w:type="dxa"/>
              <w:left w:w="160" w:type="dxa"/>
              <w:bottom w:w="0" w:type="dxa"/>
              <w:right w:w="160" w:type="dxa"/>
            </w:tcMar>
            <w:vAlign w:val="top"/>
          </w:tcPr>
          <w:p w14:paraId="4DF9653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Meltzoff和Cooper（2018）围绕研究问题、样本选择、分组、测量、分析及解释讨论科研批判性评价，强调结合研究目标与具体条件判断方法是否适当、推断是否成立。其配套评析既指出研究中的问题，也说明这些问题如何影响结论。例如，发现没有随机分组与解释原有组间差异如何构成替代解释，体现了不同的评价要求。作者同时强调评价应针对具体研究：泛泛要求“样本应更大”“方法应更多”，不足以说明缺陷成立；有依据的评价也可以支持某项设计、否定一条批评，或指出报告信息不足。因此，科研评价不仅涉及理解作者做了什么，还要求检查研究做法、证据与推断之间的联系。</w:t>
            </w:r>
          </w:p>
        </w:tc>
      </w:tr>
      <w:tr w14:paraId="58D0AEA8">
        <w:trPr>
          <w:jc w:val="center"/>
        </w:trPr>
        <w:tc>
          <w:tcPr>
            <w:tcW w:w="10440" w:type="dxa"/>
            <w:tcMar>
              <w:top w:w="0" w:type="dxa"/>
              <w:left w:w="160" w:type="dxa"/>
              <w:bottom w:w="0" w:type="dxa"/>
              <w:right w:w="160" w:type="dxa"/>
            </w:tcMar>
            <w:vAlign w:val="top"/>
          </w:tcPr>
          <w:p w14:paraId="5ABC177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Insight Assessment（n.d.）对CCTDI的说明区分了批判性思维技能与批判性思维倾向：技能涉及能否分析信息、评价证据并作出有依据的判断，倾向则涉及是否愿意寻求理由、考虑证据和认真检查判断。CCTDI评价的是运用批判性思维的倾向，与要求参与者实际完成分析或评价的表现性任务不同。这一区分说明，思维倾向、自我感受与实际评价表现需要通过相应的评价方式加以考察。</w:t>
            </w:r>
          </w:p>
        </w:tc>
      </w:tr>
      <w:tr w14:paraId="5EBDAA72">
        <w:trPr>
          <w:jc w:val="center"/>
        </w:trPr>
        <w:tc>
          <w:tcPr>
            <w:tcW w:w="10440" w:type="dxa"/>
            <w:tcMar>
              <w:top w:w="0" w:type="dxa"/>
              <w:left w:w="160" w:type="dxa"/>
              <w:bottom w:w="0" w:type="dxa"/>
              <w:right w:w="160" w:type="dxa"/>
            </w:tcMar>
            <w:vAlign w:val="top"/>
          </w:tcPr>
          <w:p w14:paraId="1D94688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科研文献阅读训练需要兼顾内容理解、问题识别和理由解释，使学习者能够结合论文信息审查证据与推断。新手需要先理解作者研究了什么、如何研究及结果显示了什么，再检查结论是否得到支持。因此，Agent既要帮助学生理解论文，也要引导其说明批评的依据及其对结论的影响；效果评价则需要观察实际阅读产出，并将批判性思维倾向与任务表现分别考察。</w:t>
            </w:r>
          </w:p>
        </w:tc>
      </w:tr>
      <w:tr w14:paraId="2072A15F">
        <w:trPr>
          <w:jc w:val="center"/>
        </w:trPr>
        <w:tc>
          <w:tcPr>
            <w:tcW w:w="10440" w:type="dxa"/>
            <w:tcMar>
              <w:top w:w="0" w:type="dxa"/>
              <w:left w:w="160" w:type="dxa"/>
              <w:bottom w:w="0" w:type="dxa"/>
              <w:right w:w="160" w:type="dxa"/>
            </w:tcMar>
            <w:vAlign w:val="top"/>
          </w:tcPr>
          <w:p w14:paraId="0B520B16">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2.1.2 批判性文献阅读的训练研究</w:t>
            </w:r>
          </w:p>
          <w:p w14:paraId="2643F6E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Lee等人（2022）在三所美国高校的生物学课程中研究学生阅读原始科学文献的策略，形成包含概括、记笔记和查找信息三个方面的八项自报测量，并比较不同课程阅读安排下的变化。结果显示，策略变化总体有限，且不同支持安排下并非所有策略均有改善。该研究有助于描述新手怎样读论文，但策略自报仍需与实际阅读产出结合，才能判断学生是否理解并有效评价了研究。</w:t>
            </w:r>
          </w:p>
        </w:tc>
      </w:tr>
      <w:tr w14:paraId="6597A327">
        <w:trPr>
          <w:jc w:val="center"/>
        </w:trPr>
        <w:tc>
          <w:tcPr>
            <w:tcW w:w="10440" w:type="dxa"/>
            <w:tcMar>
              <w:top w:w="0" w:type="dxa"/>
              <w:left w:w="160" w:type="dxa"/>
              <w:bottom w:w="0" w:type="dxa"/>
              <w:right w:w="160" w:type="dxa"/>
            </w:tcMar>
            <w:vAlign w:val="top"/>
          </w:tcPr>
          <w:p w14:paraId="72B3247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Bjorn（2024）在24名博士生参加的四周跨学科课程中，将CERIC阅读方法与社会协作批注结合。CERIC要求学生关注主张、证据、推理、意义及情境，课程配合示例与讨论，并以前后测阅读任务评价表现。结果显示，学生在新领域材料上的批判性阅读测验得分提高，自我效能和焦虑也有所改善。该研究说明，明确的分析维度可以落实到论文阅读及评分中；由于未设置平行对照组，其结果反映的是整套教学活动的前后变化。</w:t>
            </w:r>
          </w:p>
        </w:tc>
      </w:tr>
      <w:tr w14:paraId="1A898FC8">
        <w:trPr>
          <w:jc w:val="center"/>
        </w:trPr>
        <w:tc>
          <w:tcPr>
            <w:tcW w:w="10440" w:type="dxa"/>
            <w:tcMar>
              <w:top w:w="0" w:type="dxa"/>
              <w:left w:w="160" w:type="dxa"/>
              <w:bottom w:w="0" w:type="dxa"/>
              <w:right w:w="160" w:type="dxa"/>
            </w:tcMar>
            <w:vAlign w:val="top"/>
          </w:tcPr>
          <w:p w14:paraId="6C5BCE3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Archila等人（2025）在两个食品微生物学课程队列、共61名本科生中开展科学文章批判性阅读活动。学生先独立评价材料，再与同伴讨论，最后修订个人回答；活动分别涉及文章引言与方法部分。研究按论证、反论证及反驳的合理性与连贯性评分，发现讨论后的回答有所改善。这项研究以论证产出呈现批判性阅读表现，其结果表明，在这些课程任务中，讨论与修订后的回答质量优于讨论前的独立回答。</w:t>
            </w:r>
          </w:p>
        </w:tc>
      </w:tr>
      <w:tr w14:paraId="6439E669">
        <w:trPr>
          <w:jc w:val="center"/>
        </w:trPr>
        <w:tc>
          <w:tcPr>
            <w:tcW w:w="10440" w:type="dxa"/>
            <w:tcMar>
              <w:top w:w="0" w:type="dxa"/>
              <w:left w:w="160" w:type="dxa"/>
              <w:bottom w:w="0" w:type="dxa"/>
              <w:right w:w="160" w:type="dxa"/>
            </w:tcMar>
            <w:vAlign w:val="top"/>
          </w:tcPr>
          <w:p w14:paraId="054F075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将主张、证据和推理作为分析方向，可以让阅读指导与具体材料相联系；讨论后的修订则为学习者完善判断提供了机会。本研究将追问嵌入真实阅读过程，使学生围绕自己的判断展开讨论并修正理由，同时通过独立阅读任务考察训练后的表现，将对话中的即时改善与个人学习收获区分开来。</w:t>
            </w:r>
          </w:p>
        </w:tc>
      </w:tr>
      <w:tr w14:paraId="78B01D1F">
        <w:trPr>
          <w:jc w:val="center"/>
        </w:trPr>
        <w:tc>
          <w:tcPr>
            <w:tcW w:w="10440" w:type="dxa"/>
            <w:tcMar>
              <w:top w:w="0" w:type="dxa"/>
              <w:left w:w="160" w:type="dxa"/>
              <w:bottom w:w="0" w:type="dxa"/>
              <w:right w:w="160" w:type="dxa"/>
            </w:tcMar>
            <w:vAlign w:val="top"/>
          </w:tcPr>
          <w:p w14:paraId="621F399C">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2.1.3 批判性文献阅读的评价方式</w:t>
            </w:r>
          </w:p>
          <w:p w14:paraId="4A6EF2D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Sternberg和Sternberg（2017）在心理学及相关学科的科学推理测量中设置审稿人任务，让参与者阅读简短的模拟研究报告，以开放文本指出研究问题，并根据有效回答计分。该任务为通过“读研究—找问题”的方式观察科学推理提供了依据。与一般性自评相比，开放式研究评价能够直接呈现学生发现了什么、依据是什么，也便于区分有效批评与笼统质疑。</w:t>
            </w:r>
          </w:p>
        </w:tc>
      </w:tr>
      <w:tr w14:paraId="4EEE82CF">
        <w:trPr>
          <w:jc w:val="center"/>
        </w:trPr>
        <w:tc>
          <w:tcPr>
            <w:tcW w:w="10440" w:type="dxa"/>
            <w:tcMar>
              <w:top w:w="0" w:type="dxa"/>
              <w:left w:w="160" w:type="dxa"/>
              <w:bottom w:w="0" w:type="dxa"/>
              <w:right w:w="160" w:type="dxa"/>
            </w:tcMar>
            <w:vAlign w:val="top"/>
          </w:tcPr>
          <w:p w14:paraId="055A7276">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Meltzoff和Cooper（2018）提供了17篇简短的模拟研究文章及配套评析，涵盖研究问题与假设、样本和分组、研究设计、变量测量、数据分析及结论解释等方面。这类材料保留了完整研究的基本结构，同时使研究中的问题可以由配套评析和专家审查共同核定，适合用于科研新手的训练与评价。</w:t>
            </w:r>
          </w:p>
        </w:tc>
      </w:tr>
      <w:tr w14:paraId="5F5F1F79">
        <w:trPr>
          <w:jc w:val="center"/>
        </w:trPr>
        <w:tc>
          <w:tcPr>
            <w:tcW w:w="10440" w:type="dxa"/>
            <w:tcMar>
              <w:top w:w="0" w:type="dxa"/>
              <w:left w:w="160" w:type="dxa"/>
              <w:bottom w:w="0" w:type="dxa"/>
              <w:right w:w="160" w:type="dxa"/>
            </w:tcMar>
            <w:vAlign w:val="top"/>
          </w:tcPr>
          <w:p w14:paraId="16D8DCE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Timmerman等人（2011）开发科学写作评分量规，将研究假设、研究设计、数据分析和讨论等环节转化为可观察的科学推理表现。量规关注评价理由与证据之间的联系，使评分能够呈现论证是否充分，而不只统计学生提到了多少问题。其评价对象是科学写作产出，为分析研究论证中的不同表现提供了参照。</w:t>
            </w:r>
          </w:p>
        </w:tc>
      </w:tr>
      <w:tr w14:paraId="6439E669">
        <w:trPr>
          <w:jc w:val="center"/>
        </w:trPr>
        <w:tc>
          <w:tcPr>
            <w:tcW w:w="10440" w:type="dxa"/>
            <w:tcMar>
              <w:top w:w="0" w:type="dxa"/>
              <w:left w:w="160" w:type="dxa"/>
              <w:bottom w:w="0" w:type="dxa"/>
              <w:right w:w="160" w:type="dxa"/>
            </w:tcMar>
            <w:vAlign w:val="top"/>
          </w:tcPr>
          <w:p w14:paraId="054F075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Arriagada Anabalón等人（2026）依据批判性思维框架，对师范生学术写作中的解释、分析、说明和评价分别评分，并报告独立评分的一致性。分维度评分呈现了学生在不同思维活动中的表现，也使评价要求能够落实到具体文本。该研究采用固定任务顺序且缺少对照组，其学习效果仍需结合更充分的比较证据判断。</w:t>
            </w:r>
          </w:p>
        </w:tc>
      </w:tr>
      <w:tr w14:paraId="0E3404A0">
        <w:trPr>
          <w:jc w:val="center"/>
        </w:trPr>
        <w:tc>
          <w:tcPr>
            <w:tcW w:w="10440" w:type="dxa"/>
            <w:tcMar>
              <w:top w:w="0" w:type="dxa"/>
              <w:left w:w="160" w:type="dxa"/>
              <w:bottom w:w="0" w:type="dxa"/>
              <w:right w:w="160" w:type="dxa"/>
            </w:tcMar>
            <w:vAlign w:val="top"/>
          </w:tcPr>
          <w:p w14:paraId="414E621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从这些评价方式来看，自主发现问题与说明问题为何成立需要分别考察。模拟研究及配套评析可用于确定材料中的评价参照，开放式审稿任务可用于观察自主发现，论证评分则可帮助判断理由与证据的联系。在此基础上，本研究采用独立书面评价任务，将缺陷识别与解释质量分别考察，并辅以内容概括，以了解参与者是否准确理解了所评价的论文。</w:t>
            </w:r>
          </w:p>
        </w:tc>
      </w:tr>
      <w:tr w14:paraId="29A22DAE">
        <w:trPr>
          <w:jc w:val="center"/>
        </w:trPr>
        <w:tc>
          <w:tcPr>
            <w:tcW w:w="10440" w:type="dxa"/>
            <w:tcMar>
              <w:top w:w="0" w:type="dxa"/>
              <w:left w:w="160" w:type="dxa"/>
              <w:bottom w:w="0" w:type="dxa"/>
              <w:right w:w="160" w:type="dxa"/>
            </w:tcMar>
            <w:vAlign w:val="top"/>
          </w:tcPr>
          <w:p w14:paraId="7C67E8B8">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 AI辅助阅读与学习</w:t>
            </w:r>
          </w:p>
          <w:p w14:paraId="7FCA2EF5">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2.2.1 AI使用与批判性思维的关系</w:t>
            </w:r>
          </w:p>
          <w:p w14:paraId="2AE1771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戚佳等人（2024）基于1,781份高校学生问卷，考察生成式AI使用与批判性思维及自主学习能力的关系。研究发现，使用生成式AI工具的学生以及持续使用者，在批判性思维与自主学习能力指标上表现较好；同时，多数学生向AI提出的问题仍以封闭式问题为主。其发现说明，AI使用与较好的自报学习表现相关，但实际互动中仍存在探究深度有限的情况。</w:t>
            </w:r>
          </w:p>
        </w:tc>
      </w:tr>
      <w:tr w14:paraId="65ACB503">
        <w:trPr>
          <w:jc w:val="center"/>
        </w:trPr>
        <w:tc>
          <w:tcPr>
            <w:tcW w:w="10440" w:type="dxa"/>
            <w:tcMar>
              <w:top w:w="0" w:type="dxa"/>
              <w:left w:w="160" w:type="dxa"/>
              <w:bottom w:w="0" w:type="dxa"/>
              <w:right w:w="160" w:type="dxa"/>
            </w:tcMar>
            <w:vAlign w:val="top"/>
          </w:tcPr>
          <w:p w14:paraId="33F2ADDB">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蔡颖蔚和陈茁（2025）分析10,964份大学生问卷，发现AI使用频率与批判性思维之间呈U形关系，使用目的的广度及价值认同与批判性思维存在正向关系。研究从使用频率、目的与认同等方面揭示了AI使用和自报批判性思维的关联，表明这种关系不能仅以使用与否或使用次数概括。问卷结果提供了使用行为与思维表现之间的关联证据，具体支持方式的学习效果仍需通过实验考察。</w:t>
            </w:r>
          </w:p>
        </w:tc>
      </w:tr>
      <w:tr w14:paraId="6439E669">
        <w:trPr>
          <w:jc w:val="center"/>
        </w:trPr>
        <w:tc>
          <w:tcPr>
            <w:tcW w:w="10440" w:type="dxa"/>
            <w:tcMar>
              <w:top w:w="0" w:type="dxa"/>
              <w:left w:w="160" w:type="dxa"/>
              <w:bottom w:w="0" w:type="dxa"/>
              <w:right w:w="160" w:type="dxa"/>
            </w:tcMar>
            <w:vAlign w:val="top"/>
          </w:tcPr>
          <w:p w14:paraId="054F075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仅区分是否使用AI，还不足以说明学习者在互动中是否主动分析了依据、生成了理由。因此，实验在共同阅读任务下设置通用Agent、苏格拉底式Agent和无AI条件，通过独立任务表现比较不同支持方式的效果，并结合对话记录了解学生实际进行了哪些思考活动。</w:t>
            </w:r>
          </w:p>
        </w:tc>
      </w:tr>
      <w:tr w14:paraId="78C8B297">
        <w:trPr>
          <w:jc w:val="center"/>
        </w:trPr>
        <w:tc>
          <w:tcPr>
            <w:tcW w:w="10440" w:type="dxa"/>
            <w:tcMar>
              <w:top w:w="0" w:type="dxa"/>
              <w:left w:w="160" w:type="dxa"/>
              <w:bottom w:w="0" w:type="dxa"/>
              <w:right w:w="160" w:type="dxa"/>
            </w:tcMar>
            <w:vAlign w:val="top"/>
          </w:tcPr>
          <w:p w14:paraId="781ABAC7">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2.2.2 AI辅助表现与独立学习结果</w:t>
            </w:r>
          </w:p>
          <w:p w14:paraId="7A15E18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Stadler等人（2024）将91名大学生随机分配至ChatGPT或Google搜索条件，要求参与者围绕防晒产品中的纳米颗粒开展科学信息探究并形成有理由的判断。ChatGPT组报告的认知负荷较低，但最终理由的质量较差。这一结果表明，获得信息更轻松未必带来更充分的证据审查，也提示需要直接评价判断及其论证。</w:t>
            </w:r>
          </w:p>
        </w:tc>
      </w:tr>
      <w:tr w14:paraId="204CA491">
        <w:trPr>
          <w:jc w:val="center"/>
        </w:trPr>
        <w:tc>
          <w:tcPr>
            <w:tcW w:w="10440" w:type="dxa"/>
            <w:tcMar>
              <w:top w:w="0" w:type="dxa"/>
              <w:left w:w="160" w:type="dxa"/>
              <w:bottom w:w="0" w:type="dxa"/>
              <w:right w:w="160" w:type="dxa"/>
            </w:tcMar>
            <w:vAlign w:val="top"/>
          </w:tcPr>
          <w:p w14:paraId="0ECF170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Fan等人（2025）在117名中文母语大学生中比较ChatGPT、人工专家、写作检查清单和无额外支持四种条件。参与者完成阅读与写作及作品修订，研究同时分析作品、知识学习与过程表现。ChatGPT支持带来了更大的作文改进，但未在知识获得和迁移上形成相应优势，各组的自我调节学习过程也存在差异。这项研究进一步说明，评价AI支持时应同时考虑有工具的产出和学习者自身获得的知识。</w:t>
            </w:r>
          </w:p>
        </w:tc>
      </w:tr>
      <w:tr w14:paraId="464D475C">
        <w:trPr>
          <w:jc w:val="center"/>
        </w:trPr>
        <w:tc>
          <w:tcPr>
            <w:tcW w:w="10440" w:type="dxa"/>
            <w:tcMar>
              <w:top w:w="0" w:type="dxa"/>
              <w:left w:w="160" w:type="dxa"/>
              <w:bottom w:w="0" w:type="dxa"/>
              <w:right w:w="160" w:type="dxa"/>
            </w:tcMar>
            <w:vAlign w:val="top"/>
          </w:tcPr>
          <w:p w14:paraId="7072D9A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Bastani等人（2025）在近千名土耳其高中生中开展数学学习随机实验，比较普通GPT辅助、带有教学约束的GPT Tutor与无AI条件。两种AI支持均改善了练习表现，但普通GPT组撤去工具后的考试表现低于对照组，GPT Tutor缓解了这一负面结果。该Tutor同时使用教师提供的提示、解答及常见错误信息，结果支持教学设计的重要性，但其作用不能全部归于追问。这一发现说明，工具支持下的任务完成与撤去工具后的独立表现可能出现不同变化，支持方式的作用也需要结合其提供的信息与教学约束解释。</w:t>
            </w:r>
          </w:p>
        </w:tc>
      </w:tr>
      <w:tr w14:paraId="2CE60C19">
        <w:trPr>
          <w:jc w:val="center"/>
        </w:trPr>
        <w:tc>
          <w:tcPr>
            <w:tcW w:w="10440" w:type="dxa"/>
            <w:tcMar>
              <w:top w:w="0" w:type="dxa"/>
              <w:left w:w="160" w:type="dxa"/>
              <w:bottom w:w="0" w:type="dxa"/>
              <w:right w:w="160" w:type="dxa"/>
            </w:tcMar>
            <w:vAlign w:val="top"/>
          </w:tcPr>
          <w:p w14:paraId="425D356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除任务产出与测验表现外，也有研究从对话过程考察AI辅助思考。胡金艳等人（2026）设计人机协作辩论系统，设置主持、知识提供、学生助手与批判性思维促进等Agent角色，并以论证结构组织互动。12名大学生依次经历基线、单Agent与多Agent协作阶段，研究对3,173条有效对话进行编码及序列、网络分析，发现多Agent条件下的思维互动关系更复杂，评价活动在对话中发挥了更突出作用。该研究把支持策略与具体话语表现联系起来，为过程评价提供了依据；固定阶段顺序的设计则主要说明不同条件下的互动特征，尚需独立测验进一步检验能力变化。</w:t>
            </w:r>
          </w:p>
        </w:tc>
      </w:tr>
      <w:tr w14:paraId="6439E669">
        <w:trPr>
          <w:jc w:val="center"/>
        </w:trPr>
        <w:tc>
          <w:tcPr>
            <w:tcW w:w="10440" w:type="dxa"/>
            <w:tcMar>
              <w:top w:w="0" w:type="dxa"/>
              <w:left w:w="160" w:type="dxa"/>
              <w:bottom w:w="0" w:type="dxa"/>
              <w:right w:w="160" w:type="dxa"/>
            </w:tcMar>
            <w:vAlign w:val="top"/>
          </w:tcPr>
          <w:p w14:paraId="054F075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更轻松地获取信息或更快地完成当前任务，并不必然意味着学生形成了更充分的理解与论证能力。要判断AI工具的学习效果，需要考察撤去支持后的独立表现，并结合互动过程了解支持方式如何被使用。因此，本研究统一两个AI组的模型与信息条件，将教学互动策略作为主要操纵，在撤去AI后评价独立阅读表现，并以对话过程记录补充说明学生如何使用这些支持。</w:t>
            </w:r>
          </w:p>
        </w:tc>
      </w:tr>
      <w:tr w14:paraId="68D814C4">
        <w:trPr>
          <w:jc w:val="center"/>
        </w:trPr>
        <w:tc>
          <w:tcPr>
            <w:tcW w:w="10440" w:type="dxa"/>
            <w:tcMar>
              <w:top w:w="0" w:type="dxa"/>
              <w:left w:w="160" w:type="dxa"/>
              <w:bottom w:w="0" w:type="dxa"/>
              <w:right w:w="160" w:type="dxa"/>
            </w:tcMar>
            <w:vAlign w:val="top"/>
          </w:tcPr>
          <w:p w14:paraId="1479A9B6">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2.2.3 面向论文阅读的AI训练系统</w:t>
            </w:r>
          </w:p>
          <w:p w14:paraId="7E74A4B0">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Yuan等人（2023）的CriTrainer通过文献与52人调查形成设计依据，开发文本概括辅助和批判性提问训练功能。在24人的前后测实验中，研究通过撤去工具后的新论文任务，评价概括以及问题的可理解性、相关性和批判性，报告了批判性提问质量的改善。其训练和测量集中于论文引言，说明论文阅读可以通过具体产出评价，但尚未覆盖完整研究的方法与证据审查。</w:t>
            </w:r>
          </w:p>
        </w:tc>
      </w:tr>
      <w:tr w14:paraId="10269519">
        <w:trPr>
          <w:jc w:val="center"/>
        </w:trPr>
        <w:tc>
          <w:tcPr>
            <w:tcW w:w="10440" w:type="dxa"/>
            <w:tcMar>
              <w:top w:w="0" w:type="dxa"/>
              <w:left w:w="160" w:type="dxa"/>
              <w:bottom w:w="0" w:type="dxa"/>
              <w:right w:w="160" w:type="dxa"/>
            </w:tcMar>
            <w:vAlign w:val="top"/>
          </w:tcPr>
          <w:p w14:paraId="43C7143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Fang等人（2026）将AI观点交流嵌入论文阅读过程，要求用户围绕章节问题先作答，再查看反馈并修订。其为期两周的研究包含46名参与者，比较单一视角、多视角AI反馈与无AI条件，并设置独立前后测。结果支持观点交流用于促进批判性思考，但未显示多视角反馈稳定优于单一视角。该设计以章节问题和反馈修订组织学习，与根据学生当前理由继续追问的策略有所区别。</w:t>
            </w:r>
          </w:p>
        </w:tc>
      </w:tr>
      <w:tr w14:paraId="5C493B7F">
        <w:trPr>
          <w:jc w:val="center"/>
        </w:trPr>
        <w:tc>
          <w:tcPr>
            <w:tcW w:w="10440" w:type="dxa"/>
            <w:tcMar>
              <w:top w:w="0" w:type="dxa"/>
              <w:left w:w="160" w:type="dxa"/>
              <w:bottom w:w="0" w:type="dxa"/>
              <w:right w:w="160" w:type="dxa"/>
            </w:tcMar>
            <w:vAlign w:val="top"/>
          </w:tcPr>
          <w:p w14:paraId="6332702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现有论文阅读系统已将主动表达与反馈纳入阅读活动，并通过撤去工具后的产出检验训练效果。本研究在这些设计的基础上，保留围绕论文具体内容展开讨论及反馈后修订的机会，将任务扩展至完整研究的方法与证据审查，并进一步考察根据学生当前理由持续追问，能否改善独立缺陷识别及解释质量。</w:t>
            </w:r>
          </w:p>
        </w:tc>
      </w:tr>
      <w:tr w14:paraId="1B55D3A5">
        <w:trPr>
          <w:jc w:val="center"/>
        </w:trPr>
        <w:tc>
          <w:tcPr>
            <w:tcW w:w="10440" w:type="dxa"/>
            <w:tcMar>
              <w:top w:w="0" w:type="dxa"/>
              <w:left w:w="160" w:type="dxa"/>
              <w:bottom w:w="0" w:type="dxa"/>
              <w:right w:w="160" w:type="dxa"/>
            </w:tcMar>
            <w:vAlign w:val="top"/>
          </w:tcPr>
          <w:p w14:paraId="64E61E61">
            <w:pPr>
              <w:pStyle w:val="20"/>
              <w:keepNext w:val="0"/>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 苏格拉底式Agent</w:t>
            </w:r>
          </w:p>
          <w:p w14:paraId="7BA1F319">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2.3.1 苏格拉底式Agent的设计与效果</w:t>
            </w:r>
          </w:p>
          <w:p w14:paraId="3DB594D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李海峰等人（2024）在两个教育技术学本科班开展准实验，比较使用“智能苏格拉底会话机器人”的教学与直接使用ChatGPT的教学。实验将追问式对话、学习分析及翻转课堂结合起来，由机器人引导学生澄清问题、回应提问并继续探究。结果显示，实验条件在部分学习指标上具有优势，但批判性思维的组间差异并不显著。其批判性思维主要采用量表评价，干预也包含多项教学安排。因此，这项研究既提供了连续追问的实现参考，也表明苏格拉底式交互的优势需要在具体任务和结果指标上检验。</w:t>
            </w:r>
          </w:p>
        </w:tc>
      </w:tr>
      <w:tr w14:paraId="0EFEAAEE">
        <w:trPr>
          <w:jc w:val="center"/>
        </w:trPr>
        <w:tc>
          <w:tcPr>
            <w:tcW w:w="10440" w:type="dxa"/>
            <w:tcMar>
              <w:top w:w="0" w:type="dxa"/>
              <w:left w:w="160" w:type="dxa"/>
              <w:bottom w:w="0" w:type="dxa"/>
              <w:right w:w="160" w:type="dxa"/>
            </w:tcMar>
            <w:vAlign w:val="top"/>
          </w:tcPr>
          <w:p w14:paraId="7974C4A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Xi等人（2026）在“教育技术研究方法”课程中比较苏格拉底式与非苏格拉底式对话Agent。94名学生以小组形式在六周中完成研究方案设计，研究测量研究方法知识、方案质量、反思性思维及动机，并分析对话。苏格拉底条件的研究方案质量和调整后的反思性思维表现更好，学习动机未出现显著组间差异；知识测验的优势随分析方法而异。该研究将追问落实到研究问题、变量、操作定义和方法选择，扩展了苏格拉底式Agent在研究方法教学中的应用。该系统包含输入理解、对话生成、动态反馈和结构化记忆，提示由澄清逐步转向理由论证及方案改进。例如，先明确一个变量如何测量，再追问这种测量为什么适合，随后讨论怎样排除先验差异。研究中的两个Agent使用不同底层模型，研究方案又是小组产出，因此其组间差异包含模型与互动方式的共同影响，方案质量也主要反映合作完成研究设计的表现。</w:t>
            </w:r>
          </w:p>
        </w:tc>
      </w:tr>
      <w:tr w14:paraId="1EDEC1CD">
        <w:trPr>
          <w:jc w:val="center"/>
        </w:trPr>
        <w:tc>
          <w:tcPr>
            <w:tcW w:w="10440" w:type="dxa"/>
            <w:tcMar>
              <w:top w:w="0" w:type="dxa"/>
              <w:left w:w="160" w:type="dxa"/>
              <w:bottom w:w="0" w:type="dxa"/>
              <w:right w:w="160" w:type="dxa"/>
            </w:tcMar>
            <w:vAlign w:val="top"/>
          </w:tcPr>
          <w:p w14:paraId="4CA54E5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Namaziandost和Teng（2026）比较苏格拉底式AI、通用AI与无AI三种条件。90名中等英语水平学习者参加研究，苏格拉底式AI组在批判性思维、认识论信念和论证技能方面获得了更大提升。系统借助Toulmin模型组织论证内容，围绕理由、文本证据、隐含前提、替代解释及观点限定进行持续追问，并根据上轮回应调整后续问题；当学生难以继续时提供提示，能够自主完成时减少支持。三组比较使教学互动策略与AI支持整体的作用能够得到不同层面的考察。研究结果主要来自改编量表与参与者反馈，反映了外语学习情境下自报思维与论证表现的改善，其作用能否延伸至科研论文的方法评价，还需要结合相应任务检验。</w:t>
            </w:r>
          </w:p>
        </w:tc>
      </w:tr>
      <w:tr w14:paraId="17788774">
        <w:trPr>
          <w:jc w:val="center"/>
        </w:trPr>
        <w:tc>
          <w:tcPr>
            <w:tcW w:w="10440" w:type="dxa"/>
            <w:tcMar>
              <w:top w:w="0" w:type="dxa"/>
              <w:left w:w="160" w:type="dxa"/>
              <w:bottom w:w="0" w:type="dxa"/>
              <w:right w:w="160" w:type="dxa"/>
            </w:tcMar>
            <w:vAlign w:val="top"/>
          </w:tcPr>
          <w:p w14:paraId="20B21AB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Yurt（2026）在70名大学生中开展为期10周的AI辅助翻转学习研究，报告批判性思维技能、倾向及动机的改善。其Socrat.ai结合自适应追问、跨轮记忆和写作反馈，结果支持这种综合教学安排。由于对话支持、写作反馈与翻转课堂共同构成干预，其作用还需要结合具体学习活动解释。</w:t>
            </w:r>
          </w:p>
        </w:tc>
      </w:tr>
      <w:tr w14:paraId="7D17BB35">
        <w:trPr>
          <w:jc w:val="center"/>
        </w:trPr>
        <w:tc>
          <w:tcPr>
            <w:tcW w:w="10440" w:type="dxa"/>
            <w:tcMar>
              <w:top w:w="0" w:type="dxa"/>
              <w:left w:w="160" w:type="dxa"/>
              <w:bottom w:w="0" w:type="dxa"/>
              <w:right w:w="160" w:type="dxa"/>
            </w:tcMar>
            <w:vAlign w:val="top"/>
          </w:tcPr>
          <w:p w14:paraId="5C7FD74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在追问支架的设计方面，赵晓伟等人（2025）针对44名教育技术学本科生开展前后测准实验，以认知和元认知支持为基础，设计提示、指导与解释三类苏格拉底式问题支架。研究分析学生向AI大模型提问的表现，发现问题深度、问题序列及问题架构得到改善。该研究训练的是学生提出高质量问题的能力，提示了支架可以帮助学习者组织探究过程；其结果主要体现于提问行为，不能直接等同于学生已经能够独立评价论文方法和结论。</w:t>
            </w:r>
          </w:p>
        </w:tc>
      </w:tr>
      <w:tr w14:paraId="4F49A0E2">
        <w:trPr>
          <w:jc w:val="center"/>
        </w:trPr>
        <w:tc>
          <w:tcPr>
            <w:tcW w:w="10440" w:type="dxa"/>
            <w:tcMar>
              <w:top w:w="0" w:type="dxa"/>
              <w:left w:w="160" w:type="dxa"/>
              <w:bottom w:w="0" w:type="dxa"/>
              <w:right w:w="160" w:type="dxa"/>
            </w:tcMar>
            <w:vAlign w:val="top"/>
          </w:tcPr>
          <w:p w14:paraId="33F6F98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苏格拉底式Agent的追问需要承接学生已经表达的判断和理由，并与具体任务及当前困难相适应。具体而言，本研究围绕判断依据、推断理由和替代解释组织对话，根据当前困难调整提示，并利用跨轮记录承接已有讨论。在效果验证上，采用相同底层模型下的不同互动策略比较，通过独立文献评价任务考察学习收获，避免仅用使用感受或对话表现代替训练效果。</w:t>
            </w:r>
          </w:p>
        </w:tc>
      </w:tr>
      <w:tr w14:paraId="2C2EBF4C">
        <w:trPr>
          <w:jc w:val="center"/>
        </w:trPr>
        <w:tc>
          <w:tcPr>
            <w:tcW w:w="10440" w:type="dxa"/>
            <w:tcMar>
              <w:top w:w="0" w:type="dxa"/>
              <w:left w:w="160" w:type="dxa"/>
              <w:bottom w:w="0" w:type="dxa"/>
              <w:right w:w="160" w:type="dxa"/>
            </w:tcMar>
            <w:vAlign w:val="top"/>
          </w:tcPr>
          <w:p w14:paraId="4663EDA7">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2.3.2 现有系统的支持方式与验证程度</w:t>
            </w:r>
          </w:p>
          <w:p w14:paraId="5D74BDA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Shi等人（2026）的LFTutor依据论证内容与学生回应选择教学意图，并记录未解决的分歧。其实现将论证分析、策略选择、对话执行与回复检查联系起来，使系统能够围绕当前需要澄清的关系继续追问。研究通过自动评价、消融分析及20名参与者的人类评价考察系统，主要支持其导师对话质量，为根据论证状态安排后续互动提供了实现参照。</w:t>
            </w:r>
          </w:p>
        </w:tc>
      </w:tr>
      <w:tr w14:paraId="6439E669">
        <w:trPr>
          <w:jc w:val="center"/>
        </w:trPr>
        <w:tc>
          <w:tcPr>
            <w:tcW w:w="10440" w:type="dxa"/>
            <w:tcMar>
              <w:top w:w="0" w:type="dxa"/>
              <w:left w:w="160" w:type="dxa"/>
              <w:bottom w:w="0" w:type="dxa"/>
              <w:right w:w="160" w:type="dxa"/>
            </w:tcMar>
            <w:vAlign w:val="top"/>
          </w:tcPr>
          <w:p w14:paraId="054F075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Hugenroth等人（2026）的Critical Inker预印本将论证结构分析、可视化反馈与苏格拉底式对话用于AI辅助写作。系统联系原文位置分析论证中的支持关系，并据此组织问题计划和对话反馈。研究报告技术评价及小规模试用结果，主要考察系统能否完成相应分析与交互，为将论证结构和具体追问连接起来提供了工程实现依据。</w:t>
            </w:r>
          </w:p>
        </w:tc>
      </w:tr>
      <w:tr w14:paraId="36BDFBF6">
        <w:trPr>
          <w:jc w:val="center"/>
        </w:trPr>
        <w:tc>
          <w:tcPr>
            <w:tcW w:w="10440" w:type="dxa"/>
            <w:tcMar>
              <w:top w:w="0" w:type="dxa"/>
              <w:left w:w="160" w:type="dxa"/>
              <w:bottom w:w="0" w:type="dxa"/>
              <w:right w:w="160" w:type="dxa"/>
            </w:tcMar>
            <w:vAlign w:val="top"/>
          </w:tcPr>
          <w:p w14:paraId="620CDAF0">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  相关系统的支持方式与验证内容</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814"/>
              <w:gridCol w:w="2665"/>
              <w:gridCol w:w="2665"/>
              <w:gridCol w:w="2778"/>
            </w:tblGrid>
            <w:tr w14:paraId="71ADCE8F">
              <w:trPr>
                <w:cantSplit/>
                <w:tblHeader/>
                <w:jc w:val="center"/>
              </w:trPr>
              <w:tc>
                <w:tcPr>
                  <w:tcW w:w="1814" w:type="dxa"/>
                  <w:tcBorders>
                    <w:top w:val="single" w:color="000000" w:sz="8" w:space="0"/>
                    <w:left w:val="nil"/>
                    <w:bottom w:val="single" w:color="000000" w:sz="4" w:space="0"/>
                    <w:right w:val="nil"/>
                    <w:insideH w:val="nil"/>
                    <w:insideV w:val="nil"/>
                  </w:tcBorders>
                  <w:vAlign w:val="center"/>
                </w:tcPr>
                <w:p w14:paraId="1352633A">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研究或系统</w:t>
                  </w:r>
                </w:p>
              </w:tc>
              <w:tc>
                <w:tcPr>
                  <w:tcW w:w="2665" w:type="dxa"/>
                  <w:tcBorders>
                    <w:top w:val="single" w:color="000000" w:sz="8" w:space="0"/>
                    <w:left w:val="nil"/>
                    <w:bottom w:val="single" w:color="000000" w:sz="4" w:space="0"/>
                    <w:right w:val="nil"/>
                    <w:insideH w:val="nil"/>
                    <w:insideV w:val="nil"/>
                  </w:tcBorders>
                  <w:vAlign w:val="center"/>
                </w:tcPr>
                <w:p w14:paraId="2DD2255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学习活动与支持方式</w:t>
                  </w:r>
                </w:p>
              </w:tc>
              <w:tc>
                <w:tcPr>
                  <w:tcW w:w="2665" w:type="dxa"/>
                  <w:tcBorders>
                    <w:top w:val="single" w:color="000000" w:sz="8" w:space="0"/>
                    <w:left w:val="nil"/>
                    <w:bottom w:val="single" w:color="000000" w:sz="4" w:space="0"/>
                    <w:right w:val="nil"/>
                    <w:insideH w:val="nil"/>
                    <w:insideV w:val="nil"/>
                  </w:tcBorders>
                  <w:vAlign w:val="center"/>
                </w:tcPr>
                <w:p w14:paraId="2545BCB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主要验证内容</w:t>
                  </w:r>
                </w:p>
              </w:tc>
              <w:tc>
                <w:tcPr>
                  <w:tcW w:w="2778" w:type="dxa"/>
                  <w:tcBorders>
                    <w:top w:val="single" w:color="000000" w:sz="8" w:space="0"/>
                    <w:left w:val="nil"/>
                    <w:bottom w:val="single" w:color="000000" w:sz="4" w:space="0"/>
                    <w:right w:val="nil"/>
                    <w:insideH w:val="nil"/>
                    <w:insideV w:val="nil"/>
                  </w:tcBorders>
                  <w:vAlign w:val="center"/>
                </w:tcPr>
                <w:p w14:paraId="26279B5F">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对本研究的设计启示</w:t>
                  </w:r>
                </w:p>
              </w:tc>
            </w:tr>
            <w:tr w14:paraId="73A83391">
              <w:trPr>
                <w:cantSplit/>
                <w:jc w:val="center"/>
              </w:trPr>
              <w:tc>
                <w:tcPr>
                  <w:tcW w:w="1814" w:type="dxa"/>
                  <w:tcBorders>
                    <w:top w:val="nil"/>
                    <w:left w:val="nil"/>
                    <w:bottom w:val="nil"/>
                    <w:right w:val="nil"/>
                    <w:insideH w:val="nil"/>
                    <w:insideV w:val="nil"/>
                  </w:tcBorders>
                  <w:vAlign w:val="center"/>
                </w:tcPr>
                <w:p w14:paraId="14E2C6D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CriTrainer（Yuan et al., 2023）</w:t>
                  </w:r>
                </w:p>
              </w:tc>
              <w:tc>
                <w:tcPr>
                  <w:tcW w:w="2665" w:type="dxa"/>
                  <w:tcBorders>
                    <w:top w:val="nil"/>
                    <w:left w:val="nil"/>
                    <w:bottom w:val="nil"/>
                    <w:right w:val="nil"/>
                    <w:insideH w:val="nil"/>
                    <w:insideV w:val="nil"/>
                  </w:tcBorders>
                  <w:vAlign w:val="center"/>
                </w:tcPr>
                <w:p w14:paraId="51AC415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概括辅助、关键内容提示、自主提出批判性问题</w:t>
                  </w:r>
                </w:p>
              </w:tc>
              <w:tc>
                <w:tcPr>
                  <w:tcW w:w="2665" w:type="dxa"/>
                  <w:tcBorders>
                    <w:top w:val="nil"/>
                    <w:left w:val="nil"/>
                    <w:bottom w:val="nil"/>
                    <w:right w:val="nil"/>
                    <w:insideH w:val="nil"/>
                    <w:insideV w:val="nil"/>
                  </w:tcBorders>
                  <w:vAlign w:val="center"/>
                </w:tcPr>
                <w:p w14:paraId="7EFB41A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无工具前后测中的概括及问题质量</w:t>
                  </w:r>
                </w:p>
              </w:tc>
              <w:tc>
                <w:tcPr>
                  <w:tcW w:w="2778" w:type="dxa"/>
                  <w:tcBorders>
                    <w:top w:val="nil"/>
                    <w:left w:val="nil"/>
                    <w:bottom w:val="nil"/>
                    <w:right w:val="nil"/>
                    <w:insideH w:val="nil"/>
                    <w:insideV w:val="nil"/>
                  </w:tcBorders>
                  <w:vAlign w:val="center"/>
                </w:tcPr>
                <w:p w14:paraId="3429CB5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用独立阅读产出评价训练，并把理解与评价分开</w:t>
                  </w:r>
                </w:p>
              </w:tc>
            </w:tr>
            <w:tr w14:paraId="2B3BFA86">
              <w:trPr>
                <w:cantSplit/>
                <w:jc w:val="center"/>
              </w:trPr>
              <w:tc>
                <w:tcPr>
                  <w:tcW w:w="1814" w:type="dxa"/>
                  <w:tcBorders>
                    <w:top w:val="nil"/>
                    <w:left w:val="nil"/>
                    <w:bottom w:val="nil"/>
                    <w:right w:val="nil"/>
                    <w:insideH w:val="nil"/>
                    <w:insideV w:val="nil"/>
                  </w:tcBorders>
                  <w:vAlign w:val="center"/>
                </w:tcPr>
                <w:p w14:paraId="258C9E9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Fang等（2026）论文阅读系统</w:t>
                  </w:r>
                </w:p>
              </w:tc>
              <w:tc>
                <w:tcPr>
                  <w:tcW w:w="2665" w:type="dxa"/>
                  <w:tcBorders>
                    <w:top w:val="nil"/>
                    <w:left w:val="nil"/>
                    <w:bottom w:val="nil"/>
                    <w:right w:val="nil"/>
                    <w:insideH w:val="nil"/>
                    <w:insideV w:val="nil"/>
                  </w:tcBorders>
                  <w:vAlign w:val="center"/>
                </w:tcPr>
                <w:p w14:paraId="277E1A1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章节问题、用户作答、AI反馈和修订</w:t>
                  </w:r>
                </w:p>
              </w:tc>
              <w:tc>
                <w:tcPr>
                  <w:tcW w:w="2665" w:type="dxa"/>
                  <w:tcBorders>
                    <w:top w:val="nil"/>
                    <w:left w:val="nil"/>
                    <w:bottom w:val="nil"/>
                    <w:right w:val="nil"/>
                    <w:insideH w:val="nil"/>
                    <w:insideV w:val="nil"/>
                  </w:tcBorders>
                  <w:vAlign w:val="center"/>
                </w:tcPr>
                <w:p w14:paraId="02A8CA6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两周使用及独立前后测</w:t>
                  </w:r>
                </w:p>
              </w:tc>
              <w:tc>
                <w:tcPr>
                  <w:tcW w:w="2778" w:type="dxa"/>
                  <w:tcBorders>
                    <w:top w:val="nil"/>
                    <w:left w:val="nil"/>
                    <w:bottom w:val="nil"/>
                    <w:right w:val="nil"/>
                    <w:insideH w:val="nil"/>
                    <w:insideV w:val="nil"/>
                  </w:tcBorders>
                  <w:vAlign w:val="center"/>
                </w:tcPr>
                <w:p w14:paraId="7AED26A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将讨论与论文具体位置关联，反馈后保留修订机会</w:t>
                  </w:r>
                </w:p>
              </w:tc>
            </w:tr>
            <w:tr w14:paraId="18C7940B">
              <w:trPr>
                <w:cantSplit/>
                <w:jc w:val="center"/>
              </w:trPr>
              <w:tc>
                <w:tcPr>
                  <w:tcW w:w="1814" w:type="dxa"/>
                  <w:tcBorders>
                    <w:top w:val="nil"/>
                    <w:left w:val="nil"/>
                    <w:bottom w:val="nil"/>
                    <w:right w:val="nil"/>
                    <w:insideH w:val="nil"/>
                    <w:insideV w:val="nil"/>
                  </w:tcBorders>
                  <w:vAlign w:val="center"/>
                </w:tcPr>
                <w:p w14:paraId="40DB462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S-ICA（Xi et al., 2026）</w:t>
                  </w:r>
                </w:p>
              </w:tc>
              <w:tc>
                <w:tcPr>
                  <w:tcW w:w="2665" w:type="dxa"/>
                  <w:tcBorders>
                    <w:top w:val="nil"/>
                    <w:left w:val="nil"/>
                    <w:bottom w:val="nil"/>
                    <w:right w:val="nil"/>
                    <w:insideH w:val="nil"/>
                    <w:insideV w:val="nil"/>
                  </w:tcBorders>
                  <w:vAlign w:val="center"/>
                </w:tcPr>
                <w:p w14:paraId="35C5022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围绕研究方案的澄清、理由与改进追问</w:t>
                  </w:r>
                </w:p>
              </w:tc>
              <w:tc>
                <w:tcPr>
                  <w:tcW w:w="2665" w:type="dxa"/>
                  <w:tcBorders>
                    <w:top w:val="nil"/>
                    <w:left w:val="nil"/>
                    <w:bottom w:val="nil"/>
                    <w:right w:val="nil"/>
                    <w:insideH w:val="nil"/>
                    <w:insideV w:val="nil"/>
                  </w:tcBorders>
                  <w:vAlign w:val="center"/>
                </w:tcPr>
                <w:p w14:paraId="23248F2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知识、方案、反思量表和对话过程</w:t>
                  </w:r>
                </w:p>
              </w:tc>
              <w:tc>
                <w:tcPr>
                  <w:tcW w:w="2778" w:type="dxa"/>
                  <w:tcBorders>
                    <w:top w:val="nil"/>
                    <w:left w:val="nil"/>
                    <w:bottom w:val="nil"/>
                    <w:right w:val="nil"/>
                    <w:insideH w:val="nil"/>
                    <w:insideV w:val="nil"/>
                  </w:tcBorders>
                  <w:vAlign w:val="center"/>
                </w:tcPr>
                <w:p w14:paraId="149269F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围绕研究任务组织提示，保留跨轮判断与设计选择</w:t>
                  </w:r>
                </w:p>
              </w:tc>
            </w:tr>
            <w:tr w14:paraId="0572052D">
              <w:trPr>
                <w:cantSplit/>
                <w:jc w:val="center"/>
              </w:trPr>
              <w:tc>
                <w:tcPr>
                  <w:tcW w:w="1814" w:type="dxa"/>
                  <w:tcBorders>
                    <w:top w:val="nil"/>
                    <w:left w:val="nil"/>
                    <w:bottom w:val="nil"/>
                    <w:right w:val="nil"/>
                    <w:insideH w:val="nil"/>
                    <w:insideV w:val="nil"/>
                  </w:tcBorders>
                  <w:vAlign w:val="center"/>
                </w:tcPr>
                <w:p w14:paraId="6CC609C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Namaziandost和Teng（2026）</w:t>
                  </w:r>
                </w:p>
              </w:tc>
              <w:tc>
                <w:tcPr>
                  <w:tcW w:w="2665" w:type="dxa"/>
                  <w:tcBorders>
                    <w:top w:val="nil"/>
                    <w:left w:val="nil"/>
                    <w:bottom w:val="nil"/>
                    <w:right w:val="nil"/>
                    <w:insideH w:val="nil"/>
                    <w:insideV w:val="nil"/>
                  </w:tcBorders>
                  <w:vAlign w:val="center"/>
                </w:tcPr>
                <w:p w14:paraId="7FDCD98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理由、证据、反例与限定条件的自适应对话</w:t>
                  </w:r>
                </w:p>
              </w:tc>
              <w:tc>
                <w:tcPr>
                  <w:tcW w:w="2665" w:type="dxa"/>
                  <w:tcBorders>
                    <w:top w:val="nil"/>
                    <w:left w:val="nil"/>
                    <w:bottom w:val="nil"/>
                    <w:right w:val="nil"/>
                    <w:insideH w:val="nil"/>
                    <w:insideV w:val="nil"/>
                  </w:tcBorders>
                  <w:vAlign w:val="center"/>
                </w:tcPr>
                <w:p w14:paraId="11B5B19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三组学习比较及量表、访谈</w:t>
                  </w:r>
                </w:p>
              </w:tc>
              <w:tc>
                <w:tcPr>
                  <w:tcW w:w="2778" w:type="dxa"/>
                  <w:tcBorders>
                    <w:top w:val="nil"/>
                    <w:left w:val="nil"/>
                    <w:bottom w:val="nil"/>
                    <w:right w:val="nil"/>
                    <w:insideH w:val="nil"/>
                    <w:insideV w:val="nil"/>
                  </w:tcBorders>
                  <w:vAlign w:val="center"/>
                </w:tcPr>
                <w:p w14:paraId="631084D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在共同任务下比较三种支持方式，按论证需要调整追问</w:t>
                  </w:r>
                </w:p>
              </w:tc>
            </w:tr>
            <w:tr w14:paraId="56D96C8E">
              <w:trPr>
                <w:cantSplit/>
                <w:jc w:val="center"/>
              </w:trPr>
              <w:tc>
                <w:tcPr>
                  <w:tcW w:w="1814" w:type="dxa"/>
                  <w:tcBorders>
                    <w:top w:val="nil"/>
                    <w:left w:val="nil"/>
                    <w:bottom w:val="nil"/>
                    <w:right w:val="nil"/>
                    <w:insideH w:val="nil"/>
                    <w:insideV w:val="nil"/>
                  </w:tcBorders>
                  <w:vAlign w:val="center"/>
                </w:tcPr>
                <w:p w14:paraId="35E4B19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Socrat.ai（Yurt, 2026）</w:t>
                  </w:r>
                </w:p>
              </w:tc>
              <w:tc>
                <w:tcPr>
                  <w:tcW w:w="2665" w:type="dxa"/>
                  <w:tcBorders>
                    <w:top w:val="nil"/>
                    <w:left w:val="nil"/>
                    <w:bottom w:val="nil"/>
                    <w:right w:val="nil"/>
                    <w:insideH w:val="nil"/>
                    <w:insideV w:val="nil"/>
                  </w:tcBorders>
                  <w:vAlign w:val="center"/>
                </w:tcPr>
                <w:p w14:paraId="4237C76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自适应追问、跨轮记忆和写作反馈</w:t>
                  </w:r>
                </w:p>
              </w:tc>
              <w:tc>
                <w:tcPr>
                  <w:tcW w:w="2665" w:type="dxa"/>
                  <w:tcBorders>
                    <w:top w:val="nil"/>
                    <w:left w:val="nil"/>
                    <w:bottom w:val="nil"/>
                    <w:right w:val="nil"/>
                    <w:insideH w:val="nil"/>
                    <w:insideV w:val="nil"/>
                  </w:tcBorders>
                  <w:vAlign w:val="center"/>
                </w:tcPr>
                <w:p w14:paraId="63B8217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十周课程中的技能、倾向与动机</w:t>
                  </w:r>
                </w:p>
              </w:tc>
              <w:tc>
                <w:tcPr>
                  <w:tcW w:w="2778" w:type="dxa"/>
                  <w:tcBorders>
                    <w:top w:val="nil"/>
                    <w:left w:val="nil"/>
                    <w:bottom w:val="nil"/>
                    <w:right w:val="nil"/>
                    <w:insideH w:val="nil"/>
                    <w:insideV w:val="nil"/>
                  </w:tcBorders>
                  <w:vAlign w:val="center"/>
                </w:tcPr>
                <w:p w14:paraId="56346A0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将追问与反馈结合，联系学生先前的判断</w:t>
                  </w:r>
                </w:p>
              </w:tc>
            </w:tr>
            <w:tr w14:paraId="724466E9">
              <w:trPr>
                <w:cantSplit/>
                <w:jc w:val="center"/>
              </w:trPr>
              <w:tc>
                <w:tcPr>
                  <w:tcW w:w="1814" w:type="dxa"/>
                  <w:tcBorders>
                    <w:top w:val="nil"/>
                    <w:left w:val="nil"/>
                    <w:bottom w:val="nil"/>
                    <w:right w:val="nil"/>
                    <w:insideH w:val="nil"/>
                    <w:insideV w:val="nil"/>
                  </w:tcBorders>
                  <w:vAlign w:val="center"/>
                </w:tcPr>
                <w:p w14:paraId="126A6CB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LFTutor（Shi et al., 2026）</w:t>
                  </w:r>
                </w:p>
              </w:tc>
              <w:tc>
                <w:tcPr>
                  <w:tcW w:w="2665" w:type="dxa"/>
                  <w:tcBorders>
                    <w:top w:val="nil"/>
                    <w:left w:val="nil"/>
                    <w:bottom w:val="nil"/>
                    <w:right w:val="nil"/>
                    <w:insideH w:val="nil"/>
                    <w:insideV w:val="nil"/>
                  </w:tcBorders>
                  <w:vAlign w:val="center"/>
                </w:tcPr>
                <w:p w14:paraId="252F1DC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论证分析、教学意图选择、策略执行与检查</w:t>
                  </w:r>
                </w:p>
              </w:tc>
              <w:tc>
                <w:tcPr>
                  <w:tcW w:w="2665" w:type="dxa"/>
                  <w:tcBorders>
                    <w:top w:val="nil"/>
                    <w:left w:val="nil"/>
                    <w:bottom w:val="nil"/>
                    <w:right w:val="nil"/>
                    <w:insideH w:val="nil"/>
                    <w:insideV w:val="nil"/>
                  </w:tcBorders>
                  <w:vAlign w:val="center"/>
                </w:tcPr>
                <w:p w14:paraId="5FE557D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自动评价、消融及真人对话评价</w:t>
                  </w:r>
                </w:p>
              </w:tc>
              <w:tc>
                <w:tcPr>
                  <w:tcW w:w="2778" w:type="dxa"/>
                  <w:tcBorders>
                    <w:top w:val="nil"/>
                    <w:left w:val="nil"/>
                    <w:bottom w:val="nil"/>
                    <w:right w:val="nil"/>
                    <w:insideH w:val="nil"/>
                    <w:insideV w:val="nil"/>
                  </w:tcBorders>
                  <w:vAlign w:val="center"/>
                </w:tcPr>
                <w:p w14:paraId="1638D90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让策略选择有明确依据，并检查实际回复是否执行该策略</w:t>
                  </w:r>
                </w:p>
              </w:tc>
            </w:tr>
            <w:tr w14:paraId="33A6EEA3">
              <w:trPr>
                <w:cantSplit/>
                <w:jc w:val="center"/>
              </w:trPr>
              <w:tc>
                <w:tcPr>
                  <w:tcW w:w="1814" w:type="dxa"/>
                  <w:tcBorders>
                    <w:top w:val="nil"/>
                    <w:left w:val="nil"/>
                    <w:bottom w:val="single" w:color="000000" w:sz="8" w:space="0"/>
                    <w:right w:val="nil"/>
                    <w:insideH w:val="nil"/>
                    <w:insideV w:val="nil"/>
                  </w:tcBorders>
                  <w:vAlign w:val="center"/>
                </w:tcPr>
                <w:p w14:paraId="5830CC3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Critical Inker（Hugenroth et al., 2026）</w:t>
                  </w:r>
                </w:p>
              </w:tc>
              <w:tc>
                <w:tcPr>
                  <w:tcW w:w="2665" w:type="dxa"/>
                  <w:tcBorders>
                    <w:top w:val="nil"/>
                    <w:left w:val="nil"/>
                    <w:bottom w:val="single" w:color="000000" w:sz="8" w:space="0"/>
                    <w:right w:val="nil"/>
                    <w:insideH w:val="nil"/>
                    <w:insideV w:val="nil"/>
                  </w:tcBorders>
                  <w:vAlign w:val="center"/>
                </w:tcPr>
                <w:p w14:paraId="763D28B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论证结构分析、原文定位、问题计划和对话反馈</w:t>
                  </w:r>
                </w:p>
              </w:tc>
              <w:tc>
                <w:tcPr>
                  <w:tcW w:w="2665" w:type="dxa"/>
                  <w:tcBorders>
                    <w:top w:val="nil"/>
                    <w:left w:val="nil"/>
                    <w:bottom w:val="single" w:color="000000" w:sz="8" w:space="0"/>
                    <w:right w:val="nil"/>
                    <w:insideH w:val="nil"/>
                    <w:insideV w:val="nil"/>
                  </w:tcBorders>
                  <w:vAlign w:val="center"/>
                </w:tcPr>
                <w:p w14:paraId="617229D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技术指标及小规模试用</w:t>
                  </w:r>
                </w:p>
              </w:tc>
              <w:tc>
                <w:tcPr>
                  <w:tcW w:w="2778" w:type="dxa"/>
                  <w:tcBorders>
                    <w:top w:val="nil"/>
                    <w:left w:val="nil"/>
                    <w:bottom w:val="single" w:color="000000" w:sz="8" w:space="0"/>
                    <w:right w:val="nil"/>
                    <w:insideH w:val="nil"/>
                    <w:insideV w:val="nil"/>
                  </w:tcBorders>
                  <w:vAlign w:val="center"/>
                </w:tcPr>
                <w:p w14:paraId="298E443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围绕具体支持关系展开讨论，避免连续重复已回答的问题</w:t>
                  </w:r>
                </w:p>
              </w:tc>
            </w:tr>
          </w:tbl>
          <w:p w14:paraId="7366EFFE">
            <w:pPr>
              <w:spacing w:before="0" w:after="40" w:line="40" w:lineRule="exact"/>
            </w:pPr>
          </w:p>
        </w:tc>
      </w:tr>
      <w:tr w14:paraId="7968BFEC">
        <w:trPr>
          <w:jc w:val="center"/>
        </w:trPr>
        <w:tc>
          <w:tcPr>
            <w:tcW w:w="10440" w:type="dxa"/>
            <w:tcMar>
              <w:top w:w="0" w:type="dxa"/>
              <w:left w:w="160" w:type="dxa"/>
              <w:bottom w:w="0" w:type="dxa"/>
              <w:right w:w="160" w:type="dxa"/>
            </w:tcMar>
            <w:vAlign w:val="top"/>
          </w:tcPr>
          <w:p w14:paraId="7C5E278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表1中的系统比较进一步明确了实现与验证的重点：Agent需要根据当前判断选择追问对象、生成反馈，并检查回复是否执行了相应策略。在验证上，研究二通过可用性测试了解新手能否理解和使用这些支持，研究三再通过独立测验检验训练效果。这样的安排使产品是否可用、追问是否得到执行，以及学生是否学会独立评价，分别获得对应的证据。</w:t>
            </w:r>
          </w:p>
        </w:tc>
      </w:tr>
      <w:tr w14:paraId="092CC22C">
        <w:trPr>
          <w:jc w:val="center"/>
        </w:trPr>
        <w:tc>
          <w:tcPr>
            <w:tcW w:w="10440" w:type="dxa"/>
            <w:tcMar>
              <w:top w:w="0" w:type="dxa"/>
              <w:left w:w="160" w:type="dxa"/>
              <w:bottom w:w="0" w:type="dxa"/>
              <w:right w:w="160" w:type="dxa"/>
            </w:tcMar>
            <w:vAlign w:val="top"/>
          </w:tcPr>
          <w:p w14:paraId="59325A50">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2.3.3 苏格拉底式追问的理论依据</w:t>
            </w:r>
          </w:p>
          <w:p w14:paraId="7650E639">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（1）生成性学习与自我解释</w:t>
            </w:r>
          </w:p>
          <w:p w14:paraId="58E6389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Wittrock（1974/2010）提出生成性学习观点，强调理解涉及学习者主动建立意义：学习者在材料各部分之间生成联系，并将新材料与已有知识相联系。学习过程因此包含对信息的主动组织与解释，而不仅是接收或记住外部提供的内容。这一观点为分析学习活动如何促进理解提供了总体框架。</w:t>
            </w:r>
          </w:p>
        </w:tc>
      </w:tr>
      <w:tr w14:paraId="6439E669">
        <w:trPr>
          <w:jc w:val="center"/>
        </w:trPr>
        <w:tc>
          <w:tcPr>
            <w:tcW w:w="10440" w:type="dxa"/>
            <w:tcMar>
              <w:top w:w="0" w:type="dxa"/>
              <w:left w:w="160" w:type="dxa"/>
              <w:bottom w:w="0" w:type="dxa"/>
              <w:right w:w="160" w:type="dxa"/>
            </w:tcMar>
            <w:vAlign w:val="top"/>
          </w:tcPr>
          <w:p w14:paraId="054F075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Fiorella和Mayer（2016）从选择、组织和整合信息的角度解释生成性学习活动：学习者选择重要内容，将其组织成有意义的关系，再与已有知识联系起来。自我解释是实现这类加工的一种活动，学习者需要组织材料、生成推论并建立与已有知识的联系。作者指出，解释提示的作用取决于学习者能否生成有质量的解释，部分学习者需要更聚焦的提示或指导。因此，学习活动的效果需要结合解释内容考察，不能仅以回答长度或重复材料的数量判断。</w:t>
            </w:r>
          </w:p>
        </w:tc>
      </w:tr>
      <w:tr w14:paraId="109C1446">
        <w:trPr>
          <w:jc w:val="center"/>
        </w:trPr>
        <w:tc>
          <w:tcPr>
            <w:tcW w:w="10440" w:type="dxa"/>
            <w:tcMar>
              <w:top w:w="0" w:type="dxa"/>
              <w:left w:w="160" w:type="dxa"/>
              <w:bottom w:w="0" w:type="dxa"/>
              <w:right w:w="160" w:type="dxa"/>
            </w:tcMar>
            <w:vAlign w:val="top"/>
          </w:tcPr>
          <w:p w14:paraId="2D0C8D8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Chi等人（1994）通过提示学生对学习材料进行自我解释，考察这种活动对文本理解的影响。接受自我解释提示的学生，其文本理解优于未接受相应提示的条件。研究表明，引导学习者表达自己对材料的解释，可以促进其理解，为通过提问诱发主动解释提供了实验证据。</w:t>
            </w:r>
          </w:p>
        </w:tc>
      </w:tr>
      <w:tr w14:paraId="16A4540C">
        <w:trPr>
          <w:jc w:val="center"/>
        </w:trPr>
        <w:tc>
          <w:tcPr>
            <w:tcW w:w="10440" w:type="dxa"/>
            <w:tcMar>
              <w:top w:w="0" w:type="dxa"/>
              <w:left w:w="160" w:type="dxa"/>
              <w:bottom w:w="0" w:type="dxa"/>
              <w:right w:w="160" w:type="dxa"/>
            </w:tcMar>
            <w:vAlign w:val="top"/>
          </w:tcPr>
          <w:p w14:paraId="0209CC7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Chi（2000）进一步从生成推论和修复心理模型两个过程解释自我解释的作用。学习者为自己解释材料中的关系、原理或推理过程，能够补充文本没有直接说明的联系；当解释暴露出原有理解的不一致时，学习者也有机会修正理解。这一分析将自我解释落实为可观察的推论生成与理解修正，使其区别于仅复述材料或表达一个结论。</w:t>
            </w:r>
          </w:p>
        </w:tc>
      </w:tr>
      <w:tr w14:paraId="4F0CDAD2">
        <w:trPr>
          <w:jc w:val="center"/>
        </w:trPr>
        <w:tc>
          <w:tcPr>
            <w:tcW w:w="10440" w:type="dxa"/>
            <w:tcMar>
              <w:top w:w="0" w:type="dxa"/>
              <w:left w:w="160" w:type="dxa"/>
              <w:bottom w:w="0" w:type="dxa"/>
              <w:right w:w="160" w:type="dxa"/>
            </w:tcMar>
            <w:vAlign w:val="top"/>
          </w:tcPr>
          <w:p w14:paraId="3EE1912B">
            <w:pPr>
              <w:keepNext/>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  生成性加工与追问设计的对应</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814"/>
              <w:gridCol w:w="2665"/>
              <w:gridCol w:w="2665"/>
              <w:gridCol w:w="2778"/>
            </w:tblGrid>
            <w:tr w14:paraId="61FF52E7">
              <w:trPr>
                <w:cantSplit/>
                <w:tblHeader/>
                <w:jc w:val="center"/>
              </w:trPr>
              <w:tc>
                <w:tcPr>
                  <w:tcW w:w="1814" w:type="dxa"/>
                  <w:tcBorders>
                    <w:top w:val="single" w:color="000000" w:sz="8" w:space="0"/>
                    <w:left w:val="nil"/>
                    <w:bottom w:val="single" w:color="000000" w:sz="4" w:space="0"/>
                    <w:right w:val="nil"/>
                    <w:insideH w:val="nil"/>
                    <w:insideV w:val="nil"/>
                  </w:tcBorders>
                  <w:vAlign w:val="center"/>
                </w:tcPr>
                <w:p w14:paraId="246DF66D">
                  <w:pPr>
                    <w:keepNext/>
                    <w:keepLines w:val="0"/>
                    <w:widowControl/>
                    <w:snapToGrid w:val="0"/>
                    <w:spacing w:before="60" w:after="60" w:line="280" w:lineRule="exact"/>
                    <w:ind w:left="0" w:right="0" w:firstLine="0"/>
                    <w:jc w:val="left"/>
                  </w:pPr>
                  <w:r>
                    <w:rPr>
                      <w:rFonts w:ascii="Times New Roman" w:hAnsi="Times New Roman" w:eastAsia="宋体"/>
                      <w:b/>
                      <w:i w:val="0"/>
                      <w:color w:val="000000"/>
                      <w:sz w:val="22"/>
                    </w:rPr>
                    <w:t>生成性加工</w:t>
                  </w:r>
                </w:p>
              </w:tc>
              <w:tc>
                <w:tcPr>
                  <w:tcW w:w="2665" w:type="dxa"/>
                  <w:tcBorders>
                    <w:top w:val="single" w:color="000000" w:sz="8" w:space="0"/>
                    <w:left w:val="nil"/>
                    <w:bottom w:val="single" w:color="000000" w:sz="4" w:space="0"/>
                    <w:right w:val="nil"/>
                    <w:insideH w:val="nil"/>
                    <w:insideV w:val="nil"/>
                  </w:tcBorders>
                  <w:vAlign w:val="center"/>
                </w:tcPr>
                <w:p w14:paraId="7B0ABFC9">
                  <w:pPr>
                    <w:keepNext/>
                    <w:keepLines w:val="0"/>
                    <w:widowControl/>
                    <w:snapToGrid w:val="0"/>
                    <w:spacing w:before="60" w:after="60" w:line="280" w:lineRule="exact"/>
                    <w:ind w:left="0" w:right="0" w:firstLine="0"/>
                    <w:jc w:val="left"/>
                  </w:pPr>
                  <w:r>
                    <w:rPr>
                      <w:rFonts w:ascii="Times New Roman" w:hAnsi="Times New Roman" w:eastAsia="宋体"/>
                      <w:b/>
                      <w:i w:val="0"/>
                      <w:color w:val="000000"/>
                      <w:sz w:val="22"/>
                    </w:rPr>
                    <w:t>科研论文阅读中的表现</w:t>
                  </w:r>
                </w:p>
              </w:tc>
              <w:tc>
                <w:tcPr>
                  <w:tcW w:w="2665" w:type="dxa"/>
                  <w:tcBorders>
                    <w:top w:val="single" w:color="000000" w:sz="8" w:space="0"/>
                    <w:left w:val="nil"/>
                    <w:bottom w:val="single" w:color="000000" w:sz="4" w:space="0"/>
                    <w:right w:val="nil"/>
                    <w:insideH w:val="nil"/>
                    <w:insideV w:val="nil"/>
                  </w:tcBorders>
                  <w:vAlign w:val="center"/>
                </w:tcPr>
                <w:p w14:paraId="5561B42B">
                  <w:pPr>
                    <w:keepNext/>
                    <w:keepLines w:val="0"/>
                    <w:widowControl/>
                    <w:snapToGrid w:val="0"/>
                    <w:spacing w:before="60" w:after="60" w:line="280" w:lineRule="exact"/>
                    <w:ind w:left="0" w:right="0" w:firstLine="0"/>
                    <w:jc w:val="left"/>
                  </w:pPr>
                  <w:r>
                    <w:rPr>
                      <w:rFonts w:ascii="Times New Roman" w:hAnsi="Times New Roman" w:eastAsia="宋体"/>
                      <w:b/>
                      <w:i w:val="0"/>
                      <w:color w:val="000000"/>
                      <w:sz w:val="22"/>
                    </w:rPr>
                    <w:t>Agent如何引导</w:t>
                  </w:r>
                </w:p>
              </w:tc>
              <w:tc>
                <w:tcPr>
                  <w:tcW w:w="2778" w:type="dxa"/>
                  <w:tcBorders>
                    <w:top w:val="single" w:color="000000" w:sz="8" w:space="0"/>
                    <w:left w:val="nil"/>
                    <w:bottom w:val="single" w:color="000000" w:sz="4" w:space="0"/>
                    <w:right w:val="nil"/>
                    <w:insideH w:val="nil"/>
                    <w:insideV w:val="nil"/>
                  </w:tcBorders>
                  <w:vAlign w:val="center"/>
                </w:tcPr>
                <w:p w14:paraId="187B9373">
                  <w:pPr>
                    <w:keepNext/>
                    <w:keepLines w:val="0"/>
                    <w:widowControl/>
                    <w:snapToGrid w:val="0"/>
                    <w:spacing w:before="60" w:after="60" w:line="280" w:lineRule="exact"/>
                    <w:ind w:left="0" w:right="0" w:firstLine="0"/>
                    <w:jc w:val="left"/>
                  </w:pPr>
                  <w:r>
                    <w:rPr>
                      <w:rFonts w:ascii="Times New Roman" w:hAnsi="Times New Roman" w:eastAsia="宋体"/>
                      <w:b/>
                      <w:i w:val="0"/>
                      <w:color w:val="000000"/>
                      <w:sz w:val="22"/>
                    </w:rPr>
                    <w:t>可观察的学生回应</w:t>
                  </w:r>
                </w:p>
              </w:tc>
            </w:tr>
            <w:tr w14:paraId="53F69E81">
              <w:trPr>
                <w:cantSplit/>
                <w:jc w:val="center"/>
              </w:trPr>
              <w:tc>
                <w:tcPr>
                  <w:tcW w:w="1814" w:type="dxa"/>
                  <w:tcBorders>
                    <w:top w:val="nil"/>
                    <w:left w:val="nil"/>
                    <w:bottom w:val="nil"/>
                    <w:right w:val="nil"/>
                    <w:insideH w:val="nil"/>
                    <w:insideV w:val="nil"/>
                  </w:tcBorders>
                  <w:vAlign w:val="center"/>
                </w:tcPr>
                <w:p w14:paraId="78883A3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选择重要信息</w:t>
                  </w:r>
                </w:p>
              </w:tc>
              <w:tc>
                <w:tcPr>
                  <w:tcW w:w="2665" w:type="dxa"/>
                  <w:tcBorders>
                    <w:top w:val="nil"/>
                    <w:left w:val="nil"/>
                    <w:bottom w:val="nil"/>
                    <w:right w:val="nil"/>
                    <w:insideH w:val="nil"/>
                    <w:insideV w:val="nil"/>
                  </w:tcBorders>
                  <w:vAlign w:val="center"/>
                </w:tcPr>
                <w:p w14:paraId="7CF6417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识别与当前结论有关的方法、结果或限制</w:t>
                  </w:r>
                </w:p>
              </w:tc>
              <w:tc>
                <w:tcPr>
                  <w:tcW w:w="2665" w:type="dxa"/>
                  <w:tcBorders>
                    <w:top w:val="nil"/>
                    <w:left w:val="nil"/>
                    <w:bottom w:val="nil"/>
                    <w:right w:val="nil"/>
                    <w:insideH w:val="nil"/>
                    <w:insideV w:val="nil"/>
                  </w:tcBorders>
                  <w:vAlign w:val="center"/>
                </w:tcPr>
                <w:p w14:paraId="52B7221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询问判断针对哪项结论、原文依据在哪里</w:t>
                  </w:r>
                </w:p>
              </w:tc>
              <w:tc>
                <w:tcPr>
                  <w:tcW w:w="2778" w:type="dxa"/>
                  <w:tcBorders>
                    <w:top w:val="nil"/>
                    <w:left w:val="nil"/>
                    <w:bottom w:val="nil"/>
                    <w:right w:val="nil"/>
                    <w:insideH w:val="nil"/>
                    <w:insideV w:val="nil"/>
                  </w:tcBorders>
                  <w:vAlign w:val="center"/>
                </w:tcPr>
                <w:p w14:paraId="23E1E74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指出相关段落、变量、比较条件或结果</w:t>
                  </w:r>
                </w:p>
              </w:tc>
            </w:tr>
            <w:tr w14:paraId="477F9BAB">
              <w:trPr>
                <w:cantSplit/>
                <w:jc w:val="center"/>
              </w:trPr>
              <w:tc>
                <w:tcPr>
                  <w:tcW w:w="1814" w:type="dxa"/>
                  <w:tcBorders>
                    <w:top w:val="nil"/>
                    <w:left w:val="nil"/>
                    <w:bottom w:val="nil"/>
                    <w:right w:val="nil"/>
                    <w:insideH w:val="nil"/>
                    <w:insideV w:val="nil"/>
                  </w:tcBorders>
                  <w:vAlign w:val="center"/>
                </w:tcPr>
                <w:p w14:paraId="12907D1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组织信息关系</w:t>
                  </w:r>
                </w:p>
              </w:tc>
              <w:tc>
                <w:tcPr>
                  <w:tcW w:w="2665" w:type="dxa"/>
                  <w:tcBorders>
                    <w:top w:val="nil"/>
                    <w:left w:val="nil"/>
                    <w:bottom w:val="nil"/>
                    <w:right w:val="nil"/>
                    <w:insideH w:val="nil"/>
                    <w:insideV w:val="nil"/>
                  </w:tcBorders>
                  <w:vAlign w:val="center"/>
                </w:tcPr>
                <w:p w14:paraId="5FAA3BC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联系研究问题、做法、证据与结论</w:t>
                  </w:r>
                </w:p>
              </w:tc>
              <w:tc>
                <w:tcPr>
                  <w:tcW w:w="2665" w:type="dxa"/>
                  <w:tcBorders>
                    <w:top w:val="nil"/>
                    <w:left w:val="nil"/>
                    <w:bottom w:val="nil"/>
                    <w:right w:val="nil"/>
                    <w:insideH w:val="nil"/>
                    <w:insideV w:val="nil"/>
                  </w:tcBorders>
                  <w:vAlign w:val="center"/>
                </w:tcPr>
                <w:p w14:paraId="02EA6C5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询问某项做法如何影响证据或推断</w:t>
                  </w:r>
                </w:p>
              </w:tc>
              <w:tc>
                <w:tcPr>
                  <w:tcW w:w="2778" w:type="dxa"/>
                  <w:tcBorders>
                    <w:top w:val="nil"/>
                    <w:left w:val="nil"/>
                    <w:bottom w:val="nil"/>
                    <w:right w:val="nil"/>
                    <w:insideH w:val="nil"/>
                    <w:insideV w:val="nil"/>
                  </w:tcBorders>
                  <w:vAlign w:val="center"/>
                </w:tcPr>
                <w:p w14:paraId="7FD319E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说明信息之间的支持、限制或矛盾关系</w:t>
                  </w:r>
                </w:p>
              </w:tc>
            </w:tr>
            <w:tr w14:paraId="67F05E45">
              <w:trPr>
                <w:cantSplit/>
                <w:jc w:val="center"/>
              </w:trPr>
              <w:tc>
                <w:tcPr>
                  <w:tcW w:w="1814" w:type="dxa"/>
                  <w:tcBorders>
                    <w:top w:val="nil"/>
                    <w:left w:val="nil"/>
                    <w:bottom w:val="nil"/>
                    <w:right w:val="nil"/>
                    <w:insideH w:val="nil"/>
                    <w:insideV w:val="nil"/>
                  </w:tcBorders>
                  <w:vAlign w:val="center"/>
                </w:tcPr>
                <w:p w14:paraId="07B8642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整合已有知识</w:t>
                  </w:r>
                </w:p>
              </w:tc>
              <w:tc>
                <w:tcPr>
                  <w:tcW w:w="2665" w:type="dxa"/>
                  <w:tcBorders>
                    <w:top w:val="nil"/>
                    <w:left w:val="nil"/>
                    <w:bottom w:val="nil"/>
                    <w:right w:val="nil"/>
                    <w:insideH w:val="nil"/>
                    <w:insideV w:val="nil"/>
                  </w:tcBorders>
                  <w:vAlign w:val="center"/>
                </w:tcPr>
                <w:p w14:paraId="2047F17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运用方法学原则解释具体研究</w:t>
                  </w:r>
                </w:p>
              </w:tc>
              <w:tc>
                <w:tcPr>
                  <w:tcW w:w="2665" w:type="dxa"/>
                  <w:tcBorders>
                    <w:top w:val="nil"/>
                    <w:left w:val="nil"/>
                    <w:bottom w:val="nil"/>
                    <w:right w:val="nil"/>
                    <w:insideH w:val="nil"/>
                    <w:insideV w:val="nil"/>
                  </w:tcBorders>
                  <w:vAlign w:val="center"/>
                </w:tcPr>
                <w:p w14:paraId="046BED4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询问为什么适用某条原则、适用条件是什么</w:t>
                  </w:r>
                </w:p>
              </w:tc>
              <w:tc>
                <w:tcPr>
                  <w:tcW w:w="2778" w:type="dxa"/>
                  <w:tcBorders>
                    <w:top w:val="nil"/>
                    <w:left w:val="nil"/>
                    <w:bottom w:val="nil"/>
                    <w:right w:val="nil"/>
                    <w:insideH w:val="nil"/>
                    <w:insideV w:val="nil"/>
                  </w:tcBorders>
                  <w:vAlign w:val="center"/>
                </w:tcPr>
                <w:p w14:paraId="61E40C4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把研究情境与概念或原则连接起来</w:t>
                  </w:r>
                </w:p>
              </w:tc>
            </w:tr>
            <w:tr w14:paraId="1BB94B5B">
              <w:trPr>
                <w:cantSplit/>
                <w:jc w:val="center"/>
              </w:trPr>
              <w:tc>
                <w:tcPr>
                  <w:tcW w:w="1814" w:type="dxa"/>
                  <w:tcBorders>
                    <w:top w:val="nil"/>
                    <w:left w:val="nil"/>
                    <w:bottom w:val="single" w:color="000000" w:sz="8" w:space="0"/>
                    <w:right w:val="nil"/>
                    <w:insideH w:val="nil"/>
                    <w:insideV w:val="nil"/>
                  </w:tcBorders>
                  <w:vAlign w:val="center"/>
                </w:tcPr>
                <w:p w14:paraId="14D175E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生成推论和修正理解</w:t>
                  </w:r>
                </w:p>
              </w:tc>
              <w:tc>
                <w:tcPr>
                  <w:tcW w:w="2665" w:type="dxa"/>
                  <w:tcBorders>
                    <w:top w:val="nil"/>
                    <w:left w:val="nil"/>
                    <w:bottom w:val="single" w:color="000000" w:sz="8" w:space="0"/>
                    <w:right w:val="nil"/>
                    <w:insideH w:val="nil"/>
                    <w:insideV w:val="nil"/>
                  </w:tcBorders>
                  <w:vAlign w:val="center"/>
                </w:tcPr>
                <w:p w14:paraId="5456CEF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补出隐含前提，比较替代解释，调整结论</w:t>
                  </w:r>
                </w:p>
              </w:tc>
              <w:tc>
                <w:tcPr>
                  <w:tcW w:w="2665" w:type="dxa"/>
                  <w:tcBorders>
                    <w:top w:val="nil"/>
                    <w:left w:val="nil"/>
                    <w:bottom w:val="single" w:color="000000" w:sz="8" w:space="0"/>
                    <w:right w:val="nil"/>
                    <w:insideH w:val="nil"/>
                    <w:insideV w:val="nil"/>
                  </w:tcBorders>
                  <w:vAlign w:val="center"/>
                </w:tcPr>
                <w:p w14:paraId="5828BB2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追问未说明的前提、可能反例及修正理由</w:t>
                  </w:r>
                </w:p>
              </w:tc>
              <w:tc>
                <w:tcPr>
                  <w:tcW w:w="2778" w:type="dxa"/>
                  <w:tcBorders>
                    <w:top w:val="nil"/>
                    <w:left w:val="nil"/>
                    <w:bottom w:val="single" w:color="000000" w:sz="8" w:space="0"/>
                    <w:right w:val="nil"/>
                    <w:insideH w:val="nil"/>
                    <w:insideV w:val="nil"/>
                  </w:tcBorders>
                  <w:vAlign w:val="center"/>
                </w:tcPr>
                <w:p w14:paraId="3338027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提出有依据的新联系并说明判断为何变化</w:t>
                  </w:r>
                </w:p>
              </w:tc>
            </w:tr>
          </w:tbl>
          <w:p w14:paraId="32122086">
            <w:pPr>
              <w:spacing w:before="0" w:after="40" w:line="40" w:lineRule="exact"/>
            </w:pPr>
          </w:p>
        </w:tc>
      </w:tr>
      <w:tr w14:paraId="725943AF">
        <w:trPr>
          <w:jc w:val="center"/>
        </w:trPr>
        <w:tc>
          <w:tcPr>
            <w:tcW w:w="10440" w:type="dxa"/>
            <w:tcMar>
              <w:top w:w="0" w:type="dxa"/>
              <w:left w:w="160" w:type="dxa"/>
              <w:bottom w:w="0" w:type="dxa"/>
              <w:right w:w="160" w:type="dxa"/>
            </w:tcMar>
            <w:vAlign w:val="top"/>
          </w:tcPr>
          <w:p w14:paraId="3AEFCE2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运用自我解释支持论文评价，关键是让学生自己说明研究做法、方法学原则与结论之间的联系。例如，学生说“分组不合理”后，Agent可继续询问原文依据、这一做法如何影响结论，以及是否存在其他解释，使学生逐步说明自行选择参加干预可能带来的原有组间差异。在这一过程中，选择、组织和整合分别落实为证据定位、关系解释及方法学知识应用，并通过后续反馈支持判断修正（见表2）；过程分析关注学生生成了怎样的联系及理由。</w:t>
            </w:r>
          </w:p>
        </w:tc>
      </w:tr>
      <w:tr w14:paraId="3C10C373">
        <w:trPr>
          <w:jc w:val="center"/>
        </w:trPr>
        <w:tc>
          <w:tcPr>
            <w:tcW w:w="10440" w:type="dxa"/>
            <w:tcMar>
              <w:top w:w="0" w:type="dxa"/>
              <w:left w:w="160" w:type="dxa"/>
              <w:bottom w:w="0" w:type="dxa"/>
              <w:right w:w="160" w:type="dxa"/>
            </w:tcMar>
            <w:vAlign w:val="top"/>
          </w:tcPr>
          <w:p w14:paraId="46BD54A3">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（2）最近发展区与自适应支架</w:t>
            </w:r>
          </w:p>
          <w:p w14:paraId="352D2B4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Vygotsky（1978）用最近发展区描述学习者当前独立完成的水平与在适当指导或合作下能够达到的水平之间的距离。该观点强调理解学习者当前能力与可以在帮助下完成的活动之间的关系，为根据实际困难安排支持提供理论依据。支持需要回应学习者尚不能独立完成的部分，并为其进一步发展创造条件。</w:t>
            </w:r>
          </w:p>
        </w:tc>
      </w:tr>
      <w:tr w14:paraId="746E94C2">
        <w:trPr>
          <w:jc w:val="center"/>
        </w:trPr>
        <w:tc>
          <w:tcPr>
            <w:tcW w:w="10440" w:type="dxa"/>
            <w:tcMar>
              <w:top w:w="0" w:type="dxa"/>
              <w:left w:w="160" w:type="dxa"/>
              <w:bottom w:w="0" w:type="dxa"/>
              <w:right w:w="160" w:type="dxa"/>
            </w:tcMar>
            <w:vAlign w:val="top"/>
          </w:tcPr>
          <w:p w14:paraId="47C6823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按照最近发展区的观点，帮助程度应随学生当前能够完成的活动而调整。已有判断但理由不足时，可通过追问保留自行推理的空间；缺少必要概念时，先提供讲解；已经能够定位依据并解释关系时，则减少提示。为适应这些差异，本研究设置开放引导、方向提示、具体支持和必要讲解四种帮助程度，随讨论进展灵活调整。例如，学生尚未区分随机分配与随机抽样时需要概念说明，能够区分后则转向其对当前研究推断的影响，使学习者逐步承担原先需要支持的评价活动。</w:t>
            </w:r>
          </w:p>
        </w:tc>
      </w:tr>
      <w:tr w14:paraId="1A5422AC">
        <w:trPr>
          <w:jc w:val="center"/>
        </w:trPr>
        <w:tc>
          <w:tcPr>
            <w:tcW w:w="10440" w:type="dxa"/>
            <w:tcMar>
              <w:top w:w="0" w:type="dxa"/>
              <w:left w:w="160" w:type="dxa"/>
              <w:bottom w:w="0" w:type="dxa"/>
              <w:right w:w="160" w:type="dxa"/>
            </w:tcMar>
            <w:vAlign w:val="top"/>
          </w:tcPr>
          <w:p w14:paraId="1A6CA834">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（3）Toulmin论证模型</w:t>
            </w:r>
          </w:p>
          <w:p w14:paraId="20C1320B">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Toulmin（2003）的论证模型区分主张、依据、连接依据与主张的论证理由、对理由的支持、限定条件及反驳或例外。模型关注一项判断如何得到证据支持，以及从证据走向判断需要哪些推断原则和适用条件。它为检查“有什么证据”“证据为什么支持判断”“判断在什么条件下成立”提供了结构化框架，也使论证中的支持关系、限定与可能反例能够分别受到审查。</w:t>
            </w:r>
          </w:p>
        </w:tc>
      </w:tr>
      <w:tr w14:paraId="5496B0C9">
        <w:trPr>
          <w:jc w:val="center"/>
        </w:trPr>
        <w:tc>
          <w:tcPr>
            <w:tcW w:w="10440" w:type="dxa"/>
            <w:tcMar>
              <w:top w:w="0" w:type="dxa"/>
              <w:left w:w="160" w:type="dxa"/>
              <w:bottom w:w="0" w:type="dxa"/>
              <w:right w:w="160" w:type="dxa"/>
            </w:tcMar>
            <w:vAlign w:val="top"/>
          </w:tcPr>
          <w:p w14:paraId="4B2EBA10">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表3  Toulmin论证成分与论文评价</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531E7A87">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7F1C9834">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论证成分</w:t>
                  </w:r>
                </w:p>
              </w:tc>
              <w:tc>
                <w:tcPr>
                  <w:tcW w:w="3685" w:type="dxa"/>
                  <w:tcBorders>
                    <w:top w:val="single" w:color="000000" w:sz="8" w:space="0"/>
                    <w:left w:val="nil"/>
                    <w:bottom w:val="single" w:color="000000" w:sz="4" w:space="0"/>
                    <w:right w:val="nil"/>
                    <w:insideH w:val="nil"/>
                    <w:insideV w:val="nil"/>
                  </w:tcBorders>
                  <w:vAlign w:val="center"/>
                </w:tcPr>
                <w:p w14:paraId="72689300">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在论文评价中的含义</w:t>
                  </w:r>
                </w:p>
              </w:tc>
              <w:tc>
                <w:tcPr>
                  <w:tcW w:w="4309" w:type="dxa"/>
                  <w:tcBorders>
                    <w:top w:val="single" w:color="000000" w:sz="8" w:space="0"/>
                    <w:left w:val="nil"/>
                    <w:bottom w:val="single" w:color="000000" w:sz="4" w:space="0"/>
                    <w:right w:val="nil"/>
                    <w:insideH w:val="nil"/>
                    <w:insideV w:val="nil"/>
                  </w:tcBorders>
                  <w:vAlign w:val="center"/>
                </w:tcPr>
                <w:p w14:paraId="37D9F490">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需要解释的关系</w:t>
                  </w:r>
                </w:p>
              </w:tc>
            </w:tr>
            <w:tr w14:paraId="52FC2FD0">
              <w:trPr>
                <w:cantSplit/>
                <w:jc w:val="center"/>
              </w:trPr>
              <w:tc>
                <w:tcPr>
                  <w:tcW w:w="1928" w:type="dxa"/>
                  <w:tcBorders>
                    <w:top w:val="nil"/>
                    <w:left w:val="nil"/>
                    <w:bottom w:val="nil"/>
                    <w:right w:val="nil"/>
                    <w:insideH w:val="nil"/>
                    <w:insideV w:val="nil"/>
                  </w:tcBorders>
                  <w:vAlign w:val="center"/>
                </w:tcPr>
                <w:p w14:paraId="03B378E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主张（Claim）</w:t>
                  </w:r>
                </w:p>
              </w:tc>
              <w:tc>
                <w:tcPr>
                  <w:tcW w:w="3685" w:type="dxa"/>
                  <w:tcBorders>
                    <w:top w:val="nil"/>
                    <w:left w:val="nil"/>
                    <w:bottom w:val="nil"/>
                    <w:right w:val="nil"/>
                    <w:insideH w:val="nil"/>
                    <w:insideV w:val="nil"/>
                  </w:tcBorders>
                  <w:vAlign w:val="center"/>
                </w:tcPr>
                <w:p w14:paraId="3250B41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作者的研究结论或学生的评价判断</w:t>
                  </w:r>
                </w:p>
              </w:tc>
              <w:tc>
                <w:tcPr>
                  <w:tcW w:w="4309" w:type="dxa"/>
                  <w:tcBorders>
                    <w:top w:val="nil"/>
                    <w:left w:val="nil"/>
                    <w:bottom w:val="nil"/>
                    <w:right w:val="nil"/>
                    <w:insideH w:val="nil"/>
                    <w:insideV w:val="nil"/>
                  </w:tcBorders>
                  <w:vAlign w:val="center"/>
                </w:tcPr>
                <w:p w14:paraId="13519C9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当前到底在肯定、否定或限定什么</w:t>
                  </w:r>
                </w:p>
              </w:tc>
            </w:tr>
            <w:tr w14:paraId="0616FE3B">
              <w:trPr>
                <w:cantSplit/>
                <w:jc w:val="center"/>
              </w:trPr>
              <w:tc>
                <w:tcPr>
                  <w:tcW w:w="1928" w:type="dxa"/>
                  <w:tcBorders>
                    <w:top w:val="nil"/>
                    <w:left w:val="nil"/>
                    <w:bottom w:val="nil"/>
                    <w:right w:val="nil"/>
                    <w:insideH w:val="nil"/>
                    <w:insideV w:val="nil"/>
                  </w:tcBorders>
                  <w:vAlign w:val="center"/>
                </w:tcPr>
                <w:p w14:paraId="7CF1449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依据（Data/Grounds）</w:t>
                  </w:r>
                </w:p>
              </w:tc>
              <w:tc>
                <w:tcPr>
                  <w:tcW w:w="3685" w:type="dxa"/>
                  <w:tcBorders>
                    <w:top w:val="nil"/>
                    <w:left w:val="nil"/>
                    <w:bottom w:val="nil"/>
                    <w:right w:val="nil"/>
                    <w:insideH w:val="nil"/>
                    <w:insideV w:val="nil"/>
                  </w:tcBorders>
                  <w:vAlign w:val="center"/>
                </w:tcPr>
                <w:p w14:paraId="3AF35DE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方法、数据、结果及文中的具体陈述</w:t>
                  </w:r>
                </w:p>
              </w:tc>
              <w:tc>
                <w:tcPr>
                  <w:tcW w:w="4309" w:type="dxa"/>
                  <w:tcBorders>
                    <w:top w:val="nil"/>
                    <w:left w:val="nil"/>
                    <w:bottom w:val="nil"/>
                    <w:right w:val="nil"/>
                    <w:insideH w:val="nil"/>
                    <w:insideV w:val="nil"/>
                  </w:tcBorders>
                  <w:vAlign w:val="center"/>
                </w:tcPr>
                <w:p w14:paraId="2C70E93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哪些文章信息支持这一判断</w:t>
                  </w:r>
                </w:p>
              </w:tc>
            </w:tr>
            <w:tr w14:paraId="3FB7CC0B">
              <w:trPr>
                <w:cantSplit/>
                <w:jc w:val="center"/>
              </w:trPr>
              <w:tc>
                <w:tcPr>
                  <w:tcW w:w="1928" w:type="dxa"/>
                  <w:tcBorders>
                    <w:top w:val="nil"/>
                    <w:left w:val="nil"/>
                    <w:bottom w:val="nil"/>
                    <w:right w:val="nil"/>
                    <w:insideH w:val="nil"/>
                    <w:insideV w:val="nil"/>
                  </w:tcBorders>
                  <w:vAlign w:val="center"/>
                </w:tcPr>
                <w:p w14:paraId="6A3DE5D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论证理由（Warrant）</w:t>
                  </w:r>
                </w:p>
              </w:tc>
              <w:tc>
                <w:tcPr>
                  <w:tcW w:w="3685" w:type="dxa"/>
                  <w:tcBorders>
                    <w:top w:val="nil"/>
                    <w:left w:val="nil"/>
                    <w:bottom w:val="nil"/>
                    <w:right w:val="nil"/>
                    <w:insideH w:val="nil"/>
                    <w:insideV w:val="nil"/>
                  </w:tcBorders>
                  <w:vAlign w:val="center"/>
                </w:tcPr>
                <w:p w14:paraId="347C9BF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把依据与主张连接起来的推断原则</w:t>
                  </w:r>
                </w:p>
              </w:tc>
              <w:tc>
                <w:tcPr>
                  <w:tcW w:w="4309" w:type="dxa"/>
                  <w:tcBorders>
                    <w:top w:val="nil"/>
                    <w:left w:val="nil"/>
                    <w:bottom w:val="nil"/>
                    <w:right w:val="nil"/>
                    <w:insideH w:val="nil"/>
                    <w:insideV w:val="nil"/>
                  </w:tcBorders>
                  <w:vAlign w:val="center"/>
                </w:tcPr>
                <w:p w14:paraId="54DB1A0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为什么这些信息能够支持或限制结论</w:t>
                  </w:r>
                </w:p>
              </w:tc>
            </w:tr>
            <w:tr w14:paraId="3D2C3D16">
              <w:trPr>
                <w:cantSplit/>
                <w:jc w:val="center"/>
              </w:trPr>
              <w:tc>
                <w:tcPr>
                  <w:tcW w:w="1928" w:type="dxa"/>
                  <w:tcBorders>
                    <w:top w:val="nil"/>
                    <w:left w:val="nil"/>
                    <w:bottom w:val="nil"/>
                    <w:right w:val="nil"/>
                    <w:insideH w:val="nil"/>
                    <w:insideV w:val="nil"/>
                  </w:tcBorders>
                  <w:vAlign w:val="center"/>
                </w:tcPr>
                <w:p w14:paraId="6AA8A5E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支持（Backing）</w:t>
                  </w:r>
                </w:p>
              </w:tc>
              <w:tc>
                <w:tcPr>
                  <w:tcW w:w="3685" w:type="dxa"/>
                  <w:tcBorders>
                    <w:top w:val="nil"/>
                    <w:left w:val="nil"/>
                    <w:bottom w:val="nil"/>
                    <w:right w:val="nil"/>
                    <w:insideH w:val="nil"/>
                    <w:insideV w:val="nil"/>
                  </w:tcBorders>
                  <w:vAlign w:val="center"/>
                </w:tcPr>
                <w:p w14:paraId="23880B3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使方法原则合理且适用的知识</w:t>
                  </w:r>
                </w:p>
              </w:tc>
              <w:tc>
                <w:tcPr>
                  <w:tcW w:w="4309" w:type="dxa"/>
                  <w:tcBorders>
                    <w:top w:val="nil"/>
                    <w:left w:val="nil"/>
                    <w:bottom w:val="nil"/>
                    <w:right w:val="nil"/>
                    <w:insideH w:val="nil"/>
                    <w:insideV w:val="nil"/>
                  </w:tcBorders>
                  <w:vAlign w:val="center"/>
                </w:tcPr>
                <w:p w14:paraId="4E84BCE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为什么该原则适用于当前研究情境</w:t>
                  </w:r>
                </w:p>
              </w:tc>
            </w:tr>
            <w:tr w14:paraId="45762B8E">
              <w:trPr>
                <w:cantSplit/>
                <w:jc w:val="center"/>
              </w:trPr>
              <w:tc>
                <w:tcPr>
                  <w:tcW w:w="1928" w:type="dxa"/>
                  <w:tcBorders>
                    <w:top w:val="nil"/>
                    <w:left w:val="nil"/>
                    <w:bottom w:val="nil"/>
                    <w:right w:val="nil"/>
                    <w:insideH w:val="nil"/>
                    <w:insideV w:val="nil"/>
                  </w:tcBorders>
                  <w:vAlign w:val="center"/>
                </w:tcPr>
                <w:p w14:paraId="1BA7DBB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限定（Qualifier）</w:t>
                  </w:r>
                </w:p>
              </w:tc>
              <w:tc>
                <w:tcPr>
                  <w:tcW w:w="3685" w:type="dxa"/>
                  <w:tcBorders>
                    <w:top w:val="nil"/>
                    <w:left w:val="nil"/>
                    <w:bottom w:val="nil"/>
                    <w:right w:val="nil"/>
                    <w:insideH w:val="nil"/>
                    <w:insideV w:val="nil"/>
                  </w:tcBorders>
                  <w:vAlign w:val="center"/>
                </w:tcPr>
                <w:p w14:paraId="56848AC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结论的范围、强度和条件</w:t>
                  </w:r>
                </w:p>
              </w:tc>
              <w:tc>
                <w:tcPr>
                  <w:tcW w:w="4309" w:type="dxa"/>
                  <w:tcBorders>
                    <w:top w:val="nil"/>
                    <w:left w:val="nil"/>
                    <w:bottom w:val="nil"/>
                    <w:right w:val="nil"/>
                    <w:insideH w:val="nil"/>
                    <w:insideV w:val="nil"/>
                  </w:tcBorders>
                  <w:vAlign w:val="center"/>
                </w:tcPr>
                <w:p w14:paraId="173C385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评价应当限定到什么程度</w:t>
                  </w:r>
                </w:p>
              </w:tc>
            </w:tr>
            <w:tr w14:paraId="04C73CF3">
              <w:trPr>
                <w:cantSplit/>
                <w:jc w:val="center"/>
              </w:trPr>
              <w:tc>
                <w:tcPr>
                  <w:tcW w:w="1928" w:type="dxa"/>
                  <w:tcBorders>
                    <w:top w:val="nil"/>
                    <w:left w:val="nil"/>
                    <w:bottom w:val="single" w:color="000000" w:sz="8" w:space="0"/>
                    <w:right w:val="nil"/>
                    <w:insideH w:val="nil"/>
                    <w:insideV w:val="nil"/>
                  </w:tcBorders>
                  <w:vAlign w:val="center"/>
                </w:tcPr>
                <w:p w14:paraId="4AAC1A4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反驳或例外（Rebuttal）</w:t>
                  </w:r>
                </w:p>
              </w:tc>
              <w:tc>
                <w:tcPr>
                  <w:tcW w:w="3685" w:type="dxa"/>
                  <w:tcBorders>
                    <w:top w:val="nil"/>
                    <w:left w:val="nil"/>
                    <w:bottom w:val="single" w:color="000000" w:sz="8" w:space="0"/>
                    <w:right w:val="nil"/>
                    <w:insideH w:val="nil"/>
                    <w:insideV w:val="nil"/>
                  </w:tcBorders>
                  <w:vAlign w:val="center"/>
                </w:tcPr>
                <w:p w14:paraId="446F037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替代解释、反证及可能改变判断的情形</w:t>
                  </w:r>
                </w:p>
              </w:tc>
              <w:tc>
                <w:tcPr>
                  <w:tcW w:w="4309" w:type="dxa"/>
                  <w:tcBorders>
                    <w:top w:val="nil"/>
                    <w:left w:val="nil"/>
                    <w:bottom w:val="single" w:color="000000" w:sz="8" w:space="0"/>
                    <w:right w:val="nil"/>
                    <w:insideH w:val="nil"/>
                    <w:insideV w:val="nil"/>
                  </w:tcBorders>
                  <w:vAlign w:val="center"/>
                </w:tcPr>
                <w:p w14:paraId="065EDA3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在什么情况下当前判断需要修改</w:t>
                  </w:r>
                </w:p>
              </w:tc>
            </w:tr>
          </w:tbl>
          <w:p w14:paraId="50111D3B">
            <w:pPr>
              <w:spacing w:before="0" w:after="40" w:line="40" w:lineRule="exact"/>
            </w:pPr>
          </w:p>
        </w:tc>
      </w:tr>
      <w:tr w14:paraId="65B622CE">
        <w:trPr>
          <w:jc w:val="center"/>
        </w:trPr>
        <w:tc>
          <w:tcPr>
            <w:tcW w:w="10440" w:type="dxa"/>
            <w:tcMar>
              <w:top w:w="0" w:type="dxa"/>
              <w:left w:w="160" w:type="dxa"/>
              <w:bottom w:w="0" w:type="dxa"/>
              <w:right w:w="160" w:type="dxa"/>
            </w:tcMar>
            <w:vAlign w:val="top"/>
          </w:tcPr>
          <w:p w14:paraId="17E5F88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在论文阅读中，Toulmin模型可用于审查作者的研究结论，也可用于检验学生的评价判断。Agent需要先确认讨论对象，再检查其依据、推理和适用边界（见表3）。例如，对“样本太小，所以研究无效”的评价，可先追问哪一种推断受到影响，再讨论估计不确定性与结论强度之间的关系；已有充分理由但结论过强时，则追问限定条件。这些论证成分为追问内容和策略选择提供了参照。Agent可将生成性学习与自我解释所要求的主动加工落实到具体论证关系，再依据学生当前困难调整帮助程度。</w:t>
            </w:r>
          </w:p>
        </w:tc>
      </w:tr>
      <w:tr w14:paraId="4824116A">
        <w:trPr>
          <w:jc w:val="center"/>
        </w:trPr>
        <w:tc>
          <w:tcPr>
            <w:tcW w:w="10440" w:type="dxa"/>
            <w:tcMar>
              <w:top w:w="0" w:type="dxa"/>
              <w:left w:w="160" w:type="dxa"/>
              <w:bottom w:w="0" w:type="dxa"/>
              <w:right w:w="160" w:type="dxa"/>
            </w:tcMar>
            <w:vAlign w:val="top"/>
          </w:tcPr>
          <w:p w14:paraId="2975DD66">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 研究述评与本研究问题</w:t>
            </w:r>
          </w:p>
          <w:p w14:paraId="057AF6F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现有研究为本课题提供了三方面基础。科学论文阅读研究已将概括、论证和自主提问转化为可观察产出；AI辅助学习实验说明，工具支持下的表现与独立学习结果可能不一致；苏格拉底式Agent研究则提供了围绕依据、前提和替代解释展开互动的设计思路。</w:t>
            </w:r>
          </w:p>
        </w:tc>
      </w:tr>
      <w:tr w14:paraId="0426AFE8">
        <w:trPr>
          <w:jc w:val="center"/>
        </w:trPr>
        <w:tc>
          <w:tcPr>
            <w:tcW w:w="10440" w:type="dxa"/>
            <w:tcMar>
              <w:top w:w="0" w:type="dxa"/>
              <w:left w:w="160" w:type="dxa"/>
              <w:bottom w:w="0" w:type="dxa"/>
              <w:right w:w="160" w:type="dxa"/>
            </w:tcMar>
            <w:vAlign w:val="top"/>
          </w:tcPr>
          <w:p w14:paraId="0F353A3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需要进一步研究的是，连续追问在科研论文评价这一任务中能否改善学生的独立表现。现有研究涉及外语、数学、议论文写作和科学信息探究，论文阅读工具多以引言提问或章节回答为训练活动，对完整研究中缺陷识别及其解释质量的联合考察仍较有限。与此同时，已有苏格拉底式支持研究的结果并不完全一致，量表、对话编码及任务测验又分别反映不同层面的变化，需要通过明确的任务和对照条件进一步检验。</w:t>
            </w:r>
          </w:p>
        </w:tc>
      </w:tr>
      <w:tr w14:paraId="180635FA">
        <w:trPr>
          <w:jc w:val="center"/>
        </w:trPr>
        <w:tc>
          <w:tcPr>
            <w:tcW w:w="10440" w:type="dxa"/>
            <w:tcMar>
              <w:top w:w="0" w:type="dxa"/>
              <w:left w:w="160" w:type="dxa"/>
              <w:bottom w:w="0" w:type="dxa"/>
              <w:right w:w="160" w:type="dxa"/>
            </w:tcMar>
            <w:vAlign w:val="top"/>
          </w:tcPr>
          <w:p w14:paraId="0C6E3BB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据此将问题落实为：如何围绕论文原文、方法学原则及学生当前判断形成连续而适度的追问；这种支持相较于通用Agent和独立阅读，能否改善撤去AI后的缺陷识别与解释质量。研究依次开展设计依据与需求分析、Agent开发与可用性测试及三组效果实验，并探索初始批判性思维倾向与训练收益的关系。</w:t>
            </w:r>
          </w:p>
        </w:tc>
      </w:tr>
      <w:tr w14:paraId="0FF4065A">
        <w:trPr>
          <w:jc w:val="center"/>
        </w:trPr>
        <w:tc>
          <w:tcPr>
            <w:tcW w:w="10440" w:type="dxa"/>
            <w:tcMar>
              <w:top w:w="0" w:type="dxa"/>
              <w:left w:w="160" w:type="dxa"/>
              <w:bottom w:w="0" w:type="dxa"/>
              <w:right w:w="160" w:type="dxa"/>
            </w:tcMar>
            <w:vAlign w:val="top"/>
          </w:tcPr>
          <w:p w14:paraId="7C2A80A6">
            <w:pPr>
              <w:keepNext w:val="0"/>
              <w:spacing w:before="0" w:after="160"/>
              <w:rPr>
                <w:rFonts w:hint="eastAsia"/>
                <w:bCs/>
                <w:sz w:val="28"/>
              </w:rPr>
            </w:pPr>
            <w:r>
              <w:rPr>
                <w:rFonts w:hint="eastAsia" w:ascii="Times New Roman" w:hAnsi="Times New Roman" w:eastAsia="宋体"/>
                <w:b/>
                <w:bCs/>
                <w:i w:val="0"/>
                <w:color w:val="000000"/>
                <w:sz w:val="28"/>
              </w:rPr>
              <w:t>二、研究方案</w:t>
            </w:r>
          </w:p>
          <w:p w14:paraId="7A436D1E">
            <w:pPr>
              <w:pStyle w:val="19"/>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1．研究目标、研究内容和拟解决的关键问题</w:t>
            </w:r>
          </w:p>
          <w:p w14:paraId="37F2D83E">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1.1 研究目标与研究内容</w:t>
            </w:r>
          </w:p>
          <w:p w14:paraId="2460934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旨在设计一款面向科研新手的苏格拉底式文献阅读Agent，并检验其对独立文献批判性评价表现的影响。研究包括三个相互衔接的部分。研究一通过文献梳理、同类工具比较和小规模半结构化访谈，明确理论依据及阅读中的实际困难；研究二将设计要求转化为Agent和阅读界面，开展两轮可用性测试并迭代；研究三通过预实验完善材料、流程和评分手册，再比较三种辅助方式的训练效果。</w:t>
            </w:r>
          </w:p>
        </w:tc>
      </w:tr>
      <w:tr w14:paraId="2CAFF9BE">
        <w:trPr>
          <w:jc w:val="center"/>
        </w:trPr>
        <w:tc>
          <w:tcPr>
            <w:tcW w:w="10440" w:type="dxa"/>
            <w:tcMar>
              <w:top w:w="0" w:type="dxa"/>
              <w:left w:w="160" w:type="dxa"/>
              <w:bottom w:w="0" w:type="dxa"/>
              <w:right w:w="160" w:type="dxa"/>
            </w:tcMar>
            <w:vAlign w:val="top"/>
          </w:tcPr>
          <w:p w14:paraId="5DCF5B56">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研究内容按照设计形成、产品实现和效果验证三个阶段组织。每一阶段形成下一阶段所需的具体产出，研究三使用经过前两个阶段完善的Agent版本。</w:t>
            </w:r>
          </w:p>
        </w:tc>
      </w:tr>
      <w:tr w14:paraId="424082A0">
        <w:trPr>
          <w:jc w:val="center"/>
        </w:trPr>
        <w:tc>
          <w:tcPr>
            <w:tcW w:w="10440" w:type="dxa"/>
            <w:tcMar>
              <w:top w:w="0" w:type="dxa"/>
              <w:left w:w="160" w:type="dxa"/>
              <w:bottom w:w="0" w:type="dxa"/>
              <w:right w:w="160" w:type="dxa"/>
            </w:tcMar>
            <w:vAlign w:val="top"/>
          </w:tcPr>
          <w:p w14:paraId="028B3A19">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表4  三个研究的内容与阶段产出</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814"/>
              <w:gridCol w:w="2665"/>
              <w:gridCol w:w="2665"/>
              <w:gridCol w:w="2778"/>
            </w:tblGrid>
            <w:tr w14:paraId="1760C4A2">
              <w:trPr>
                <w:cantSplit/>
                <w:tblHeader/>
                <w:jc w:val="center"/>
              </w:trPr>
              <w:tc>
                <w:tcPr>
                  <w:tcW w:w="1814" w:type="dxa"/>
                  <w:tcBorders>
                    <w:top w:val="single" w:color="000000" w:sz="8" w:space="0"/>
                    <w:left w:val="nil"/>
                    <w:bottom w:val="single" w:color="000000" w:sz="4" w:space="0"/>
                    <w:right w:val="nil"/>
                    <w:insideH w:val="nil"/>
                    <w:insideV w:val="nil"/>
                  </w:tcBorders>
                  <w:vAlign w:val="center"/>
                </w:tcPr>
                <w:p w14:paraId="2AA9F37B">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研究</w:t>
                  </w:r>
                </w:p>
              </w:tc>
              <w:tc>
                <w:tcPr>
                  <w:tcW w:w="2665" w:type="dxa"/>
                  <w:tcBorders>
                    <w:top w:val="single" w:color="000000" w:sz="8" w:space="0"/>
                    <w:left w:val="nil"/>
                    <w:bottom w:val="single" w:color="000000" w:sz="4" w:space="0"/>
                    <w:right w:val="nil"/>
                    <w:insideH w:val="nil"/>
                    <w:insideV w:val="nil"/>
                  </w:tcBorders>
                  <w:vAlign w:val="center"/>
                </w:tcPr>
                <w:p w14:paraId="77454F66">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主要研究内容</w:t>
                  </w:r>
                </w:p>
              </w:tc>
              <w:tc>
                <w:tcPr>
                  <w:tcW w:w="2665" w:type="dxa"/>
                  <w:tcBorders>
                    <w:top w:val="single" w:color="000000" w:sz="8" w:space="0"/>
                    <w:left w:val="nil"/>
                    <w:bottom w:val="single" w:color="000000" w:sz="4" w:space="0"/>
                    <w:right w:val="nil"/>
                    <w:insideH w:val="nil"/>
                    <w:insideV w:val="nil"/>
                  </w:tcBorders>
                  <w:vAlign w:val="center"/>
                </w:tcPr>
                <w:p w14:paraId="5DD584F6">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采用的方法</w:t>
                  </w:r>
                </w:p>
              </w:tc>
              <w:tc>
                <w:tcPr>
                  <w:tcW w:w="2778" w:type="dxa"/>
                  <w:tcBorders>
                    <w:top w:val="single" w:color="000000" w:sz="8" w:space="0"/>
                    <w:left w:val="nil"/>
                    <w:bottom w:val="single" w:color="000000" w:sz="4" w:space="0"/>
                    <w:right w:val="nil"/>
                    <w:insideH w:val="nil"/>
                    <w:insideV w:val="nil"/>
                  </w:tcBorders>
                  <w:vAlign w:val="center"/>
                </w:tcPr>
                <w:p w14:paraId="19BAD1F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阶段产出及用途</w:t>
                  </w:r>
                </w:p>
              </w:tc>
            </w:tr>
            <w:tr w14:paraId="55AEAF92">
              <w:trPr>
                <w:cantSplit/>
                <w:jc w:val="center"/>
              </w:trPr>
              <w:tc>
                <w:tcPr>
                  <w:tcW w:w="1814" w:type="dxa"/>
                  <w:tcBorders>
                    <w:top w:val="nil"/>
                    <w:left w:val="nil"/>
                    <w:bottom w:val="nil"/>
                    <w:right w:val="nil"/>
                    <w:insideH w:val="nil"/>
                    <w:insideV w:val="nil"/>
                  </w:tcBorders>
                  <w:vAlign w:val="center"/>
                </w:tcPr>
                <w:p w14:paraId="0931BD3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研究一：设计依据与需求分析</w:t>
                  </w:r>
                </w:p>
              </w:tc>
              <w:tc>
                <w:tcPr>
                  <w:tcW w:w="2665" w:type="dxa"/>
                  <w:tcBorders>
                    <w:top w:val="nil"/>
                    <w:left w:val="nil"/>
                    <w:bottom w:val="nil"/>
                    <w:right w:val="nil"/>
                    <w:insideH w:val="nil"/>
                    <w:insideV w:val="nil"/>
                  </w:tcBorders>
                  <w:vAlign w:val="center"/>
                </w:tcPr>
                <w:p w14:paraId="7779A2C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梳理支持科研新手评价论文的理论与系统，了解真实阅读中的困难和支持需要</w:t>
                  </w:r>
                </w:p>
              </w:tc>
              <w:tc>
                <w:tcPr>
                  <w:tcW w:w="2665" w:type="dxa"/>
                  <w:tcBorders>
                    <w:top w:val="nil"/>
                    <w:left w:val="nil"/>
                    <w:bottom w:val="nil"/>
                    <w:right w:val="nil"/>
                    <w:insideH w:val="nil"/>
                    <w:insideV w:val="nil"/>
                  </w:tcBorders>
                  <w:vAlign w:val="center"/>
                </w:tcPr>
                <w:p w14:paraId="4226B5A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文献梳理、同类工具比较、6—8人半结构化访谈</w:t>
                  </w:r>
                </w:p>
              </w:tc>
              <w:tc>
                <w:tcPr>
                  <w:tcW w:w="2778" w:type="dxa"/>
                  <w:tcBorders>
                    <w:top w:val="nil"/>
                    <w:left w:val="nil"/>
                    <w:bottom w:val="nil"/>
                    <w:right w:val="nil"/>
                    <w:insideH w:val="nil"/>
                    <w:insideV w:val="nil"/>
                  </w:tcBorders>
                  <w:vAlign w:val="center"/>
                </w:tcPr>
                <w:p w14:paraId="529C593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形成设计依据、典型困难和功能要求，指导Agent规则与界面设计</w:t>
                  </w:r>
                </w:p>
              </w:tc>
            </w:tr>
            <w:tr w14:paraId="6D56C065">
              <w:trPr>
                <w:cantSplit/>
                <w:jc w:val="center"/>
              </w:trPr>
              <w:tc>
                <w:tcPr>
                  <w:tcW w:w="1814" w:type="dxa"/>
                  <w:tcBorders>
                    <w:top w:val="nil"/>
                    <w:left w:val="nil"/>
                    <w:bottom w:val="nil"/>
                    <w:right w:val="nil"/>
                    <w:insideH w:val="nil"/>
                    <w:insideV w:val="nil"/>
                  </w:tcBorders>
                  <w:vAlign w:val="center"/>
                </w:tcPr>
                <w:p w14:paraId="68279B8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研究二：产品开发与可用性测试</w:t>
                  </w:r>
                </w:p>
              </w:tc>
              <w:tc>
                <w:tcPr>
                  <w:tcW w:w="2665" w:type="dxa"/>
                  <w:tcBorders>
                    <w:top w:val="nil"/>
                    <w:left w:val="nil"/>
                    <w:bottom w:val="nil"/>
                    <w:right w:val="nil"/>
                    <w:insideH w:val="nil"/>
                    <w:insideV w:val="nil"/>
                  </w:tcBorders>
                  <w:vAlign w:val="center"/>
                </w:tcPr>
                <w:p w14:paraId="0149F96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将追问内容、帮助程度和跨轮讨论规则转化为可运行系统</w:t>
                  </w:r>
                </w:p>
              </w:tc>
              <w:tc>
                <w:tcPr>
                  <w:tcW w:w="2665" w:type="dxa"/>
                  <w:tcBorders>
                    <w:top w:val="nil"/>
                    <w:left w:val="nil"/>
                    <w:bottom w:val="nil"/>
                    <w:right w:val="nil"/>
                    <w:insideH w:val="nil"/>
                    <w:insideV w:val="nil"/>
                  </w:tcBorders>
                  <w:vAlign w:val="center"/>
                </w:tcPr>
                <w:p w14:paraId="3511BA9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原型与Agent开发、两轮各5—6人的可用性测试</w:t>
                  </w:r>
                </w:p>
              </w:tc>
              <w:tc>
                <w:tcPr>
                  <w:tcW w:w="2778" w:type="dxa"/>
                  <w:tcBorders>
                    <w:top w:val="nil"/>
                    <w:left w:val="nil"/>
                    <w:bottom w:val="nil"/>
                    <w:right w:val="nil"/>
                    <w:insideH w:val="nil"/>
                    <w:insideV w:val="nil"/>
                  </w:tcBorders>
                  <w:vAlign w:val="center"/>
                </w:tcPr>
                <w:p w14:paraId="0E299B4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形成正式实验可用的系统、交互规范及迭代记录</w:t>
                  </w:r>
                </w:p>
              </w:tc>
            </w:tr>
            <w:tr w14:paraId="4DFFBE26">
              <w:trPr>
                <w:cantSplit/>
                <w:jc w:val="center"/>
              </w:trPr>
              <w:tc>
                <w:tcPr>
                  <w:tcW w:w="1814" w:type="dxa"/>
                  <w:tcBorders>
                    <w:top w:val="nil"/>
                    <w:left w:val="nil"/>
                    <w:bottom w:val="single" w:color="000000" w:sz="8" w:space="0"/>
                    <w:right w:val="nil"/>
                    <w:insideH w:val="nil"/>
                    <w:insideV w:val="nil"/>
                  </w:tcBorders>
                  <w:vAlign w:val="center"/>
                </w:tcPr>
                <w:p w14:paraId="200D406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研究三：效果实验</w:t>
                  </w:r>
                </w:p>
              </w:tc>
              <w:tc>
                <w:tcPr>
                  <w:tcW w:w="2665" w:type="dxa"/>
                  <w:tcBorders>
                    <w:top w:val="nil"/>
                    <w:left w:val="nil"/>
                    <w:bottom w:val="single" w:color="000000" w:sz="8" w:space="0"/>
                    <w:right w:val="nil"/>
                    <w:insideH w:val="nil"/>
                    <w:insideV w:val="nil"/>
                  </w:tcBorders>
                  <w:vAlign w:val="center"/>
                </w:tcPr>
                <w:p w14:paraId="4011A2F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检验三种辅助方式对独立缺陷识别、解释质量和概括表现的影响</w:t>
                  </w:r>
                </w:p>
              </w:tc>
              <w:tc>
                <w:tcPr>
                  <w:tcW w:w="2665" w:type="dxa"/>
                  <w:tcBorders>
                    <w:top w:val="nil"/>
                    <w:left w:val="nil"/>
                    <w:bottom w:val="single" w:color="000000" w:sz="8" w:space="0"/>
                    <w:right w:val="nil"/>
                    <w:insideH w:val="nil"/>
                    <w:insideV w:val="nil"/>
                  </w:tcBorders>
                  <w:vAlign w:val="center"/>
                </w:tcPr>
                <w:p w14:paraId="4977C7F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4人预实验、三组随机前后测实验、盲评及统计分析</w:t>
                  </w:r>
                </w:p>
              </w:tc>
              <w:tc>
                <w:tcPr>
                  <w:tcW w:w="2778" w:type="dxa"/>
                  <w:tcBorders>
                    <w:top w:val="nil"/>
                    <w:left w:val="nil"/>
                    <w:bottom w:val="single" w:color="000000" w:sz="8" w:space="0"/>
                    <w:right w:val="nil"/>
                    <w:insideH w:val="nil"/>
                    <w:insideV w:val="nil"/>
                  </w:tcBorders>
                  <w:vAlign w:val="center"/>
                </w:tcPr>
                <w:p w14:paraId="3F65243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形成独立表现证据、过程描述及产品设计建议</w:t>
                  </w:r>
                </w:p>
              </w:tc>
            </w:tr>
          </w:tbl>
          <w:p w14:paraId="4C9FE179">
            <w:pPr>
              <w:spacing w:before="0" w:after="40" w:line="40" w:lineRule="exact"/>
            </w:pPr>
          </w:p>
        </w:tc>
      </w:tr>
      <w:tr w14:paraId="350AEDA2">
        <w:trPr>
          <w:jc w:val="center"/>
        </w:trPr>
        <w:tc>
          <w:tcPr>
            <w:tcW w:w="10440" w:type="dxa"/>
            <w:tcMar>
              <w:top w:w="0" w:type="dxa"/>
              <w:left w:w="160" w:type="dxa"/>
              <w:bottom w:w="0" w:type="dxa"/>
              <w:right w:w="160" w:type="dxa"/>
            </w:tcMar>
            <w:vAlign w:val="top"/>
          </w:tcPr>
          <w:p w14:paraId="4D75252A">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1.2 拟解决的关键问题</w:t>
            </w:r>
          </w:p>
          <w:p w14:paraId="6DBC4B6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1）把理论要求转化为适合论文阅读的互动规则。生成性学习要求学生主动建立信息联系，但实际阅读中的困难可能来自内容理解、原文定位、方法知识或推理本身。本研究需要明确Agent如何判断当前讨论对象，何时追问依据和理由，何时先解释概念，并依据回答调整支持。</w:t>
            </w:r>
          </w:p>
        </w:tc>
      </w:tr>
      <w:tr w14:paraId="1582607A">
        <w:trPr>
          <w:jc w:val="center"/>
        </w:trPr>
        <w:tc>
          <w:tcPr>
            <w:tcW w:w="10440" w:type="dxa"/>
            <w:tcMar>
              <w:top w:w="0" w:type="dxa"/>
              <w:left w:w="160" w:type="dxa"/>
              <w:bottom w:w="0" w:type="dxa"/>
              <w:right w:w="160" w:type="dxa"/>
            </w:tcMar>
            <w:vAlign w:val="top"/>
          </w:tcPr>
          <w:p w14:paraId="0353368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2）在自主阅读中维持有意义的讨论。训练没有统一题单，学生可能带着不同的疑问进入对话，也可能不知道从哪里开始。系统需要接住这些入口，联系先前已经形成的判断，避免反复询问相同内容，并允许用户请求更多帮助、切换问题或结束讨论。</w:t>
            </w:r>
          </w:p>
        </w:tc>
      </w:tr>
      <w:tr w14:paraId="79B18581">
        <w:trPr>
          <w:jc w:val="center"/>
        </w:trPr>
        <w:tc>
          <w:tcPr>
            <w:tcW w:w="10440" w:type="dxa"/>
            <w:tcMar>
              <w:top w:w="0" w:type="dxa"/>
              <w:left w:w="160" w:type="dxa"/>
              <w:bottom w:w="0" w:type="dxa"/>
              <w:right w:w="160" w:type="dxa"/>
            </w:tcMar>
            <w:vAlign w:val="top"/>
          </w:tcPr>
          <w:p w14:paraId="5F8FCCF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3）形成可比较的训练条件。三组都完成相同研读任务，两个AI组共享模型、信息和基础界面，通过教学互动规则形成区别。研究需要同时保持材料、训练时长及前后测条件一致，使结果能够回答不同辅助方式的训练效果。</w:t>
            </w:r>
          </w:p>
        </w:tc>
      </w:tr>
      <w:tr w14:paraId="386D1476">
        <w:trPr>
          <w:jc w:val="center"/>
        </w:trPr>
        <w:tc>
          <w:tcPr>
            <w:tcW w:w="10440" w:type="dxa"/>
            <w:tcMar>
              <w:top w:w="0" w:type="dxa"/>
              <w:left w:w="160" w:type="dxa"/>
              <w:bottom w:w="0" w:type="dxa"/>
              <w:right w:w="160" w:type="dxa"/>
            </w:tcMar>
            <w:vAlign w:val="top"/>
          </w:tcPr>
          <w:p w14:paraId="6971DAD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4）建立与任务对应的评分和分析方法。缺陷识别需要判定批评是否具体成立，解释质量则需要检查依据与推理。研究将结合材料评析、专家核对及评分者试评确定标准，分别报告发现比例、解释质量与精确率，并通过前测调整比较独立后测表现。</w:t>
            </w:r>
          </w:p>
        </w:tc>
      </w:tr>
      <w:tr w14:paraId="3EB3E8CD">
        <w:trPr>
          <w:jc w:val="center"/>
        </w:trPr>
        <w:tc>
          <w:tcPr>
            <w:tcW w:w="10440" w:type="dxa"/>
            <w:tcMar>
              <w:top w:w="0" w:type="dxa"/>
              <w:left w:w="160" w:type="dxa"/>
              <w:bottom w:w="0" w:type="dxa"/>
              <w:right w:w="160" w:type="dxa"/>
            </w:tcMar>
            <w:vAlign w:val="top"/>
          </w:tcPr>
          <w:p w14:paraId="60166CA6">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1.3 研究问题与假设</w:t>
            </w:r>
          </w:p>
          <w:p w14:paraId="59F3E2A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RQ1：苏格拉底式Agent辅助阅读能否提升科研新手在撤去AI后的文献批判性评价表现？</w:t>
            </w:r>
          </w:p>
        </w:tc>
      </w:tr>
      <w:tr w14:paraId="40A0FEEE">
        <w:trPr>
          <w:jc w:val="center"/>
        </w:trPr>
        <w:tc>
          <w:tcPr>
            <w:tcW w:w="10440" w:type="dxa"/>
            <w:tcMar>
              <w:top w:w="0" w:type="dxa"/>
              <w:left w:w="160" w:type="dxa"/>
              <w:bottom w:w="0" w:type="dxa"/>
              <w:right w:w="160" w:type="dxa"/>
            </w:tcMar>
            <w:vAlign w:val="top"/>
          </w:tcPr>
          <w:p w14:paraId="3B140146">
            <w:pPr>
              <w:keepNext w:val="0"/>
              <w:keepLines/>
              <w:widowControl/>
              <w:snapToGrid w:val="0"/>
              <w:spacing w:before="0" w:after="80" w:line="360" w:lineRule="exact"/>
              <w:ind w:left="0" w:right="0" w:firstLine="480"/>
              <w:jc w:val="both"/>
            </w:pPr>
            <w:r>
              <w:rPr>
                <w:rFonts w:ascii="Times New Roman" w:hAnsi="Times New Roman" w:eastAsia="宋体"/>
                <w:b w:val="0"/>
                <w:i w:val="0"/>
                <w:color w:val="000000"/>
                <w:sz w:val="24"/>
              </w:rPr>
              <w:t>H1a：控制对应前测及材料顺序后，苏格拉底式Agent组的后测缺陷识别击中率高于通用Agent组。</w:t>
            </w:r>
          </w:p>
        </w:tc>
      </w:tr>
      <w:tr w14:paraId="1E0BC6D2">
        <w:trPr>
          <w:jc w:val="center"/>
        </w:trPr>
        <w:tc>
          <w:tcPr>
            <w:tcW w:w="10440" w:type="dxa"/>
            <w:tcMar>
              <w:top w:w="0" w:type="dxa"/>
              <w:left w:w="160" w:type="dxa"/>
              <w:bottom w:w="0" w:type="dxa"/>
              <w:right w:w="160" w:type="dxa"/>
            </w:tcMar>
            <w:vAlign w:val="top"/>
          </w:tcPr>
          <w:p w14:paraId="0213C16D">
            <w:pPr>
              <w:keepNext w:val="0"/>
              <w:keepLines/>
              <w:widowControl/>
              <w:snapToGrid w:val="0"/>
              <w:spacing w:before="0" w:after="80" w:line="360" w:lineRule="exact"/>
              <w:ind w:left="0" w:right="0" w:firstLine="480"/>
              <w:jc w:val="both"/>
            </w:pPr>
            <w:r>
              <w:rPr>
                <w:rFonts w:ascii="Times New Roman" w:hAnsi="Times New Roman" w:eastAsia="宋体"/>
                <w:b w:val="0"/>
                <w:i w:val="0"/>
                <w:color w:val="000000"/>
                <w:sz w:val="24"/>
              </w:rPr>
              <w:t>H1b：控制对应前测及材料顺序后，苏格拉底式Agent组的后测缺陷识别击中率高于无AI组。</w:t>
            </w:r>
          </w:p>
        </w:tc>
      </w:tr>
      <w:tr w14:paraId="61267078">
        <w:trPr>
          <w:jc w:val="center"/>
        </w:trPr>
        <w:tc>
          <w:tcPr>
            <w:tcW w:w="10440" w:type="dxa"/>
            <w:tcMar>
              <w:top w:w="0" w:type="dxa"/>
              <w:left w:w="160" w:type="dxa"/>
              <w:bottom w:w="0" w:type="dxa"/>
              <w:right w:w="160" w:type="dxa"/>
            </w:tcMar>
            <w:vAlign w:val="top"/>
          </w:tcPr>
          <w:p w14:paraId="6485699B">
            <w:pPr>
              <w:keepNext w:val="0"/>
              <w:keepLines/>
              <w:widowControl/>
              <w:snapToGrid w:val="0"/>
              <w:spacing w:before="0" w:after="80" w:line="360" w:lineRule="exact"/>
              <w:ind w:left="0" w:right="0" w:firstLine="480"/>
              <w:jc w:val="both"/>
            </w:pPr>
            <w:r>
              <w:rPr>
                <w:rFonts w:ascii="Times New Roman" w:hAnsi="Times New Roman" w:eastAsia="宋体"/>
                <w:b w:val="0"/>
                <w:i w:val="0"/>
                <w:color w:val="000000"/>
                <w:sz w:val="24"/>
              </w:rPr>
              <w:t>H1c：控制对应前测及材料顺序后，苏格拉底式Agent组的后测平均解释质量高于通用Agent组。</w:t>
            </w:r>
          </w:p>
        </w:tc>
      </w:tr>
      <w:tr w14:paraId="210182C1">
        <w:trPr>
          <w:jc w:val="center"/>
        </w:trPr>
        <w:tc>
          <w:tcPr>
            <w:tcW w:w="10440" w:type="dxa"/>
            <w:tcMar>
              <w:top w:w="0" w:type="dxa"/>
              <w:left w:w="160" w:type="dxa"/>
              <w:bottom w:w="0" w:type="dxa"/>
              <w:right w:w="160" w:type="dxa"/>
            </w:tcMar>
            <w:vAlign w:val="top"/>
          </w:tcPr>
          <w:p w14:paraId="6B0C0931">
            <w:pPr>
              <w:keepNext w:val="0"/>
              <w:keepLines/>
              <w:widowControl/>
              <w:snapToGrid w:val="0"/>
              <w:spacing w:before="0" w:after="80" w:line="360" w:lineRule="exact"/>
              <w:ind w:left="0" w:right="0" w:firstLine="480"/>
              <w:jc w:val="both"/>
            </w:pPr>
            <w:r>
              <w:rPr>
                <w:rFonts w:ascii="Times New Roman" w:hAnsi="Times New Roman" w:eastAsia="宋体"/>
                <w:b w:val="0"/>
                <w:i w:val="0"/>
                <w:color w:val="000000"/>
                <w:sz w:val="24"/>
              </w:rPr>
              <w:t>H1d：控制对应前测及材料顺序后，苏格拉底式Agent组的后测平均解释质量高于无AI组。</w:t>
            </w:r>
          </w:p>
        </w:tc>
      </w:tr>
      <w:tr w14:paraId="14C21103">
        <w:trPr>
          <w:jc w:val="center"/>
        </w:trPr>
        <w:tc>
          <w:tcPr>
            <w:tcW w:w="10440" w:type="dxa"/>
            <w:tcMar>
              <w:top w:w="0" w:type="dxa"/>
              <w:left w:w="160" w:type="dxa"/>
              <w:bottom w:w="0" w:type="dxa"/>
              <w:right w:w="160" w:type="dxa"/>
            </w:tcMar>
            <w:vAlign w:val="top"/>
          </w:tcPr>
          <w:p w14:paraId="227B027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缺陷识别假设关注学生能否将阅读注意进一步转向影响研究推断的具体信息。苏格拉底式Agent围绕主张、依据和替代解释展开检查，在学生遇到困难时提供适量提示，预计能够增加其练习发现问题和核对问题的机会。独立后测将观察这些练习是否体现为更多有效缺陷的识别。</w:t>
            </w:r>
          </w:p>
        </w:tc>
      </w:tr>
      <w:tr w14:paraId="4C4642AA">
        <w:trPr>
          <w:jc w:val="center"/>
        </w:trPr>
        <w:tc>
          <w:tcPr>
            <w:tcW w:w="10440" w:type="dxa"/>
            <w:tcMar>
              <w:top w:w="0" w:type="dxa"/>
              <w:left w:w="160" w:type="dxa"/>
              <w:bottom w:w="0" w:type="dxa"/>
              <w:right w:w="160" w:type="dxa"/>
            </w:tcMar>
            <w:vAlign w:val="top"/>
          </w:tcPr>
          <w:p w14:paraId="742561B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解释质量假设关注学生是否能够把研究做法、方法原则及其对结论的影响连成推理。通用Agent可以直接提供解释，独立阅读则由学生自行组织思考；苏格拉底式Agent持续要求学生先说明理由，再根据反馈补充与修正。依据自我解释研究，这种生成和修正联系的活动可能促进理解（Chi et al., 1994; Chi, 2000），从而提高后测中解释已识别缺陷的质量。</w:t>
            </w:r>
          </w:p>
        </w:tc>
      </w:tr>
      <w:tr w14:paraId="4222D881">
        <w:trPr>
          <w:jc w:val="center"/>
        </w:trPr>
        <w:tc>
          <w:tcPr>
            <w:tcW w:w="10440" w:type="dxa"/>
            <w:tcMar>
              <w:top w:w="0" w:type="dxa"/>
              <w:left w:w="160" w:type="dxa"/>
              <w:bottom w:w="0" w:type="dxa"/>
              <w:right w:w="160" w:type="dxa"/>
            </w:tcMar>
            <w:vAlign w:val="top"/>
          </w:tcPr>
          <w:p w14:paraId="65CA5B6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RQ2：不同辅助方式是否影响科研新手对论文内容的理解表现？本研究控制前测概括得分与材料顺序，比较三组后测论文内容概括表现，不预设组间差异方向。</w:t>
            </w:r>
          </w:p>
        </w:tc>
      </w:tr>
      <w:tr w14:paraId="45BD32C6">
        <w:trPr>
          <w:jc w:val="center"/>
        </w:trPr>
        <w:tc>
          <w:tcPr>
            <w:tcW w:w="10440" w:type="dxa"/>
            <w:tcMar>
              <w:top w:w="0" w:type="dxa"/>
              <w:left w:w="160" w:type="dxa"/>
              <w:bottom w:w="0" w:type="dxa"/>
              <w:right w:w="160" w:type="dxa"/>
            </w:tcMar>
            <w:vAlign w:val="top"/>
          </w:tcPr>
          <w:p w14:paraId="50D3AA6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RQ3：初始批判性思维倾向是否调节苏格拉底式Agent相对通用Agent的训练效果？该问题作为探索性分析。H3a：初始倾向越低，苏格拉底式Agent相对通用Agent在后测缺陷识别击中率上的优势越大。H3b：初始倾向越低，苏格拉底式Agent相对通用Agent在后测平均解释质量上的优势越大。其依据是，主动追问可能为较少自发检查依据和理由的学习者提供额外支持。初始倾向较高的学生可能在一般帮助或自主阅读中也会主动寻求证据，因此追问带来的额外收益可能不同。研究以连续倾向得分检验这一预期，探索性结果用于描述哪些学习者更可能受益。</w:t>
            </w:r>
          </w:p>
        </w:tc>
      </w:tr>
      <w:tr w14:paraId="5FD1DA97">
        <w:trPr>
          <w:jc w:val="center"/>
        </w:trPr>
        <w:tc>
          <w:tcPr>
            <w:tcW w:w="10440" w:type="dxa"/>
            <w:tcMar>
              <w:top w:w="0" w:type="dxa"/>
              <w:left w:w="160" w:type="dxa"/>
              <w:bottom w:w="0" w:type="dxa"/>
              <w:right w:w="160" w:type="dxa"/>
            </w:tcMar>
            <w:vAlign w:val="top"/>
          </w:tcPr>
          <w:p w14:paraId="03F478BC">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表5  研究问题与测量指标的对应</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1FF022E1">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0333477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研究问题</w:t>
                  </w:r>
                </w:p>
              </w:tc>
              <w:tc>
                <w:tcPr>
                  <w:tcW w:w="3685" w:type="dxa"/>
                  <w:tcBorders>
                    <w:top w:val="single" w:color="000000" w:sz="8" w:space="0"/>
                    <w:left w:val="nil"/>
                    <w:bottom w:val="single" w:color="000000" w:sz="4" w:space="0"/>
                    <w:right w:val="nil"/>
                    <w:insideH w:val="nil"/>
                    <w:insideV w:val="nil"/>
                  </w:tcBorders>
                  <w:vAlign w:val="center"/>
                </w:tcPr>
                <w:p w14:paraId="33316820">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对应结果</w:t>
                  </w:r>
                </w:p>
              </w:tc>
              <w:tc>
                <w:tcPr>
                  <w:tcW w:w="4309" w:type="dxa"/>
                  <w:tcBorders>
                    <w:top w:val="single" w:color="000000" w:sz="8" w:space="0"/>
                    <w:left w:val="nil"/>
                    <w:bottom w:val="single" w:color="000000" w:sz="4" w:space="0"/>
                    <w:right w:val="nil"/>
                    <w:insideH w:val="nil"/>
                    <w:insideV w:val="nil"/>
                  </w:tcBorders>
                  <w:vAlign w:val="center"/>
                </w:tcPr>
                <w:p w14:paraId="14D4A7F5">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主要比较或检验</w:t>
                  </w:r>
                </w:p>
              </w:tc>
            </w:tr>
            <w:tr w14:paraId="5050E4F8">
              <w:trPr>
                <w:cantSplit/>
                <w:jc w:val="center"/>
              </w:trPr>
              <w:tc>
                <w:tcPr>
                  <w:tcW w:w="1928" w:type="dxa"/>
                  <w:tcBorders>
                    <w:top w:val="nil"/>
                    <w:left w:val="nil"/>
                    <w:bottom w:val="nil"/>
                    <w:right w:val="nil"/>
                    <w:insideH w:val="nil"/>
                    <w:insideV w:val="nil"/>
                  </w:tcBorders>
                  <w:vAlign w:val="center"/>
                </w:tcPr>
                <w:p w14:paraId="03E747F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RQ1：独立批判性评价能否改善</w:t>
                  </w:r>
                </w:p>
              </w:tc>
              <w:tc>
                <w:tcPr>
                  <w:tcW w:w="3685" w:type="dxa"/>
                  <w:tcBorders>
                    <w:top w:val="nil"/>
                    <w:left w:val="nil"/>
                    <w:bottom w:val="nil"/>
                    <w:right w:val="nil"/>
                    <w:insideH w:val="nil"/>
                    <w:insideV w:val="nil"/>
                  </w:tcBorders>
                  <w:vAlign w:val="center"/>
                </w:tcPr>
                <w:p w14:paraId="426209F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缺陷识别击中率、平均解释质量</w:t>
                  </w:r>
                </w:p>
              </w:tc>
              <w:tc>
                <w:tcPr>
                  <w:tcW w:w="4309" w:type="dxa"/>
                  <w:tcBorders>
                    <w:top w:val="nil"/>
                    <w:left w:val="nil"/>
                    <w:bottom w:val="nil"/>
                    <w:right w:val="nil"/>
                    <w:insideH w:val="nil"/>
                    <w:insideV w:val="nil"/>
                  </w:tcBorders>
                  <w:vAlign w:val="center"/>
                </w:tcPr>
                <w:p w14:paraId="65F98A5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每个指标比较苏格拉底组与通用组、无AI组，对应H1a—H1d</w:t>
                  </w:r>
                </w:p>
              </w:tc>
            </w:tr>
            <w:tr w14:paraId="434F719F">
              <w:trPr>
                <w:cantSplit/>
                <w:jc w:val="center"/>
              </w:trPr>
              <w:tc>
                <w:tcPr>
                  <w:tcW w:w="1928" w:type="dxa"/>
                  <w:tcBorders>
                    <w:top w:val="nil"/>
                    <w:left w:val="nil"/>
                    <w:bottom w:val="nil"/>
                    <w:right w:val="nil"/>
                    <w:insideH w:val="nil"/>
                    <w:insideV w:val="nil"/>
                  </w:tcBorders>
                  <w:vAlign w:val="center"/>
                </w:tcPr>
                <w:p w14:paraId="489917B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RQ2：内容理解是否受到影响</w:t>
                  </w:r>
                </w:p>
              </w:tc>
              <w:tc>
                <w:tcPr>
                  <w:tcW w:w="3685" w:type="dxa"/>
                  <w:tcBorders>
                    <w:top w:val="nil"/>
                    <w:left w:val="nil"/>
                    <w:bottom w:val="nil"/>
                    <w:right w:val="nil"/>
                    <w:insideH w:val="nil"/>
                    <w:insideV w:val="nil"/>
                  </w:tcBorders>
                  <w:vAlign w:val="center"/>
                </w:tcPr>
                <w:p w14:paraId="6D4CD6A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论文内容概括表现</w:t>
                  </w:r>
                </w:p>
              </w:tc>
              <w:tc>
                <w:tcPr>
                  <w:tcW w:w="4309" w:type="dxa"/>
                  <w:tcBorders>
                    <w:top w:val="nil"/>
                    <w:left w:val="nil"/>
                    <w:bottom w:val="nil"/>
                    <w:right w:val="nil"/>
                    <w:insideH w:val="nil"/>
                    <w:insideV w:val="nil"/>
                  </w:tcBorders>
                  <w:vAlign w:val="center"/>
                </w:tcPr>
                <w:p w14:paraId="16831FE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控制前测概括得分后比较三组后测</w:t>
                  </w:r>
                </w:p>
              </w:tc>
            </w:tr>
            <w:tr w14:paraId="2CFDD6D9">
              <w:trPr>
                <w:cantSplit/>
                <w:jc w:val="center"/>
              </w:trPr>
              <w:tc>
                <w:tcPr>
                  <w:tcW w:w="1928" w:type="dxa"/>
                  <w:tcBorders>
                    <w:top w:val="nil"/>
                    <w:left w:val="nil"/>
                    <w:bottom w:val="single" w:color="000000" w:sz="8" w:space="0"/>
                    <w:right w:val="nil"/>
                    <w:insideH w:val="nil"/>
                    <w:insideV w:val="nil"/>
                  </w:tcBorders>
                  <w:vAlign w:val="center"/>
                </w:tcPr>
                <w:p w14:paraId="129D0A9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RQ3：初始倾向是否影响收益</w:t>
                  </w:r>
                </w:p>
              </w:tc>
              <w:tc>
                <w:tcPr>
                  <w:tcW w:w="3685" w:type="dxa"/>
                  <w:tcBorders>
                    <w:top w:val="nil"/>
                    <w:left w:val="nil"/>
                    <w:bottom w:val="single" w:color="000000" w:sz="8" w:space="0"/>
                    <w:right w:val="nil"/>
                    <w:insideH w:val="nil"/>
                    <w:insideV w:val="nil"/>
                  </w:tcBorders>
                  <w:vAlign w:val="center"/>
                </w:tcPr>
                <w:p w14:paraId="521BFC3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两个主要结果与CCTDI总分</w:t>
                  </w:r>
                </w:p>
              </w:tc>
              <w:tc>
                <w:tcPr>
                  <w:tcW w:w="4309" w:type="dxa"/>
                  <w:tcBorders>
                    <w:top w:val="nil"/>
                    <w:left w:val="nil"/>
                    <w:bottom w:val="single" w:color="000000" w:sz="8" w:space="0"/>
                    <w:right w:val="nil"/>
                    <w:insideH w:val="nil"/>
                    <w:insideV w:val="nil"/>
                  </w:tcBorders>
                  <w:vAlign w:val="center"/>
                </w:tcPr>
                <w:p w14:paraId="06CE847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检验苏格拉底组相对通用组的优势是否随初始倾向变化，对应H3a、H3b</w:t>
                  </w:r>
                </w:p>
              </w:tc>
            </w:tr>
          </w:tbl>
          <w:p w14:paraId="0B1131C4">
            <w:pPr>
              <w:spacing w:before="0" w:after="40" w:line="40" w:lineRule="exact"/>
            </w:pPr>
          </w:p>
        </w:tc>
      </w:tr>
      <w:tr w14:paraId="50C6CA4F">
        <w:trPr>
          <w:jc w:val="center"/>
        </w:trPr>
        <w:tc>
          <w:tcPr>
            <w:tcW w:w="10440" w:type="dxa"/>
            <w:tcMar>
              <w:top w:w="0" w:type="dxa"/>
              <w:left w:w="160" w:type="dxa"/>
              <w:bottom w:w="0" w:type="dxa"/>
              <w:right w:w="160" w:type="dxa"/>
            </w:tcMar>
            <w:vAlign w:val="top"/>
          </w:tcPr>
          <w:p w14:paraId="4863B2D3">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1.4 核心构念与研究变量</w:t>
            </w:r>
          </w:p>
          <w:p w14:paraId="0B994C8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以生成性学习与自我解释为设计依据，通过苏格拉底式追问支持科研新手审查论文中的证据与推理。研究三以Agent辅助方式为自变量，考察独立阅读中的批判性评价表现与论文内容概括表现，并探索初始批判性思维倾向的调节作用。核心构念、研究变量及其测量安排见表6。</w:t>
            </w:r>
          </w:p>
        </w:tc>
      </w:tr>
      <w:tr w14:paraId="5BA60183">
        <w:trPr>
          <w:jc w:val="center"/>
        </w:trPr>
        <w:tc>
          <w:tcPr>
            <w:tcW w:w="10440" w:type="dxa"/>
            <w:tcMar>
              <w:top w:w="0" w:type="dxa"/>
              <w:left w:w="160" w:type="dxa"/>
              <w:bottom w:w="0" w:type="dxa"/>
              <w:right w:w="160" w:type="dxa"/>
            </w:tcMar>
            <w:vAlign w:val="top"/>
          </w:tcPr>
          <w:p w14:paraId="03E650E0">
            <w:pPr>
              <w:keepNext/>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表6  核心构念与研究变量</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700"/>
              <w:gridCol w:w="3500"/>
              <w:gridCol w:w="3722"/>
            </w:tblGrid>
            <w:tr w14:paraId="4FBACD8A">
              <w:trPr>
                <w:cantSplit/>
                <w:tblHeader/>
                <w:jc w:val="center"/>
              </w:trPr>
              <w:tc>
                <w:tcPr>
                  <w:tcW w:w="2700" w:type="dxa"/>
                  <w:tcBorders>
                    <w:top w:val="single" w:color="000000" w:sz="8" w:space="0"/>
                    <w:left w:val="nil"/>
                    <w:bottom w:val="single" w:color="000000" w:sz="4" w:space="0"/>
                    <w:right w:val="nil"/>
                    <w:insideH w:val="nil"/>
                    <w:insideV w:val="nil"/>
                  </w:tcBorders>
                  <w:vAlign w:val="center"/>
                </w:tcPr>
                <w:p w14:paraId="4BD61E03">
                  <w:pPr>
                    <w:keepNext/>
                    <w:keepLines w:val="0"/>
                    <w:widowControl/>
                    <w:snapToGrid w:val="0"/>
                    <w:spacing w:before="60" w:after="60" w:line="280" w:lineRule="exact"/>
                    <w:ind w:left="0" w:right="0" w:firstLine="0"/>
                    <w:jc w:val="left"/>
                  </w:pPr>
                  <w:r>
                    <w:rPr>
                      <w:rFonts w:ascii="Times New Roman" w:hAnsi="Times New Roman" w:eastAsia="宋体"/>
                      <w:b/>
                      <w:i w:val="0"/>
                      <w:color w:val="000000"/>
                      <w:sz w:val="22"/>
                    </w:rPr>
                    <w:t>构念或变量（英文名称）</w:t>
                  </w:r>
                </w:p>
              </w:tc>
              <w:tc>
                <w:tcPr>
                  <w:tcW w:w="3500" w:type="dxa"/>
                  <w:tcBorders>
                    <w:top w:val="single" w:color="000000" w:sz="8" w:space="0"/>
                    <w:left w:val="nil"/>
                    <w:bottom w:val="single" w:color="000000" w:sz="4" w:space="0"/>
                    <w:right w:val="nil"/>
                    <w:insideH w:val="nil"/>
                    <w:insideV w:val="nil"/>
                  </w:tcBorders>
                  <w:vAlign w:val="center"/>
                </w:tcPr>
                <w:p w14:paraId="39608F93">
                  <w:pPr>
                    <w:keepNext/>
                    <w:keepLines w:val="0"/>
                    <w:widowControl/>
                    <w:snapToGrid w:val="0"/>
                    <w:spacing w:before="60" w:after="60" w:line="280" w:lineRule="exact"/>
                    <w:ind w:left="0" w:right="0" w:firstLine="0"/>
                    <w:jc w:val="left"/>
                  </w:pPr>
                  <w:r>
                    <w:rPr>
                      <w:rFonts w:ascii="Times New Roman" w:hAnsi="Times New Roman" w:eastAsia="宋体"/>
                      <w:b/>
                      <w:i w:val="0"/>
                      <w:color w:val="000000"/>
                      <w:sz w:val="22"/>
                    </w:rPr>
                    <w:t>概念与操作性定义</w:t>
                  </w:r>
                </w:p>
              </w:tc>
              <w:tc>
                <w:tcPr>
                  <w:tcW w:w="3722" w:type="dxa"/>
                  <w:tcBorders>
                    <w:top w:val="single" w:color="000000" w:sz="8" w:space="0"/>
                    <w:left w:val="nil"/>
                    <w:bottom w:val="single" w:color="000000" w:sz="4" w:space="0"/>
                    <w:right w:val="nil"/>
                    <w:insideH w:val="nil"/>
                    <w:insideV w:val="nil"/>
                  </w:tcBorders>
                  <w:vAlign w:val="center"/>
                </w:tcPr>
                <w:p w14:paraId="7D313465">
                  <w:pPr>
                    <w:keepNext/>
                    <w:keepLines w:val="0"/>
                    <w:widowControl/>
                    <w:snapToGrid w:val="0"/>
                    <w:spacing w:before="60" w:after="60" w:line="280" w:lineRule="exact"/>
                    <w:ind w:left="0" w:right="0" w:firstLine="0"/>
                    <w:jc w:val="left"/>
                  </w:pPr>
                  <w:r>
                    <w:rPr>
                      <w:rFonts w:ascii="Times New Roman" w:hAnsi="Times New Roman" w:eastAsia="宋体"/>
                      <w:b/>
                      <w:i w:val="0"/>
                      <w:color w:val="000000"/>
                      <w:sz w:val="22"/>
                    </w:rPr>
                    <w:t>研究角色与测量</w:t>
                  </w:r>
                </w:p>
              </w:tc>
            </w:tr>
            <w:tr w14:paraId="7D95FBDF">
              <w:trPr>
                <w:cantSplit/>
                <w:jc w:val="center"/>
              </w:trPr>
              <w:tc>
                <w:tcPr>
                  <w:tcW w:w="2700" w:type="dxa"/>
                  <w:tcBorders>
                    <w:top w:val="nil"/>
                    <w:left w:val="nil"/>
                    <w:bottom w:val="nil"/>
                    <w:right w:val="nil"/>
                    <w:insideH w:val="nil"/>
                    <w:insideV w:val="nil"/>
                  </w:tcBorders>
                  <w:vAlign w:val="center"/>
                </w:tcPr>
                <w:p w14:paraId="3C355FA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生成性认知加工</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（generative processing）</w:t>
                  </w:r>
                </w:p>
              </w:tc>
              <w:tc>
                <w:tcPr>
                  <w:tcW w:w="3500" w:type="dxa"/>
                  <w:tcBorders>
                    <w:top w:val="nil"/>
                    <w:left w:val="nil"/>
                    <w:bottom w:val="nil"/>
                    <w:right w:val="nil"/>
                    <w:insideH w:val="nil"/>
                    <w:insideV w:val="nil"/>
                  </w:tcBorders>
                  <w:vAlign w:val="center"/>
                </w:tcPr>
                <w:p w14:paraId="5D1689A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学习者选择重要信息、组织信息关系，并将其与已有知识整合。本研究将其落实为定位论文证据、联系研究方法与结论、运用方法学知识形成判断。</w:t>
                  </w:r>
                </w:p>
              </w:tc>
              <w:tc>
                <w:tcPr>
                  <w:tcW w:w="3722" w:type="dxa"/>
                  <w:tcBorders>
                    <w:top w:val="nil"/>
                    <w:left w:val="nil"/>
                    <w:bottom w:val="nil"/>
                    <w:right w:val="nil"/>
                    <w:insideH w:val="nil"/>
                    <w:insideV w:val="nil"/>
                  </w:tcBorders>
                  <w:vAlign w:val="center"/>
                </w:tcPr>
                <w:p w14:paraId="366FD15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理论与设计依据；用于确定Agent应引导的阅读与推理活动。</w:t>
                  </w:r>
                </w:p>
              </w:tc>
            </w:tr>
            <w:tr w14:paraId="0B4CCC1C">
              <w:trPr>
                <w:cantSplit/>
                <w:jc w:val="center"/>
              </w:trPr>
              <w:tc>
                <w:tcPr>
                  <w:tcW w:w="2700" w:type="dxa"/>
                  <w:tcBorders>
                    <w:top w:val="nil"/>
                    <w:left w:val="nil"/>
                    <w:bottom w:val="nil"/>
                    <w:right w:val="nil"/>
                    <w:insideH w:val="nil"/>
                    <w:insideV w:val="nil"/>
                  </w:tcBorders>
                  <w:vAlign w:val="center"/>
                </w:tcPr>
                <w:p w14:paraId="1A832FB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自我解释</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（self-explanation）</w:t>
                  </w:r>
                </w:p>
              </w:tc>
              <w:tc>
                <w:tcPr>
                  <w:tcW w:w="3500" w:type="dxa"/>
                  <w:tcBorders>
                    <w:top w:val="nil"/>
                    <w:left w:val="nil"/>
                    <w:bottom w:val="nil"/>
                    <w:right w:val="nil"/>
                    <w:insideH w:val="nil"/>
                    <w:insideV w:val="nil"/>
                  </w:tcBorders>
                  <w:vAlign w:val="center"/>
                </w:tcPr>
                <w:p w14:paraId="46FB6B5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学习者为自己解释研究做法、证据与结论之间的联系，生成原文未直接说明的推论，并据此修正理解。</w:t>
                  </w:r>
                </w:p>
              </w:tc>
              <w:tc>
                <w:tcPr>
                  <w:tcW w:w="3722" w:type="dxa"/>
                  <w:tcBorders>
                    <w:top w:val="nil"/>
                    <w:left w:val="nil"/>
                    <w:bottom w:val="nil"/>
                    <w:right w:val="nil"/>
                    <w:insideH w:val="nil"/>
                    <w:insideV w:val="nil"/>
                  </w:tcBorders>
                  <w:vAlign w:val="center"/>
                </w:tcPr>
                <w:p w14:paraId="74ED7A5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设计依据与过程观察内容；通过对话中生成解释、补充理由和判断修正等片段进行编码分析。</w:t>
                  </w:r>
                </w:p>
              </w:tc>
            </w:tr>
            <w:tr w14:paraId="6E461F85">
              <w:trPr>
                <w:cantSplit/>
                <w:jc w:val="center"/>
              </w:trPr>
              <w:tc>
                <w:tcPr>
                  <w:tcW w:w="2700" w:type="dxa"/>
                  <w:tcBorders>
                    <w:top w:val="nil"/>
                    <w:left w:val="nil"/>
                    <w:bottom w:val="nil"/>
                    <w:right w:val="nil"/>
                    <w:insideH w:val="nil"/>
                    <w:insideV w:val="nil"/>
                  </w:tcBorders>
                  <w:vAlign w:val="center"/>
                </w:tcPr>
                <w:p w14:paraId="743D094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Agent辅助方式</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（Agent assistance condition）</w:t>
                  </w:r>
                </w:p>
              </w:tc>
              <w:tc>
                <w:tcPr>
                  <w:tcW w:w="3500" w:type="dxa"/>
                  <w:tcBorders>
                    <w:top w:val="nil"/>
                    <w:left w:val="nil"/>
                    <w:bottom w:val="nil"/>
                    <w:right w:val="nil"/>
                    <w:insideH w:val="nil"/>
                    <w:insideV w:val="nil"/>
                  </w:tcBorders>
                  <w:vAlign w:val="center"/>
                </w:tcPr>
                <w:p w14:paraId="094771C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训练阶段向参与者提供的阅读支持方式。两个AI组采用相同底层模型与信息条件，主要区别为教学互动策略。</w:t>
                  </w:r>
                </w:p>
              </w:tc>
              <w:tc>
                <w:tcPr>
                  <w:tcW w:w="3722" w:type="dxa"/>
                  <w:tcBorders>
                    <w:top w:val="nil"/>
                    <w:left w:val="nil"/>
                    <w:bottom w:val="nil"/>
                    <w:right w:val="nil"/>
                    <w:insideH w:val="nil"/>
                    <w:insideV w:val="nil"/>
                  </w:tcBorders>
                  <w:vAlign w:val="center"/>
                </w:tcPr>
                <w:p w14:paraId="78C5B32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三水平组间自变量：无AI独立阅读、通用Agent辅助阅读、苏格拉底式Agent辅助阅读；按1∶1∶1随机分组。</w:t>
                  </w:r>
                </w:p>
              </w:tc>
            </w:tr>
            <w:tr w14:paraId="4647594B">
              <w:trPr>
                <w:cantSplit/>
                <w:jc w:val="center"/>
              </w:trPr>
              <w:tc>
                <w:tcPr>
                  <w:tcW w:w="2700" w:type="dxa"/>
                  <w:tcBorders>
                    <w:top w:val="nil"/>
                    <w:left w:val="nil"/>
                    <w:bottom w:val="nil"/>
                    <w:right w:val="nil"/>
                    <w:insideH w:val="nil"/>
                    <w:insideV w:val="nil"/>
                  </w:tcBorders>
                  <w:vAlign w:val="center"/>
                </w:tcPr>
                <w:p w14:paraId="6FC8119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批判性评价表现</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（critical appraisal performance）</w:t>
                  </w:r>
                </w:p>
              </w:tc>
              <w:tc>
                <w:tcPr>
                  <w:tcW w:w="3500" w:type="dxa"/>
                  <w:tcBorders>
                    <w:top w:val="nil"/>
                    <w:left w:val="nil"/>
                    <w:bottom w:val="nil"/>
                    <w:right w:val="nil"/>
                    <w:insideH w:val="nil"/>
                    <w:insideV w:val="nil"/>
                  </w:tcBorders>
                  <w:vAlign w:val="center"/>
                </w:tcPr>
                <w:p w14:paraId="1A6A708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独立识别论文中成立的研究缺陷，并结合文章证据与方法学原则说明其如何影响研究结论的表现。</w:t>
                  </w:r>
                </w:p>
              </w:tc>
              <w:tc>
                <w:tcPr>
                  <w:tcW w:w="3722" w:type="dxa"/>
                  <w:tcBorders>
                    <w:top w:val="nil"/>
                    <w:left w:val="nil"/>
                    <w:bottom w:val="nil"/>
                    <w:right w:val="nil"/>
                    <w:insideH w:val="nil"/>
                    <w:insideV w:val="nil"/>
                  </w:tcBorders>
                  <w:vAlign w:val="center"/>
                </w:tcPr>
                <w:p w14:paraId="494ECF9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主要因变量；前后测均独立作答。主要指标为缺陷识别击中率与平均解释质量，补充指标为缺陷识别精确率。</w:t>
                  </w:r>
                </w:p>
              </w:tc>
            </w:tr>
            <w:tr w14:paraId="709E927D">
              <w:trPr>
                <w:cantSplit/>
                <w:jc w:val="center"/>
              </w:trPr>
              <w:tc>
                <w:tcPr>
                  <w:tcW w:w="2700" w:type="dxa"/>
                  <w:tcBorders>
                    <w:top w:val="nil"/>
                    <w:left w:val="nil"/>
                    <w:bottom w:val="nil"/>
                    <w:right w:val="nil"/>
                    <w:insideH w:val="nil"/>
                    <w:insideV w:val="nil"/>
                  </w:tcBorders>
                  <w:vAlign w:val="center"/>
                </w:tcPr>
                <w:p w14:paraId="745E7BA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论文内容概括表现</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（paper summarization performance）</w:t>
                  </w:r>
                </w:p>
              </w:tc>
              <w:tc>
                <w:tcPr>
                  <w:tcW w:w="3500" w:type="dxa"/>
                  <w:tcBorders>
                    <w:top w:val="nil"/>
                    <w:left w:val="nil"/>
                    <w:bottom w:val="nil"/>
                    <w:right w:val="nil"/>
                    <w:insideH w:val="nil"/>
                    <w:insideV w:val="nil"/>
                  </w:tcBorders>
                  <w:vAlign w:val="center"/>
                </w:tcPr>
                <w:p w14:paraId="619921B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准确概括论文的研究问题、研究方法、主要结果和作者结论，并把握其相互关系。</w:t>
                  </w:r>
                </w:p>
              </w:tc>
              <w:tc>
                <w:tcPr>
                  <w:tcW w:w="3722" w:type="dxa"/>
                  <w:tcBorders>
                    <w:top w:val="nil"/>
                    <w:left w:val="nil"/>
                    <w:bottom w:val="nil"/>
                    <w:right w:val="nil"/>
                    <w:insideH w:val="nil"/>
                    <w:insideV w:val="nil"/>
                  </w:tcBorders>
                  <w:vAlign w:val="center"/>
                </w:tcPr>
                <w:p w14:paraId="368DA03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次要因变量；前后测独立完成概括任务，依据统一整体标准评0—3分。</w:t>
                  </w:r>
                </w:p>
              </w:tc>
            </w:tr>
            <w:tr w14:paraId="70F5708D">
              <w:trPr>
                <w:cantSplit/>
                <w:jc w:val="center"/>
              </w:trPr>
              <w:tc>
                <w:tcPr>
                  <w:tcW w:w="2700" w:type="dxa"/>
                  <w:tcBorders>
                    <w:top w:val="nil"/>
                    <w:left w:val="nil"/>
                    <w:bottom w:val="nil"/>
                    <w:right w:val="nil"/>
                    <w:insideH w:val="nil"/>
                    <w:insideV w:val="nil"/>
                  </w:tcBorders>
                  <w:vAlign w:val="center"/>
                </w:tcPr>
                <w:p w14:paraId="201C4DF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初始批判性思维倾向</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（critical thinking disposition）</w:t>
                  </w:r>
                </w:p>
              </w:tc>
              <w:tc>
                <w:tcPr>
                  <w:tcW w:w="3500" w:type="dxa"/>
                  <w:tcBorders>
                    <w:top w:val="nil"/>
                    <w:left w:val="nil"/>
                    <w:bottom w:val="nil"/>
                    <w:right w:val="nil"/>
                    <w:insideH w:val="nil"/>
                    <w:insideV w:val="nil"/>
                  </w:tcBorders>
                  <w:vAlign w:val="center"/>
                </w:tcPr>
                <w:p w14:paraId="1A2AA71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参与者在训练前愿意运用批判性思维审查信息、证据和判断的倾向。</w:t>
                  </w:r>
                </w:p>
              </w:tc>
              <w:tc>
                <w:tcPr>
                  <w:tcW w:w="3722" w:type="dxa"/>
                  <w:tcBorders>
                    <w:top w:val="nil"/>
                    <w:left w:val="nil"/>
                    <w:bottom w:val="nil"/>
                    <w:right w:val="nil"/>
                    <w:insideH w:val="nil"/>
                    <w:insideV w:val="nil"/>
                  </w:tcBorders>
                  <w:vAlign w:val="center"/>
                </w:tcPr>
                <w:p w14:paraId="58E89BD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探索性调节变量；训练前采用CCTDI测量，以总分作为连续变量，检验其与组别的交互作用。</w:t>
                  </w:r>
                </w:p>
              </w:tc>
            </w:tr>
            <w:tr w14:paraId="6AE0B968">
              <w:trPr>
                <w:cantSplit/>
                <w:jc w:val="center"/>
              </w:trPr>
              <w:tc>
                <w:tcPr>
                  <w:tcW w:w="2700" w:type="dxa"/>
                  <w:tcBorders>
                    <w:top w:val="nil"/>
                    <w:left w:val="nil"/>
                    <w:bottom w:val="nil"/>
                    <w:right w:val="nil"/>
                    <w:insideH w:val="nil"/>
                    <w:insideV w:val="nil"/>
                  </w:tcBorders>
                  <w:vAlign w:val="center"/>
                </w:tcPr>
                <w:p w14:paraId="2CEE51B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主观任务负荷</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（subjective task load）</w:t>
                  </w:r>
                </w:p>
              </w:tc>
              <w:tc>
                <w:tcPr>
                  <w:tcW w:w="3500" w:type="dxa"/>
                  <w:tcBorders>
                    <w:top w:val="nil"/>
                    <w:left w:val="nil"/>
                    <w:bottom w:val="nil"/>
                    <w:right w:val="nil"/>
                    <w:insideH w:val="nil"/>
                    <w:insideV w:val="nil"/>
                  </w:tcBorders>
                  <w:vAlign w:val="center"/>
                </w:tcPr>
                <w:p w14:paraId="6D7426D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参与者对训练任务所需心理与身体投入、时间压力、表现、努力和挫折的主观评价。</w:t>
                  </w:r>
                </w:p>
              </w:tc>
              <w:tc>
                <w:tcPr>
                  <w:tcW w:w="3722" w:type="dxa"/>
                  <w:tcBorders>
                    <w:top w:val="nil"/>
                    <w:left w:val="nil"/>
                    <w:bottom w:val="nil"/>
                    <w:right w:val="nil"/>
                    <w:insideH w:val="nil"/>
                    <w:insideV w:val="nil"/>
                  </w:tcBorders>
                  <w:vAlign w:val="center"/>
                </w:tcPr>
                <w:p w14:paraId="46E4A26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探索性测量；训练后采用NASA-TLX，报告六维非加权均值与各维度得分。</w:t>
                  </w:r>
                </w:p>
              </w:tc>
            </w:tr>
            <w:tr w14:paraId="117F4482">
              <w:trPr>
                <w:cantSplit/>
                <w:jc w:val="center"/>
              </w:trPr>
              <w:tc>
                <w:tcPr>
                  <w:tcW w:w="2700" w:type="dxa"/>
                  <w:tcBorders>
                    <w:top w:val="nil"/>
                    <w:left w:val="nil"/>
                    <w:bottom w:val="nil"/>
                    <w:right w:val="nil"/>
                    <w:insideH w:val="nil"/>
                    <w:insideV w:val="nil"/>
                  </w:tcBorders>
                  <w:vAlign w:val="center"/>
                </w:tcPr>
                <w:p w14:paraId="20E3742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可用性</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（usability）</w:t>
                  </w:r>
                </w:p>
              </w:tc>
              <w:tc>
                <w:tcPr>
                  <w:tcW w:w="3500" w:type="dxa"/>
                  <w:tcBorders>
                    <w:top w:val="nil"/>
                    <w:left w:val="nil"/>
                    <w:bottom w:val="nil"/>
                    <w:right w:val="nil"/>
                    <w:insideH w:val="nil"/>
                    <w:insideV w:val="nil"/>
                  </w:tcBorders>
                  <w:vAlign w:val="center"/>
                </w:tcPr>
                <w:p w14:paraId="5861266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科研新手使用阅读界面与Agent完成任务时的有效性、效率及主观使用体验。</w:t>
                  </w:r>
                </w:p>
              </w:tc>
              <w:tc>
                <w:tcPr>
                  <w:tcW w:w="3722" w:type="dxa"/>
                  <w:tcBorders>
                    <w:top w:val="nil"/>
                    <w:left w:val="nil"/>
                    <w:bottom w:val="nil"/>
                    <w:right w:val="nil"/>
                    <w:insideH w:val="nil"/>
                    <w:insideV w:val="nil"/>
                  </w:tcBorders>
                  <w:vAlign w:val="center"/>
                </w:tcPr>
                <w:p w14:paraId="7DF4DED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研究二的产品评价内容；结合任务完成、操作错误与求助记录、SUS及访谈进行评估。</w:t>
                  </w:r>
                </w:p>
              </w:tc>
            </w:tr>
          </w:tbl>
          <w:p w14:paraId="12738D86">
            <w:pPr>
              <w:spacing w:before="0" w:after="40" w:line="40" w:lineRule="exact"/>
            </w:pPr>
            <w:bookmarkStart w:id="0" w:name="_GoBack"/>
            <w:bookmarkEnd w:id="0"/>
          </w:p>
        </w:tc>
      </w:tr>
      <w:tr w14:paraId="51EF4A33">
        <w:trPr>
          <w:jc w:val="center"/>
        </w:trPr>
        <w:tc>
          <w:tcPr>
            <w:tcW w:w="10440" w:type="dxa"/>
            <w:tcMar>
              <w:top w:w="0" w:type="dxa"/>
              <w:left w:w="160" w:type="dxa"/>
              <w:bottom w:w="0" w:type="dxa"/>
              <w:right w:w="160" w:type="dxa"/>
            </w:tcMar>
            <w:vAlign w:val="top"/>
          </w:tcPr>
          <w:p w14:paraId="31F0B170">
            <w:pPr>
              <w:pStyle w:val="19"/>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2．拟采取的研究方法（或技术路线、实验方案）、安全论证及可行性分析</w:t>
            </w:r>
          </w:p>
          <w:p w14:paraId="685133C9">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2.1 总体技术路线</w:t>
            </w:r>
          </w:p>
          <w:p w14:paraId="73F2A38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采用“设计依据与需求分析—产品开发与可用性测试—效果实验”的路线。前两项研究用于形成并完善干预工具，第三项研究用于检验训练效果。各阶段使用统一的目标用户定义，并将材料、界面、交互规则及测量工具在正式实验前固定。</w:t>
            </w:r>
          </w:p>
        </w:tc>
      </w:tr>
      <w:tr w14:paraId="19AC88E3">
        <w:trPr>
          <w:jc w:val="center"/>
        </w:trPr>
        <w:tc>
          <w:tcPr>
            <w:tcW w:w="10440" w:type="dxa"/>
            <w:tcMar>
              <w:top w:w="0" w:type="dxa"/>
              <w:left w:w="160" w:type="dxa"/>
              <w:bottom w:w="0" w:type="dxa"/>
              <w:right w:w="160" w:type="dxa"/>
            </w:tcMar>
            <w:vAlign w:val="top"/>
          </w:tcPr>
          <w:p w14:paraId="70DEEF1D">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 研究一 设计依据与需求分析</w:t>
            </w:r>
          </w:p>
          <w:p w14:paraId="2F2AD0A7">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2.2.1 研究目的与方法</w:t>
            </w:r>
          </w:p>
          <w:p w14:paraId="1ABB6866">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研究一旨在明确科研新手在理解并评价论文时需要什么支持，以及这些支持怎样转化为Agent设计。前期已完成相关理论及主要系统文献的初步梳理，下一步将整合同类工具比较与小规模访谈，形成设计要求。文献用于确定学习活动及追问原则，工具比较用于了解已有实现，访谈则用于核对这些原则在真实阅读情境中应该怎样呈现。</w:t>
            </w:r>
          </w:p>
        </w:tc>
      </w:tr>
      <w:tr w14:paraId="75AADF86">
        <w:trPr>
          <w:jc w:val="center"/>
        </w:trPr>
        <w:tc>
          <w:tcPr>
            <w:tcW w:w="10440" w:type="dxa"/>
            <w:tcMar>
              <w:top w:w="0" w:type="dxa"/>
              <w:left w:w="160" w:type="dxa"/>
              <w:bottom w:w="0" w:type="dxa"/>
              <w:right w:w="160" w:type="dxa"/>
            </w:tcMar>
            <w:vAlign w:val="top"/>
          </w:tcPr>
          <w:p w14:paraId="3627A14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文献梳理围绕三类问题进行：科研论文评价如何被定义和测量；追问、反馈及自适应帮助怎样引导学习者生成解释；现有AI系统通过何种实验验证学习效果。对于每项研究，记录任务对象、支持方式、参与者、比较条件、测量及结论，并把结果与本课题的具体任务对应起来。</w:t>
            </w:r>
          </w:p>
        </w:tc>
      </w:tr>
      <w:tr w14:paraId="5420F8E2">
        <w:trPr>
          <w:jc w:val="center"/>
        </w:trPr>
        <w:tc>
          <w:tcPr>
            <w:tcW w:w="10440" w:type="dxa"/>
            <w:tcMar>
              <w:top w:w="0" w:type="dxa"/>
              <w:left w:w="160" w:type="dxa"/>
              <w:bottom w:w="0" w:type="dxa"/>
              <w:right w:w="160" w:type="dxa"/>
            </w:tcMar>
            <w:vAlign w:val="top"/>
          </w:tcPr>
          <w:p w14:paraId="2ED363E7">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2.2.2 同类工具比较</w:t>
            </w:r>
          </w:p>
          <w:p w14:paraId="511AB12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选取CriTrainer、Fang等人（2026）的论文阅读系统、S-ICA、LFTutor、Critical Inker等具有不同支持方式的研究原型进行比较。比较以论文、附录、演示及可获得的系统信息为依据；具备访问条件时，在相同类型阅读问题下体验交互，记录实际操作。对仅能通过论文了解的系统，以其公开设计为分析对象。</w:t>
            </w:r>
          </w:p>
        </w:tc>
      </w:tr>
      <w:tr w14:paraId="57777D7B">
        <w:trPr>
          <w:jc w:val="center"/>
        </w:trPr>
        <w:tc>
          <w:tcPr>
            <w:tcW w:w="10440" w:type="dxa"/>
            <w:tcMar>
              <w:top w:w="0" w:type="dxa"/>
              <w:left w:w="160" w:type="dxa"/>
              <w:bottom w:w="0" w:type="dxa"/>
              <w:right w:w="160" w:type="dxa"/>
            </w:tcMar>
            <w:vAlign w:val="top"/>
          </w:tcPr>
          <w:p w14:paraId="063BB9BF">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表7  同类工具比较维度</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495A05EE">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33C6C3AE">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比较维度</w:t>
                  </w:r>
                </w:p>
              </w:tc>
              <w:tc>
                <w:tcPr>
                  <w:tcW w:w="3685" w:type="dxa"/>
                  <w:tcBorders>
                    <w:top w:val="single" w:color="000000" w:sz="8" w:space="0"/>
                    <w:left w:val="nil"/>
                    <w:bottom w:val="single" w:color="000000" w:sz="4" w:space="0"/>
                    <w:right w:val="nil"/>
                    <w:insideH w:val="nil"/>
                    <w:insideV w:val="nil"/>
                  </w:tcBorders>
                  <w:vAlign w:val="center"/>
                </w:tcPr>
                <w:p w14:paraId="062A08D9">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具体记录内容</w:t>
                  </w:r>
                </w:p>
              </w:tc>
              <w:tc>
                <w:tcPr>
                  <w:tcW w:w="4309" w:type="dxa"/>
                  <w:tcBorders>
                    <w:top w:val="single" w:color="000000" w:sz="8" w:space="0"/>
                    <w:left w:val="nil"/>
                    <w:bottom w:val="single" w:color="000000" w:sz="4" w:space="0"/>
                    <w:right w:val="nil"/>
                    <w:insideH w:val="nil"/>
                    <w:insideV w:val="nil"/>
                  </w:tcBorders>
                  <w:vAlign w:val="center"/>
                </w:tcPr>
                <w:p w14:paraId="4FB7B86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对本研究的用途</w:t>
                  </w:r>
                </w:p>
              </w:tc>
            </w:tr>
            <w:tr w14:paraId="35215BAE">
              <w:trPr>
                <w:cantSplit/>
                <w:jc w:val="center"/>
              </w:trPr>
              <w:tc>
                <w:tcPr>
                  <w:tcW w:w="1928" w:type="dxa"/>
                  <w:tcBorders>
                    <w:top w:val="nil"/>
                    <w:left w:val="nil"/>
                    <w:bottom w:val="nil"/>
                    <w:right w:val="nil"/>
                    <w:insideH w:val="nil"/>
                    <w:insideV w:val="nil"/>
                  </w:tcBorders>
                  <w:vAlign w:val="center"/>
                </w:tcPr>
                <w:p w14:paraId="2F54174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用户与任务</w:t>
                  </w:r>
                </w:p>
              </w:tc>
              <w:tc>
                <w:tcPr>
                  <w:tcW w:w="3685" w:type="dxa"/>
                  <w:tcBorders>
                    <w:top w:val="nil"/>
                    <w:left w:val="nil"/>
                    <w:bottom w:val="nil"/>
                    <w:right w:val="nil"/>
                    <w:insideH w:val="nil"/>
                    <w:insideV w:val="nil"/>
                  </w:tcBorders>
                  <w:vAlign w:val="center"/>
                </w:tcPr>
                <w:p w14:paraId="1CE07E1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面向谁，训练概括、提问、论证还是研究设计</w:t>
                  </w:r>
                </w:p>
              </w:tc>
              <w:tc>
                <w:tcPr>
                  <w:tcW w:w="4309" w:type="dxa"/>
                  <w:tcBorders>
                    <w:top w:val="nil"/>
                    <w:left w:val="nil"/>
                    <w:bottom w:val="nil"/>
                    <w:right w:val="nil"/>
                    <w:insideH w:val="nil"/>
                    <w:insideV w:val="nil"/>
                  </w:tcBorders>
                  <w:vAlign w:val="center"/>
                </w:tcPr>
                <w:p w14:paraId="0E5CD2C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确定科研新手论文评价任务的范围</w:t>
                  </w:r>
                </w:p>
              </w:tc>
            </w:tr>
            <w:tr w14:paraId="227DDBC3">
              <w:trPr>
                <w:cantSplit/>
                <w:jc w:val="center"/>
              </w:trPr>
              <w:tc>
                <w:tcPr>
                  <w:tcW w:w="1928" w:type="dxa"/>
                  <w:tcBorders>
                    <w:top w:val="nil"/>
                    <w:left w:val="nil"/>
                    <w:bottom w:val="nil"/>
                    <w:right w:val="nil"/>
                    <w:insideH w:val="nil"/>
                    <w:insideV w:val="nil"/>
                  </w:tcBorders>
                  <w:vAlign w:val="center"/>
                </w:tcPr>
                <w:p w14:paraId="1EFE642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材料与上下文</w:t>
                  </w:r>
                </w:p>
              </w:tc>
              <w:tc>
                <w:tcPr>
                  <w:tcW w:w="3685" w:type="dxa"/>
                  <w:tcBorders>
                    <w:top w:val="nil"/>
                    <w:left w:val="nil"/>
                    <w:bottom w:val="nil"/>
                    <w:right w:val="nil"/>
                    <w:insideH w:val="nil"/>
                    <w:insideV w:val="nil"/>
                  </w:tcBorders>
                  <w:vAlign w:val="center"/>
                </w:tcPr>
                <w:p w14:paraId="257A56A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能读取全文、选中文本、图表或用户笔记中的哪些内容</w:t>
                  </w:r>
                </w:p>
              </w:tc>
              <w:tc>
                <w:tcPr>
                  <w:tcW w:w="4309" w:type="dxa"/>
                  <w:tcBorders>
                    <w:top w:val="nil"/>
                    <w:left w:val="nil"/>
                    <w:bottom w:val="nil"/>
                    <w:right w:val="nil"/>
                    <w:insideH w:val="nil"/>
                    <w:insideV w:val="nil"/>
                  </w:tcBorders>
                  <w:vAlign w:val="center"/>
                </w:tcPr>
                <w:p w14:paraId="7DECEEA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确定Agent接入信息及原文定位方式</w:t>
                  </w:r>
                </w:p>
              </w:tc>
            </w:tr>
            <w:tr w14:paraId="7717B676">
              <w:trPr>
                <w:cantSplit/>
                <w:jc w:val="center"/>
              </w:trPr>
              <w:tc>
                <w:tcPr>
                  <w:tcW w:w="1928" w:type="dxa"/>
                  <w:tcBorders>
                    <w:top w:val="nil"/>
                    <w:left w:val="nil"/>
                    <w:bottom w:val="nil"/>
                    <w:right w:val="nil"/>
                    <w:insideH w:val="nil"/>
                    <w:insideV w:val="nil"/>
                  </w:tcBorders>
                  <w:vAlign w:val="center"/>
                </w:tcPr>
                <w:p w14:paraId="295D3B7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对话入口</w:t>
                  </w:r>
                </w:p>
              </w:tc>
              <w:tc>
                <w:tcPr>
                  <w:tcW w:w="3685" w:type="dxa"/>
                  <w:tcBorders>
                    <w:top w:val="nil"/>
                    <w:left w:val="nil"/>
                    <w:bottom w:val="nil"/>
                    <w:right w:val="nil"/>
                    <w:insideH w:val="nil"/>
                    <w:insideV w:val="nil"/>
                  </w:tcBorders>
                  <w:vAlign w:val="center"/>
                </w:tcPr>
                <w:p w14:paraId="2562B29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由章节问题、用户疑问、已有判断或预设活动启动</w:t>
                  </w:r>
                </w:p>
              </w:tc>
              <w:tc>
                <w:tcPr>
                  <w:tcW w:w="4309" w:type="dxa"/>
                  <w:tcBorders>
                    <w:top w:val="nil"/>
                    <w:left w:val="nil"/>
                    <w:bottom w:val="nil"/>
                    <w:right w:val="nil"/>
                    <w:insideH w:val="nil"/>
                    <w:insideV w:val="nil"/>
                  </w:tcBorders>
                  <w:vAlign w:val="center"/>
                </w:tcPr>
                <w:p w14:paraId="469ABE8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设计多种进入讨论的方式</w:t>
                  </w:r>
                </w:p>
              </w:tc>
            </w:tr>
            <w:tr w14:paraId="78801270">
              <w:trPr>
                <w:cantSplit/>
                <w:jc w:val="center"/>
              </w:trPr>
              <w:tc>
                <w:tcPr>
                  <w:tcW w:w="1928" w:type="dxa"/>
                  <w:tcBorders>
                    <w:top w:val="nil"/>
                    <w:left w:val="nil"/>
                    <w:bottom w:val="nil"/>
                    <w:right w:val="nil"/>
                    <w:insideH w:val="nil"/>
                    <w:insideV w:val="nil"/>
                  </w:tcBorders>
                  <w:vAlign w:val="center"/>
                </w:tcPr>
                <w:p w14:paraId="41A89E7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追问与反馈</w:t>
                  </w:r>
                </w:p>
              </w:tc>
              <w:tc>
                <w:tcPr>
                  <w:tcW w:w="3685" w:type="dxa"/>
                  <w:tcBorders>
                    <w:top w:val="nil"/>
                    <w:left w:val="nil"/>
                    <w:bottom w:val="nil"/>
                    <w:right w:val="nil"/>
                    <w:insideH w:val="nil"/>
                    <w:insideV w:val="nil"/>
                  </w:tcBorders>
                  <w:vAlign w:val="center"/>
                </w:tcPr>
                <w:p w14:paraId="54B02E6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怎样根据回答继续追问，何时给解释或直接反馈</w:t>
                  </w:r>
                </w:p>
              </w:tc>
              <w:tc>
                <w:tcPr>
                  <w:tcW w:w="4309" w:type="dxa"/>
                  <w:tcBorders>
                    <w:top w:val="nil"/>
                    <w:left w:val="nil"/>
                    <w:bottom w:val="nil"/>
                    <w:right w:val="nil"/>
                    <w:insideH w:val="nil"/>
                    <w:insideV w:val="nil"/>
                  </w:tcBorders>
                  <w:vAlign w:val="center"/>
                </w:tcPr>
                <w:p w14:paraId="3B515C2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形成教学动作与选择规则</w:t>
                  </w:r>
                </w:p>
              </w:tc>
            </w:tr>
            <w:tr w14:paraId="379F5828">
              <w:trPr>
                <w:cantSplit/>
                <w:jc w:val="center"/>
              </w:trPr>
              <w:tc>
                <w:tcPr>
                  <w:tcW w:w="1928" w:type="dxa"/>
                  <w:tcBorders>
                    <w:top w:val="nil"/>
                    <w:left w:val="nil"/>
                    <w:bottom w:val="nil"/>
                    <w:right w:val="nil"/>
                    <w:insideH w:val="nil"/>
                    <w:insideV w:val="nil"/>
                  </w:tcBorders>
                  <w:vAlign w:val="center"/>
                </w:tcPr>
                <w:p w14:paraId="6DA08D9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帮助调整</w:t>
                  </w:r>
                </w:p>
              </w:tc>
              <w:tc>
                <w:tcPr>
                  <w:tcW w:w="3685" w:type="dxa"/>
                  <w:tcBorders>
                    <w:top w:val="nil"/>
                    <w:left w:val="nil"/>
                    <w:bottom w:val="nil"/>
                    <w:right w:val="nil"/>
                    <w:insideH w:val="nil"/>
                    <w:insideV w:val="nil"/>
                  </w:tcBorders>
                  <w:vAlign w:val="center"/>
                </w:tcPr>
                <w:p w14:paraId="0278D61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是否区分开放问题、方向提示和具体线索</w:t>
                  </w:r>
                </w:p>
              </w:tc>
              <w:tc>
                <w:tcPr>
                  <w:tcW w:w="4309" w:type="dxa"/>
                  <w:tcBorders>
                    <w:top w:val="nil"/>
                    <w:left w:val="nil"/>
                    <w:bottom w:val="nil"/>
                    <w:right w:val="nil"/>
                    <w:insideH w:val="nil"/>
                    <w:insideV w:val="nil"/>
                  </w:tcBorders>
                  <w:vAlign w:val="center"/>
                </w:tcPr>
                <w:p w14:paraId="5FF1492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形成自适应帮助层级</w:t>
                  </w:r>
                </w:p>
              </w:tc>
            </w:tr>
            <w:tr w14:paraId="0B9859A5">
              <w:trPr>
                <w:cantSplit/>
                <w:jc w:val="center"/>
              </w:trPr>
              <w:tc>
                <w:tcPr>
                  <w:tcW w:w="1928" w:type="dxa"/>
                  <w:tcBorders>
                    <w:top w:val="nil"/>
                    <w:left w:val="nil"/>
                    <w:bottom w:val="nil"/>
                    <w:right w:val="nil"/>
                    <w:insideH w:val="nil"/>
                    <w:insideV w:val="nil"/>
                  </w:tcBorders>
                  <w:vAlign w:val="center"/>
                </w:tcPr>
                <w:p w14:paraId="1A7FFDA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跨轮记录</w:t>
                  </w:r>
                </w:p>
              </w:tc>
              <w:tc>
                <w:tcPr>
                  <w:tcW w:w="3685" w:type="dxa"/>
                  <w:tcBorders>
                    <w:top w:val="nil"/>
                    <w:left w:val="nil"/>
                    <w:bottom w:val="nil"/>
                    <w:right w:val="nil"/>
                    <w:insideH w:val="nil"/>
                    <w:insideV w:val="nil"/>
                  </w:tcBorders>
                  <w:vAlign w:val="center"/>
                </w:tcPr>
                <w:p w14:paraId="5FA10F3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是否保留已解释内容、分歧及未解决问题</w:t>
                  </w:r>
                </w:p>
              </w:tc>
              <w:tc>
                <w:tcPr>
                  <w:tcW w:w="4309" w:type="dxa"/>
                  <w:tcBorders>
                    <w:top w:val="nil"/>
                    <w:left w:val="nil"/>
                    <w:bottom w:val="nil"/>
                    <w:right w:val="nil"/>
                    <w:insideH w:val="nil"/>
                    <w:insideV w:val="nil"/>
                  </w:tcBorders>
                  <w:vAlign w:val="center"/>
                </w:tcPr>
                <w:p w14:paraId="2F1130C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减少重复，支持连续讨论</w:t>
                  </w:r>
                </w:p>
              </w:tc>
            </w:tr>
            <w:tr w14:paraId="178EFF2C">
              <w:trPr>
                <w:cantSplit/>
                <w:jc w:val="center"/>
              </w:trPr>
              <w:tc>
                <w:tcPr>
                  <w:tcW w:w="1928" w:type="dxa"/>
                  <w:tcBorders>
                    <w:top w:val="nil"/>
                    <w:left w:val="nil"/>
                    <w:bottom w:val="nil"/>
                    <w:right w:val="nil"/>
                    <w:insideH w:val="nil"/>
                    <w:insideV w:val="nil"/>
                  </w:tcBorders>
                  <w:vAlign w:val="center"/>
                </w:tcPr>
                <w:p w14:paraId="2CFDAAB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用户控制</w:t>
                  </w:r>
                </w:p>
              </w:tc>
              <w:tc>
                <w:tcPr>
                  <w:tcW w:w="3685" w:type="dxa"/>
                  <w:tcBorders>
                    <w:top w:val="nil"/>
                    <w:left w:val="nil"/>
                    <w:bottom w:val="nil"/>
                    <w:right w:val="nil"/>
                    <w:insideH w:val="nil"/>
                    <w:insideV w:val="nil"/>
                  </w:tcBorders>
                  <w:vAlign w:val="center"/>
                </w:tcPr>
                <w:p w14:paraId="627EF96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是否支持求助、暂停、跳过和返回原文</w:t>
                  </w:r>
                </w:p>
              </w:tc>
              <w:tc>
                <w:tcPr>
                  <w:tcW w:w="4309" w:type="dxa"/>
                  <w:tcBorders>
                    <w:top w:val="nil"/>
                    <w:left w:val="nil"/>
                    <w:bottom w:val="nil"/>
                    <w:right w:val="nil"/>
                    <w:insideH w:val="nil"/>
                    <w:insideV w:val="nil"/>
                  </w:tcBorders>
                  <w:vAlign w:val="center"/>
                </w:tcPr>
                <w:p w14:paraId="26635D1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明确节奏控制与退出入口</w:t>
                  </w:r>
                </w:p>
              </w:tc>
            </w:tr>
            <w:tr w14:paraId="08899E92">
              <w:trPr>
                <w:cantSplit/>
                <w:jc w:val="center"/>
              </w:trPr>
              <w:tc>
                <w:tcPr>
                  <w:tcW w:w="1928" w:type="dxa"/>
                  <w:tcBorders>
                    <w:top w:val="nil"/>
                    <w:left w:val="nil"/>
                    <w:bottom w:val="single" w:color="000000" w:sz="8" w:space="0"/>
                    <w:right w:val="nil"/>
                    <w:insideH w:val="nil"/>
                    <w:insideV w:val="nil"/>
                  </w:tcBorders>
                  <w:vAlign w:val="center"/>
                </w:tcPr>
                <w:p w14:paraId="35C4845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评价方法</w:t>
                  </w:r>
                </w:p>
              </w:tc>
              <w:tc>
                <w:tcPr>
                  <w:tcW w:w="3685" w:type="dxa"/>
                  <w:tcBorders>
                    <w:top w:val="nil"/>
                    <w:left w:val="nil"/>
                    <w:bottom w:val="single" w:color="000000" w:sz="8" w:space="0"/>
                    <w:right w:val="nil"/>
                    <w:insideH w:val="nil"/>
                    <w:insideV w:val="nil"/>
                  </w:tcBorders>
                  <w:vAlign w:val="center"/>
                </w:tcPr>
                <w:p w14:paraId="680703F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系统性能、使用体验、学习过程及独立结果分别怎样测</w:t>
                  </w:r>
                </w:p>
              </w:tc>
              <w:tc>
                <w:tcPr>
                  <w:tcW w:w="4309" w:type="dxa"/>
                  <w:tcBorders>
                    <w:top w:val="nil"/>
                    <w:left w:val="nil"/>
                    <w:bottom w:val="single" w:color="000000" w:sz="8" w:space="0"/>
                    <w:right w:val="nil"/>
                    <w:insideH w:val="nil"/>
                    <w:insideV w:val="nil"/>
                  </w:tcBorders>
                  <w:vAlign w:val="center"/>
                </w:tcPr>
                <w:p w14:paraId="03D78C4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确定开发测试和效果实验的分工</w:t>
                  </w:r>
                </w:p>
              </w:tc>
            </w:tr>
          </w:tbl>
          <w:p w14:paraId="6674B29D">
            <w:pPr>
              <w:spacing w:before="0" w:after="40" w:line="40" w:lineRule="exact"/>
            </w:pPr>
          </w:p>
        </w:tc>
      </w:tr>
      <w:tr w14:paraId="2448CDB3">
        <w:trPr>
          <w:jc w:val="center"/>
        </w:trPr>
        <w:tc>
          <w:tcPr>
            <w:tcW w:w="10440" w:type="dxa"/>
            <w:tcMar>
              <w:top w:w="0" w:type="dxa"/>
              <w:left w:w="160" w:type="dxa"/>
              <w:bottom w:w="0" w:type="dxa"/>
              <w:right w:w="160" w:type="dxa"/>
            </w:tcMar>
            <w:vAlign w:val="top"/>
          </w:tcPr>
          <w:p w14:paraId="2B860E4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工具比较将形成“设计做法—证据来源—本研究采用方式”的记录。例如，LFTutor的策略选择与检查提供实现思路，CriTrainer的独立前后测提供评价思路，而章节问题系统提供原文定位与反馈修订的界面参考。比较结果与访谈共同用于确定优先实现的功能。</w:t>
            </w:r>
          </w:p>
        </w:tc>
      </w:tr>
      <w:tr w14:paraId="1A370DFC">
        <w:trPr>
          <w:jc w:val="center"/>
        </w:trPr>
        <w:tc>
          <w:tcPr>
            <w:tcW w:w="10440" w:type="dxa"/>
            <w:tcMar>
              <w:top w:w="0" w:type="dxa"/>
              <w:left w:w="160" w:type="dxa"/>
              <w:bottom w:w="0" w:type="dxa"/>
              <w:right w:w="160" w:type="dxa"/>
            </w:tcMar>
            <w:vAlign w:val="top"/>
          </w:tcPr>
          <w:p w14:paraId="4E3176EB">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2.2.3 参与者招募与访谈准备</w:t>
            </w:r>
          </w:p>
          <w:p w14:paraId="4F78C07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计划招募6—8名心理学或应用心理学专业学生，范围为大学二年级及以上本科生和硕士一年级学生。参与者须年满18周岁，能够熟练阅读中文，具备心理统计、研究方法或相当课程基础，科研实践经验有限。招募时记录其年级、课程、论文阅读及AI使用经历，以覆盖不同的阅读困难和求助方式。</w:t>
            </w:r>
          </w:p>
        </w:tc>
      </w:tr>
      <w:tr w14:paraId="7DE99150">
        <w:trPr>
          <w:jc w:val="center"/>
        </w:trPr>
        <w:tc>
          <w:tcPr>
            <w:tcW w:w="10440" w:type="dxa"/>
            <w:tcMar>
              <w:top w:w="0" w:type="dxa"/>
              <w:left w:w="160" w:type="dxa"/>
              <w:bottom w:w="0" w:type="dxa"/>
              <w:right w:w="160" w:type="dxa"/>
            </w:tcMar>
            <w:vAlign w:val="top"/>
          </w:tcPr>
          <w:p w14:paraId="1EE326E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访谈采用结合真实论文和阅读记录的半结构化形式，每人约35—40分钟。预约时邀请参与者准备一篇近期读过且曾遇到理解或评价困难的实证论文，并选择愿意展示的笔记、批注或AI聊天记录。没有现成记录者，可以结合论文回忆具体过程。材料由参与者自主选择，研究者只收集与阅读支持有关的信息。</w:t>
            </w:r>
          </w:p>
        </w:tc>
      </w:tr>
      <w:tr w14:paraId="571234F1">
        <w:trPr>
          <w:jc w:val="center"/>
        </w:trPr>
        <w:tc>
          <w:tcPr>
            <w:tcW w:w="10440" w:type="dxa"/>
            <w:tcMar>
              <w:top w:w="0" w:type="dxa"/>
              <w:left w:w="160" w:type="dxa"/>
              <w:bottom w:w="0" w:type="dxa"/>
              <w:right w:w="160" w:type="dxa"/>
            </w:tcMar>
            <w:vAlign w:val="top"/>
          </w:tcPr>
          <w:p w14:paraId="5BD10B8D">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2.2.4 访谈流程与提纲</w:t>
            </w:r>
          </w:p>
          <w:p w14:paraId="7905BEE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访谈从一次具体阅读经历展开，追问当时的目标、阅读顺序、困难、处理行动及处理后的变化。研究者结合原文和记录定位情境，了解参与者为什么停顿、为什么请求AI帮助，以及获得回复后做了什么。</w:t>
            </w:r>
          </w:p>
        </w:tc>
      </w:tr>
      <w:tr w14:paraId="4DC40C86">
        <w:trPr>
          <w:jc w:val="center"/>
        </w:trPr>
        <w:tc>
          <w:tcPr>
            <w:tcW w:w="10440" w:type="dxa"/>
            <w:tcMar>
              <w:top w:w="0" w:type="dxa"/>
              <w:left w:w="160" w:type="dxa"/>
              <w:bottom w:w="0" w:type="dxa"/>
              <w:right w:w="160" w:type="dxa"/>
            </w:tcMar>
            <w:vAlign w:val="top"/>
          </w:tcPr>
          <w:p w14:paraId="6DB564D8">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表8  半结构化访谈流程</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033C4B60">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2B640917">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环节</w:t>
                  </w:r>
                </w:p>
              </w:tc>
              <w:tc>
                <w:tcPr>
                  <w:tcW w:w="3685" w:type="dxa"/>
                  <w:tcBorders>
                    <w:top w:val="single" w:color="000000" w:sz="8" w:space="0"/>
                    <w:left w:val="nil"/>
                    <w:bottom w:val="single" w:color="000000" w:sz="4" w:space="0"/>
                    <w:right w:val="nil"/>
                    <w:insideH w:val="nil"/>
                    <w:insideV w:val="nil"/>
                  </w:tcBorders>
                  <w:vAlign w:val="center"/>
                </w:tcPr>
                <w:p w14:paraId="3A02B1C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参考时长</w:t>
                  </w:r>
                </w:p>
              </w:tc>
              <w:tc>
                <w:tcPr>
                  <w:tcW w:w="4309" w:type="dxa"/>
                  <w:tcBorders>
                    <w:top w:val="single" w:color="000000" w:sz="8" w:space="0"/>
                    <w:left w:val="nil"/>
                    <w:bottom w:val="single" w:color="000000" w:sz="4" w:space="0"/>
                    <w:right w:val="nil"/>
                    <w:insideH w:val="nil"/>
                    <w:insideV w:val="nil"/>
                  </w:tcBorders>
                  <w:vAlign w:val="center"/>
                </w:tcPr>
                <w:p w14:paraId="4730C022">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主要内容</w:t>
                  </w:r>
                </w:p>
              </w:tc>
            </w:tr>
            <w:tr w14:paraId="00C2B8D6">
              <w:trPr>
                <w:cantSplit/>
                <w:jc w:val="center"/>
              </w:trPr>
              <w:tc>
                <w:tcPr>
                  <w:tcW w:w="1928" w:type="dxa"/>
                  <w:tcBorders>
                    <w:top w:val="nil"/>
                    <w:left w:val="nil"/>
                    <w:bottom w:val="nil"/>
                    <w:right w:val="nil"/>
                    <w:insideH w:val="nil"/>
                    <w:insideV w:val="nil"/>
                  </w:tcBorders>
                  <w:vAlign w:val="center"/>
                </w:tcPr>
                <w:p w14:paraId="145C619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阅读背景</w:t>
                  </w:r>
                </w:p>
              </w:tc>
              <w:tc>
                <w:tcPr>
                  <w:tcW w:w="3685" w:type="dxa"/>
                  <w:tcBorders>
                    <w:top w:val="nil"/>
                    <w:left w:val="nil"/>
                    <w:bottom w:val="nil"/>
                    <w:right w:val="nil"/>
                    <w:insideH w:val="nil"/>
                    <w:insideV w:val="nil"/>
                  </w:tcBorders>
                  <w:vAlign w:val="center"/>
                </w:tcPr>
                <w:p w14:paraId="7FD3AB9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约5分钟</w:t>
                  </w:r>
                </w:p>
              </w:tc>
              <w:tc>
                <w:tcPr>
                  <w:tcW w:w="4309" w:type="dxa"/>
                  <w:tcBorders>
                    <w:top w:val="nil"/>
                    <w:left w:val="nil"/>
                    <w:bottom w:val="nil"/>
                    <w:right w:val="nil"/>
                    <w:insideH w:val="nil"/>
                    <w:insideV w:val="nil"/>
                  </w:tcBorders>
                  <w:vAlign w:val="center"/>
                </w:tcPr>
                <w:p w14:paraId="5246061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了解课程基础、科研经历、平时阅读任务及AI使用情况</w:t>
                  </w:r>
                </w:p>
              </w:tc>
            </w:tr>
            <w:tr w14:paraId="5B497040">
              <w:trPr>
                <w:cantSplit/>
                <w:jc w:val="center"/>
              </w:trPr>
              <w:tc>
                <w:tcPr>
                  <w:tcW w:w="1928" w:type="dxa"/>
                  <w:tcBorders>
                    <w:top w:val="nil"/>
                    <w:left w:val="nil"/>
                    <w:bottom w:val="nil"/>
                    <w:right w:val="nil"/>
                    <w:insideH w:val="nil"/>
                    <w:insideV w:val="nil"/>
                  </w:tcBorders>
                  <w:vAlign w:val="center"/>
                </w:tcPr>
                <w:p w14:paraId="2A6BAC3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回顾具体经历</w:t>
                  </w:r>
                </w:p>
              </w:tc>
              <w:tc>
                <w:tcPr>
                  <w:tcW w:w="3685" w:type="dxa"/>
                  <w:tcBorders>
                    <w:top w:val="nil"/>
                    <w:left w:val="nil"/>
                    <w:bottom w:val="nil"/>
                    <w:right w:val="nil"/>
                    <w:insideH w:val="nil"/>
                    <w:insideV w:val="nil"/>
                  </w:tcBorders>
                  <w:vAlign w:val="center"/>
                </w:tcPr>
                <w:p w14:paraId="4D09641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约10分钟</w:t>
                  </w:r>
                </w:p>
              </w:tc>
              <w:tc>
                <w:tcPr>
                  <w:tcW w:w="4309" w:type="dxa"/>
                  <w:tcBorders>
                    <w:top w:val="nil"/>
                    <w:left w:val="nil"/>
                    <w:bottom w:val="nil"/>
                    <w:right w:val="nil"/>
                    <w:insideH w:val="nil"/>
                    <w:insideV w:val="nil"/>
                  </w:tcBorders>
                  <w:vAlign w:val="center"/>
                </w:tcPr>
                <w:p w14:paraId="2989155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围绕准备的论文重述阅读过程，定位困难及当时采取的行动</w:t>
                  </w:r>
                </w:p>
              </w:tc>
            </w:tr>
            <w:tr w14:paraId="40A416CB">
              <w:trPr>
                <w:cantSplit/>
                <w:jc w:val="center"/>
              </w:trPr>
              <w:tc>
                <w:tcPr>
                  <w:tcW w:w="1928" w:type="dxa"/>
                  <w:tcBorders>
                    <w:top w:val="nil"/>
                    <w:left w:val="nil"/>
                    <w:bottom w:val="nil"/>
                    <w:right w:val="nil"/>
                    <w:insideH w:val="nil"/>
                    <w:insideV w:val="nil"/>
                  </w:tcBorders>
                  <w:vAlign w:val="center"/>
                </w:tcPr>
                <w:p w14:paraId="2DEADE2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讨论关键困难</w:t>
                  </w:r>
                </w:p>
              </w:tc>
              <w:tc>
                <w:tcPr>
                  <w:tcW w:w="3685" w:type="dxa"/>
                  <w:tcBorders>
                    <w:top w:val="nil"/>
                    <w:left w:val="nil"/>
                    <w:bottom w:val="nil"/>
                    <w:right w:val="nil"/>
                    <w:insideH w:val="nil"/>
                    <w:insideV w:val="nil"/>
                  </w:tcBorders>
                  <w:vAlign w:val="center"/>
                </w:tcPr>
                <w:p w14:paraId="7BC5468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10—15分钟</w:t>
                  </w:r>
                </w:p>
              </w:tc>
              <w:tc>
                <w:tcPr>
                  <w:tcW w:w="4309" w:type="dxa"/>
                  <w:tcBorders>
                    <w:top w:val="nil"/>
                    <w:left w:val="nil"/>
                    <w:bottom w:val="nil"/>
                    <w:right w:val="nil"/>
                    <w:insideH w:val="nil"/>
                    <w:insideV w:val="nil"/>
                  </w:tcBorders>
                  <w:vAlign w:val="center"/>
                </w:tcPr>
                <w:p w14:paraId="1DD1DFE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追问内容理解、证据定位、评价形成与理由说明中的问题</w:t>
                  </w:r>
                </w:p>
              </w:tc>
            </w:tr>
            <w:tr w14:paraId="27D4E83F">
              <w:trPr>
                <w:cantSplit/>
                <w:jc w:val="center"/>
              </w:trPr>
              <w:tc>
                <w:tcPr>
                  <w:tcW w:w="1928" w:type="dxa"/>
                  <w:tcBorders>
                    <w:top w:val="nil"/>
                    <w:left w:val="nil"/>
                    <w:bottom w:val="nil"/>
                    <w:right w:val="nil"/>
                    <w:insideH w:val="nil"/>
                    <w:insideV w:val="nil"/>
                  </w:tcBorders>
                  <w:vAlign w:val="center"/>
                </w:tcPr>
                <w:p w14:paraId="070E1B9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讨论支持方式</w:t>
                  </w:r>
                </w:p>
              </w:tc>
              <w:tc>
                <w:tcPr>
                  <w:tcW w:w="3685" w:type="dxa"/>
                  <w:tcBorders>
                    <w:top w:val="nil"/>
                    <w:left w:val="nil"/>
                    <w:bottom w:val="nil"/>
                    <w:right w:val="nil"/>
                    <w:insideH w:val="nil"/>
                    <w:insideV w:val="nil"/>
                  </w:tcBorders>
                  <w:vAlign w:val="center"/>
                </w:tcPr>
                <w:p w14:paraId="731D8E9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5—8分钟</w:t>
                  </w:r>
                </w:p>
              </w:tc>
              <w:tc>
                <w:tcPr>
                  <w:tcW w:w="4309" w:type="dxa"/>
                  <w:tcBorders>
                    <w:top w:val="nil"/>
                    <w:left w:val="nil"/>
                    <w:bottom w:val="nil"/>
                    <w:right w:val="nil"/>
                    <w:insideH w:val="nil"/>
                    <w:insideV w:val="nil"/>
                  </w:tcBorders>
                  <w:vAlign w:val="center"/>
                </w:tcPr>
                <w:p w14:paraId="36099F7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结合具体情境了解需要解释、提示还是追问，以及希望怎样控制节奏</w:t>
                  </w:r>
                </w:p>
              </w:tc>
            </w:tr>
            <w:tr w14:paraId="3C771B12">
              <w:trPr>
                <w:cantSplit/>
                <w:jc w:val="center"/>
              </w:trPr>
              <w:tc>
                <w:tcPr>
                  <w:tcW w:w="1928" w:type="dxa"/>
                  <w:tcBorders>
                    <w:top w:val="nil"/>
                    <w:left w:val="nil"/>
                    <w:bottom w:val="single" w:color="000000" w:sz="8" w:space="0"/>
                    <w:right w:val="nil"/>
                    <w:insideH w:val="nil"/>
                    <w:insideV w:val="nil"/>
                  </w:tcBorders>
                  <w:vAlign w:val="center"/>
                </w:tcPr>
                <w:p w14:paraId="4641954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确认与补充</w:t>
                  </w:r>
                </w:p>
              </w:tc>
              <w:tc>
                <w:tcPr>
                  <w:tcW w:w="3685" w:type="dxa"/>
                  <w:tcBorders>
                    <w:top w:val="nil"/>
                    <w:left w:val="nil"/>
                    <w:bottom w:val="single" w:color="000000" w:sz="8" w:space="0"/>
                    <w:right w:val="nil"/>
                    <w:insideH w:val="nil"/>
                    <w:insideV w:val="nil"/>
                  </w:tcBorders>
                  <w:vAlign w:val="center"/>
                </w:tcPr>
                <w:p w14:paraId="6FCC8BA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约2分钟</w:t>
                  </w:r>
                </w:p>
              </w:tc>
              <w:tc>
                <w:tcPr>
                  <w:tcW w:w="4309" w:type="dxa"/>
                  <w:tcBorders>
                    <w:top w:val="nil"/>
                    <w:left w:val="nil"/>
                    <w:bottom w:val="single" w:color="000000" w:sz="8" w:space="0"/>
                    <w:right w:val="nil"/>
                    <w:insideH w:val="nil"/>
                    <w:insideV w:val="nil"/>
                  </w:tcBorders>
                  <w:vAlign w:val="center"/>
                </w:tcPr>
                <w:p w14:paraId="2163CC1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确认主要困难和未解决问题，补充遗漏信息</w:t>
                  </w:r>
                </w:p>
              </w:tc>
            </w:tr>
          </w:tbl>
          <w:p w14:paraId="7E30D17D">
            <w:pPr>
              <w:spacing w:before="0" w:after="40" w:line="40" w:lineRule="exact"/>
            </w:pPr>
          </w:p>
        </w:tc>
      </w:tr>
      <w:tr w14:paraId="2935C321">
        <w:trPr>
          <w:jc w:val="center"/>
        </w:trPr>
        <w:tc>
          <w:tcPr>
            <w:tcW w:w="10440" w:type="dxa"/>
            <w:tcMar>
              <w:top w:w="0" w:type="dxa"/>
              <w:left w:w="160" w:type="dxa"/>
              <w:bottom w:w="0" w:type="dxa"/>
              <w:right w:w="160" w:type="dxa"/>
            </w:tcMar>
            <w:vAlign w:val="top"/>
          </w:tcPr>
          <w:p w14:paraId="35158A5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各环节根据实际材料适度调整，使总时长保持约35—40分钟。提问以开放问题为主，必要时请参与者指出对应段落或展示当时的操作记录。</w:t>
            </w:r>
          </w:p>
        </w:tc>
      </w:tr>
      <w:tr w14:paraId="256EE644">
        <w:trPr>
          <w:jc w:val="center"/>
        </w:trPr>
        <w:tc>
          <w:tcPr>
            <w:tcW w:w="10440" w:type="dxa"/>
            <w:tcMar>
              <w:top w:w="0" w:type="dxa"/>
              <w:left w:w="160" w:type="dxa"/>
              <w:bottom w:w="0" w:type="dxa"/>
              <w:right w:w="160" w:type="dxa"/>
            </w:tcMar>
            <w:vAlign w:val="top"/>
          </w:tcPr>
          <w:p w14:paraId="21D9F393">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表9  访谈提纲及对应设计决策</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1AB8D676">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36DDE240">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关注点</w:t>
                  </w:r>
                </w:p>
              </w:tc>
              <w:tc>
                <w:tcPr>
                  <w:tcW w:w="3685" w:type="dxa"/>
                  <w:tcBorders>
                    <w:top w:val="single" w:color="000000" w:sz="8" w:space="0"/>
                    <w:left w:val="nil"/>
                    <w:bottom w:val="single" w:color="000000" w:sz="4" w:space="0"/>
                    <w:right w:val="nil"/>
                    <w:insideH w:val="nil"/>
                    <w:insideV w:val="nil"/>
                  </w:tcBorders>
                  <w:vAlign w:val="center"/>
                </w:tcPr>
                <w:p w14:paraId="29A4FDF9">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访谈问题示例</w:t>
                  </w:r>
                </w:p>
              </w:tc>
              <w:tc>
                <w:tcPr>
                  <w:tcW w:w="4309" w:type="dxa"/>
                  <w:tcBorders>
                    <w:top w:val="single" w:color="000000" w:sz="8" w:space="0"/>
                    <w:left w:val="nil"/>
                    <w:bottom w:val="single" w:color="000000" w:sz="4" w:space="0"/>
                    <w:right w:val="nil"/>
                    <w:insideH w:val="nil"/>
                    <w:insideV w:val="nil"/>
                  </w:tcBorders>
                  <w:vAlign w:val="center"/>
                </w:tcPr>
                <w:p w14:paraId="4DA9F65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对应设计决策</w:t>
                  </w:r>
                </w:p>
              </w:tc>
            </w:tr>
            <w:tr w14:paraId="486E9B22">
              <w:trPr>
                <w:cantSplit/>
                <w:jc w:val="center"/>
              </w:trPr>
              <w:tc>
                <w:tcPr>
                  <w:tcW w:w="1928" w:type="dxa"/>
                  <w:tcBorders>
                    <w:top w:val="nil"/>
                    <w:left w:val="nil"/>
                    <w:bottom w:val="nil"/>
                    <w:right w:val="nil"/>
                    <w:insideH w:val="nil"/>
                    <w:insideV w:val="nil"/>
                  </w:tcBorders>
                  <w:vAlign w:val="center"/>
                </w:tcPr>
                <w:p w14:paraId="7F459B3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阅读目标与过程</w:t>
                  </w:r>
                </w:p>
              </w:tc>
              <w:tc>
                <w:tcPr>
                  <w:tcW w:w="3685" w:type="dxa"/>
                  <w:tcBorders>
                    <w:top w:val="nil"/>
                    <w:left w:val="nil"/>
                    <w:bottom w:val="nil"/>
                    <w:right w:val="nil"/>
                    <w:insideH w:val="nil"/>
                    <w:insideV w:val="nil"/>
                  </w:tcBorders>
                  <w:vAlign w:val="center"/>
                </w:tcPr>
                <w:p w14:paraId="39DE2E5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当时为什么读这篇？先看了哪里，后来为什么跳到这里？</w:t>
                  </w:r>
                </w:p>
              </w:tc>
              <w:tc>
                <w:tcPr>
                  <w:tcW w:w="4309" w:type="dxa"/>
                  <w:tcBorders>
                    <w:top w:val="nil"/>
                    <w:left w:val="nil"/>
                    <w:bottom w:val="nil"/>
                    <w:right w:val="nil"/>
                    <w:insideH w:val="nil"/>
                    <w:insideV w:val="nil"/>
                  </w:tcBorders>
                  <w:vAlign w:val="center"/>
                </w:tcPr>
                <w:p w14:paraId="3095CD8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Agent如何了解当前任务，怎样衔接原文与对话</w:t>
                  </w:r>
                </w:p>
              </w:tc>
            </w:tr>
            <w:tr w14:paraId="21BA6784">
              <w:trPr>
                <w:cantSplit/>
                <w:jc w:val="center"/>
              </w:trPr>
              <w:tc>
                <w:tcPr>
                  <w:tcW w:w="1928" w:type="dxa"/>
                  <w:tcBorders>
                    <w:top w:val="nil"/>
                    <w:left w:val="nil"/>
                    <w:bottom w:val="nil"/>
                    <w:right w:val="nil"/>
                    <w:insideH w:val="nil"/>
                    <w:insideV w:val="nil"/>
                  </w:tcBorders>
                  <w:vAlign w:val="center"/>
                </w:tcPr>
                <w:p w14:paraId="31787FE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内容理解困难</w:t>
                  </w:r>
                </w:p>
              </w:tc>
              <w:tc>
                <w:tcPr>
                  <w:tcW w:w="3685" w:type="dxa"/>
                  <w:tcBorders>
                    <w:top w:val="nil"/>
                    <w:left w:val="nil"/>
                    <w:bottom w:val="nil"/>
                    <w:right w:val="nil"/>
                    <w:insideH w:val="nil"/>
                    <w:insideV w:val="nil"/>
                  </w:tcBorders>
                  <w:vAlign w:val="center"/>
                </w:tcPr>
                <w:p w14:paraId="63F0063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这里当时哪里没看懂？后来怎么弄懂的？</w:t>
                  </w:r>
                </w:p>
              </w:tc>
              <w:tc>
                <w:tcPr>
                  <w:tcW w:w="4309" w:type="dxa"/>
                  <w:tcBorders>
                    <w:top w:val="nil"/>
                    <w:left w:val="nil"/>
                    <w:bottom w:val="nil"/>
                    <w:right w:val="nil"/>
                    <w:insideH w:val="nil"/>
                    <w:insideV w:val="nil"/>
                  </w:tcBorders>
                  <w:vAlign w:val="center"/>
                </w:tcPr>
                <w:p w14:paraId="77A3BC4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哪些情境需要先解释术语、概念或研究步骤</w:t>
                  </w:r>
                </w:p>
              </w:tc>
            </w:tr>
            <w:tr w14:paraId="38E3C018">
              <w:trPr>
                <w:cantSplit/>
                <w:jc w:val="center"/>
              </w:trPr>
              <w:tc>
                <w:tcPr>
                  <w:tcW w:w="1928" w:type="dxa"/>
                  <w:tcBorders>
                    <w:top w:val="nil"/>
                    <w:left w:val="nil"/>
                    <w:bottom w:val="nil"/>
                    <w:right w:val="nil"/>
                    <w:insideH w:val="nil"/>
                    <w:insideV w:val="nil"/>
                  </w:tcBorders>
                  <w:vAlign w:val="center"/>
                </w:tcPr>
                <w:p w14:paraId="0095976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研究判断形成</w:t>
                  </w:r>
                </w:p>
              </w:tc>
              <w:tc>
                <w:tcPr>
                  <w:tcW w:w="3685" w:type="dxa"/>
                  <w:tcBorders>
                    <w:top w:val="nil"/>
                    <w:left w:val="nil"/>
                    <w:bottom w:val="nil"/>
                    <w:right w:val="nil"/>
                    <w:insideH w:val="nil"/>
                    <w:insideV w:val="nil"/>
                  </w:tcBorders>
                  <w:vAlign w:val="center"/>
                </w:tcPr>
                <w:p w14:paraId="1AE625E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为什么认为这里有问题或没有问题？哪些信息支持这个判断？</w:t>
                  </w:r>
                </w:p>
              </w:tc>
              <w:tc>
                <w:tcPr>
                  <w:tcW w:w="4309" w:type="dxa"/>
                  <w:tcBorders>
                    <w:top w:val="nil"/>
                    <w:left w:val="nil"/>
                    <w:bottom w:val="nil"/>
                    <w:right w:val="nil"/>
                    <w:insideH w:val="nil"/>
                    <w:insideV w:val="nil"/>
                  </w:tcBorders>
                  <w:vAlign w:val="center"/>
                </w:tcPr>
                <w:p w14:paraId="7623D6C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怎样接住用户已有判断并追问依据</w:t>
                  </w:r>
                </w:p>
              </w:tc>
            </w:tr>
            <w:tr w14:paraId="4814C988">
              <w:trPr>
                <w:cantSplit/>
                <w:jc w:val="center"/>
              </w:trPr>
              <w:tc>
                <w:tcPr>
                  <w:tcW w:w="1928" w:type="dxa"/>
                  <w:tcBorders>
                    <w:top w:val="nil"/>
                    <w:left w:val="nil"/>
                    <w:bottom w:val="nil"/>
                    <w:right w:val="nil"/>
                    <w:insideH w:val="nil"/>
                    <w:insideV w:val="nil"/>
                  </w:tcBorders>
                  <w:vAlign w:val="center"/>
                </w:tcPr>
                <w:p w14:paraId="15A435E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推理中的困难</w:t>
                  </w:r>
                </w:p>
              </w:tc>
              <w:tc>
                <w:tcPr>
                  <w:tcW w:w="3685" w:type="dxa"/>
                  <w:tcBorders>
                    <w:top w:val="nil"/>
                    <w:left w:val="nil"/>
                    <w:bottom w:val="nil"/>
                    <w:right w:val="nil"/>
                    <w:insideH w:val="nil"/>
                    <w:insideV w:val="nil"/>
                  </w:tcBorders>
                  <w:vAlign w:val="center"/>
                </w:tcPr>
                <w:p w14:paraId="179631C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从这些信息到判断，中间哪一步最拿不准？</w:t>
                  </w:r>
                </w:p>
              </w:tc>
              <w:tc>
                <w:tcPr>
                  <w:tcW w:w="4309" w:type="dxa"/>
                  <w:tcBorders>
                    <w:top w:val="nil"/>
                    <w:left w:val="nil"/>
                    <w:bottom w:val="nil"/>
                    <w:right w:val="nil"/>
                    <w:insideH w:val="nil"/>
                    <w:insideV w:val="nil"/>
                  </w:tcBorders>
                  <w:vAlign w:val="center"/>
                </w:tcPr>
                <w:p w14:paraId="5304129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是追问推理联系，还是补充方法知识</w:t>
                  </w:r>
                </w:p>
              </w:tc>
            </w:tr>
            <w:tr w14:paraId="0539D81A">
              <w:trPr>
                <w:cantSplit/>
                <w:jc w:val="center"/>
              </w:trPr>
              <w:tc>
                <w:tcPr>
                  <w:tcW w:w="1928" w:type="dxa"/>
                  <w:tcBorders>
                    <w:top w:val="nil"/>
                    <w:left w:val="nil"/>
                    <w:bottom w:val="nil"/>
                    <w:right w:val="nil"/>
                    <w:insideH w:val="nil"/>
                    <w:insideV w:val="nil"/>
                  </w:tcBorders>
                  <w:vAlign w:val="center"/>
                </w:tcPr>
                <w:p w14:paraId="21DD02C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核对与修正</w:t>
                  </w:r>
                </w:p>
              </w:tc>
              <w:tc>
                <w:tcPr>
                  <w:tcW w:w="3685" w:type="dxa"/>
                  <w:tcBorders>
                    <w:top w:val="nil"/>
                    <w:left w:val="nil"/>
                    <w:bottom w:val="nil"/>
                    <w:right w:val="nil"/>
                    <w:insideH w:val="nil"/>
                    <w:insideV w:val="nil"/>
                  </w:tcBorders>
                  <w:vAlign w:val="center"/>
                </w:tcPr>
                <w:p w14:paraId="20E6560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有没有回看其他部分或改变判断？是什么促成变化？</w:t>
                  </w:r>
                </w:p>
              </w:tc>
              <w:tc>
                <w:tcPr>
                  <w:tcW w:w="4309" w:type="dxa"/>
                  <w:tcBorders>
                    <w:top w:val="nil"/>
                    <w:left w:val="nil"/>
                    <w:bottom w:val="nil"/>
                    <w:right w:val="nil"/>
                    <w:insideH w:val="nil"/>
                    <w:insideV w:val="nil"/>
                  </w:tcBorders>
                  <w:vAlign w:val="center"/>
                </w:tcPr>
                <w:p w14:paraId="32E0DB4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怎样支持原文核对、替代解释与判断修正</w:t>
                  </w:r>
                </w:p>
              </w:tc>
            </w:tr>
            <w:tr w14:paraId="32FF2BEF">
              <w:trPr>
                <w:cantSplit/>
                <w:jc w:val="center"/>
              </w:trPr>
              <w:tc>
                <w:tcPr>
                  <w:tcW w:w="1928" w:type="dxa"/>
                  <w:tcBorders>
                    <w:top w:val="nil"/>
                    <w:left w:val="nil"/>
                    <w:bottom w:val="nil"/>
                    <w:right w:val="nil"/>
                    <w:insideH w:val="nil"/>
                    <w:insideV w:val="nil"/>
                  </w:tcBorders>
                  <w:vAlign w:val="center"/>
                </w:tcPr>
                <w:p w14:paraId="70956F7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AI帮助的使用</w:t>
                  </w:r>
                </w:p>
              </w:tc>
              <w:tc>
                <w:tcPr>
                  <w:tcW w:w="3685" w:type="dxa"/>
                  <w:tcBorders>
                    <w:top w:val="nil"/>
                    <w:left w:val="nil"/>
                    <w:bottom w:val="nil"/>
                    <w:right w:val="nil"/>
                    <w:insideH w:val="nil"/>
                    <w:insideV w:val="nil"/>
                  </w:tcBorders>
                  <w:vAlign w:val="center"/>
                </w:tcPr>
                <w:p w14:paraId="6235871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看完这段回复后，你接着做了什么？还有什么没解决？</w:t>
                  </w:r>
                </w:p>
              </w:tc>
              <w:tc>
                <w:tcPr>
                  <w:tcW w:w="4309" w:type="dxa"/>
                  <w:tcBorders>
                    <w:top w:val="nil"/>
                    <w:left w:val="nil"/>
                    <w:bottom w:val="nil"/>
                    <w:right w:val="nil"/>
                    <w:insideH w:val="nil"/>
                    <w:insideV w:val="nil"/>
                  </w:tcBorders>
                  <w:vAlign w:val="center"/>
                </w:tcPr>
                <w:p w14:paraId="55A5EC9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现有回复是否帮助用户继续分析</w:t>
                  </w:r>
                </w:p>
              </w:tc>
            </w:tr>
            <w:tr w14:paraId="7BA71B66">
              <w:trPr>
                <w:cantSplit/>
                <w:jc w:val="center"/>
              </w:trPr>
              <w:tc>
                <w:tcPr>
                  <w:tcW w:w="1928" w:type="dxa"/>
                  <w:tcBorders>
                    <w:top w:val="nil"/>
                    <w:left w:val="nil"/>
                    <w:bottom w:val="single" w:color="000000" w:sz="8" w:space="0"/>
                    <w:right w:val="nil"/>
                    <w:insideH w:val="nil"/>
                    <w:insideV w:val="nil"/>
                  </w:tcBorders>
                  <w:vAlign w:val="center"/>
                </w:tcPr>
                <w:p w14:paraId="01E0D5D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帮助程度与节奏</w:t>
                  </w:r>
                </w:p>
              </w:tc>
              <w:tc>
                <w:tcPr>
                  <w:tcW w:w="3685" w:type="dxa"/>
                  <w:tcBorders>
                    <w:top w:val="nil"/>
                    <w:left w:val="nil"/>
                    <w:bottom w:val="single" w:color="000000" w:sz="8" w:space="0"/>
                    <w:right w:val="nil"/>
                    <w:insideH w:val="nil"/>
                    <w:insideV w:val="nil"/>
                  </w:tcBorders>
                  <w:vAlign w:val="center"/>
                </w:tcPr>
                <w:p w14:paraId="2A48CB4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如果当时先问一个问题，你能继续吗？还需要什么支持？</w:t>
                  </w:r>
                </w:p>
              </w:tc>
              <w:tc>
                <w:tcPr>
                  <w:tcW w:w="4309" w:type="dxa"/>
                  <w:tcBorders>
                    <w:top w:val="nil"/>
                    <w:left w:val="nil"/>
                    <w:bottom w:val="single" w:color="000000" w:sz="8" w:space="0"/>
                    <w:right w:val="nil"/>
                    <w:insideH w:val="nil"/>
                    <w:insideV w:val="nil"/>
                  </w:tcBorders>
                  <w:vAlign w:val="center"/>
                </w:tcPr>
                <w:p w14:paraId="0B9CA38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何时给方向、具体线索、讲解或结束讨论</w:t>
                  </w:r>
                </w:p>
              </w:tc>
            </w:tr>
          </w:tbl>
          <w:p w14:paraId="18AECBCF">
            <w:pPr>
              <w:spacing w:before="0" w:after="40" w:line="40" w:lineRule="exact"/>
            </w:pPr>
          </w:p>
        </w:tc>
      </w:tr>
      <w:tr w14:paraId="5DECEA7B">
        <w:trPr>
          <w:jc w:val="center"/>
        </w:trPr>
        <w:tc>
          <w:tcPr>
            <w:tcW w:w="10440" w:type="dxa"/>
            <w:tcMar>
              <w:top w:w="0" w:type="dxa"/>
              <w:left w:w="160" w:type="dxa"/>
              <w:bottom w:w="0" w:type="dxa"/>
              <w:right w:w="160" w:type="dxa"/>
            </w:tcMar>
            <w:vAlign w:val="top"/>
          </w:tcPr>
          <w:p w14:paraId="743AA4BD">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2.2.5 资料分析与设计要求形成</w:t>
            </w:r>
          </w:p>
          <w:p w14:paraId="5D8F5E20">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经参与者同意录音并转写，将具体经历整理为“困难发生的情境—已有处理方式—仍缺少的支持”。分析时既关注共同困难，也保留差异。例如，同样表示“看不懂方法”，有的参与者缺少概念知识，有的则理解术语但不能把方法与研究问题联系起来，两种情况需要不同支持。</w:t>
            </w:r>
          </w:p>
        </w:tc>
      </w:tr>
      <w:tr w14:paraId="50D68EA2">
        <w:trPr>
          <w:jc w:val="center"/>
        </w:trPr>
        <w:tc>
          <w:tcPr>
            <w:tcW w:w="10440" w:type="dxa"/>
            <w:tcMar>
              <w:top w:w="0" w:type="dxa"/>
              <w:left w:w="160" w:type="dxa"/>
              <w:bottom w:w="0" w:type="dxa"/>
              <w:right w:w="160" w:type="dxa"/>
            </w:tcMar>
            <w:vAlign w:val="top"/>
          </w:tcPr>
          <w:p w14:paraId="490543FC">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表10  阅读困难的辨别与支持方式</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2B922F95">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34A7A64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候选困难</w:t>
                  </w:r>
                </w:p>
              </w:tc>
              <w:tc>
                <w:tcPr>
                  <w:tcW w:w="3685" w:type="dxa"/>
                  <w:tcBorders>
                    <w:top w:val="single" w:color="000000" w:sz="8" w:space="0"/>
                    <w:left w:val="nil"/>
                    <w:bottom w:val="single" w:color="000000" w:sz="4" w:space="0"/>
                    <w:right w:val="nil"/>
                    <w:insideH w:val="nil"/>
                    <w:insideV w:val="nil"/>
                  </w:tcBorders>
                  <w:vAlign w:val="center"/>
                </w:tcPr>
                <w:p w14:paraId="1F8EAE2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需要进一步辨别的情况</w:t>
                  </w:r>
                </w:p>
              </w:tc>
              <w:tc>
                <w:tcPr>
                  <w:tcW w:w="4309" w:type="dxa"/>
                  <w:tcBorders>
                    <w:top w:val="single" w:color="000000" w:sz="8" w:space="0"/>
                    <w:left w:val="nil"/>
                    <w:bottom w:val="single" w:color="000000" w:sz="4" w:space="0"/>
                    <w:right w:val="nil"/>
                    <w:insideH w:val="nil"/>
                    <w:insideV w:val="nil"/>
                  </w:tcBorders>
                  <w:vAlign w:val="center"/>
                </w:tcPr>
                <w:p w14:paraId="7D69E52E">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可能对应的支持</w:t>
                  </w:r>
                </w:p>
              </w:tc>
            </w:tr>
            <w:tr w14:paraId="7BD175AE">
              <w:trPr>
                <w:cantSplit/>
                <w:jc w:val="center"/>
              </w:trPr>
              <w:tc>
                <w:tcPr>
                  <w:tcW w:w="1928" w:type="dxa"/>
                  <w:tcBorders>
                    <w:top w:val="nil"/>
                    <w:left w:val="nil"/>
                    <w:bottom w:val="nil"/>
                    <w:right w:val="nil"/>
                    <w:insideH w:val="nil"/>
                    <w:insideV w:val="nil"/>
                  </w:tcBorders>
                  <w:vAlign w:val="center"/>
                </w:tcPr>
                <w:p w14:paraId="06EB1D5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看不懂术语和方法</w:t>
                  </w:r>
                </w:p>
              </w:tc>
              <w:tc>
                <w:tcPr>
                  <w:tcW w:w="3685" w:type="dxa"/>
                  <w:tcBorders>
                    <w:top w:val="nil"/>
                    <w:left w:val="nil"/>
                    <w:bottom w:val="nil"/>
                    <w:right w:val="nil"/>
                    <w:insideH w:val="nil"/>
                    <w:insideV w:val="nil"/>
                  </w:tcBorders>
                  <w:vAlign w:val="center"/>
                </w:tcPr>
                <w:p w14:paraId="0E782A3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缺少基础知识，还是文章表达不清</w:t>
                  </w:r>
                </w:p>
              </w:tc>
              <w:tc>
                <w:tcPr>
                  <w:tcW w:w="4309" w:type="dxa"/>
                  <w:tcBorders>
                    <w:top w:val="nil"/>
                    <w:left w:val="nil"/>
                    <w:bottom w:val="nil"/>
                    <w:right w:val="nil"/>
                    <w:insideH w:val="nil"/>
                    <w:insideV w:val="nil"/>
                  </w:tcBorders>
                  <w:vAlign w:val="center"/>
                </w:tcPr>
                <w:p w14:paraId="5EE8A50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概念解释、句子澄清或研究步骤说明</w:t>
                  </w:r>
                </w:p>
              </w:tc>
            </w:tr>
            <w:tr w14:paraId="7A791585">
              <w:trPr>
                <w:cantSplit/>
                <w:jc w:val="center"/>
              </w:trPr>
              <w:tc>
                <w:tcPr>
                  <w:tcW w:w="1928" w:type="dxa"/>
                  <w:tcBorders>
                    <w:top w:val="nil"/>
                    <w:left w:val="nil"/>
                    <w:bottom w:val="nil"/>
                    <w:right w:val="nil"/>
                    <w:insideH w:val="nil"/>
                    <w:insideV w:val="nil"/>
                  </w:tcBorders>
                  <w:vAlign w:val="center"/>
                </w:tcPr>
                <w:p w14:paraId="640E93E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找不到相关信息</w:t>
                  </w:r>
                </w:p>
              </w:tc>
              <w:tc>
                <w:tcPr>
                  <w:tcW w:w="3685" w:type="dxa"/>
                  <w:tcBorders>
                    <w:top w:val="nil"/>
                    <w:left w:val="nil"/>
                    <w:bottom w:val="nil"/>
                    <w:right w:val="nil"/>
                    <w:insideH w:val="nil"/>
                    <w:insideV w:val="nil"/>
                  </w:tcBorders>
                  <w:vAlign w:val="center"/>
                </w:tcPr>
                <w:p w14:paraId="3569F60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不知道在哪里找，还是找到后仍不理解</w:t>
                  </w:r>
                </w:p>
              </w:tc>
              <w:tc>
                <w:tcPr>
                  <w:tcW w:w="4309" w:type="dxa"/>
                  <w:tcBorders>
                    <w:top w:val="nil"/>
                    <w:left w:val="nil"/>
                    <w:bottom w:val="nil"/>
                    <w:right w:val="nil"/>
                    <w:insideH w:val="nil"/>
                    <w:insideV w:val="nil"/>
                  </w:tcBorders>
                  <w:vAlign w:val="center"/>
                </w:tcPr>
                <w:p w14:paraId="70A85B6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原文定位或联系上下文解释</w:t>
                  </w:r>
                </w:p>
              </w:tc>
            </w:tr>
            <w:tr w14:paraId="1CF7553D">
              <w:trPr>
                <w:cantSplit/>
                <w:jc w:val="center"/>
              </w:trPr>
              <w:tc>
                <w:tcPr>
                  <w:tcW w:w="1928" w:type="dxa"/>
                  <w:tcBorders>
                    <w:top w:val="nil"/>
                    <w:left w:val="nil"/>
                    <w:bottom w:val="nil"/>
                    <w:right w:val="nil"/>
                    <w:insideH w:val="nil"/>
                    <w:insideV w:val="nil"/>
                  </w:tcBorders>
                  <w:vAlign w:val="center"/>
                </w:tcPr>
                <w:p w14:paraId="711547C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不知道如何评价</w:t>
                  </w:r>
                </w:p>
              </w:tc>
              <w:tc>
                <w:tcPr>
                  <w:tcW w:w="3685" w:type="dxa"/>
                  <w:tcBorders>
                    <w:top w:val="nil"/>
                    <w:left w:val="nil"/>
                    <w:bottom w:val="nil"/>
                    <w:right w:val="nil"/>
                    <w:insideH w:val="nil"/>
                    <w:insideV w:val="nil"/>
                  </w:tcBorders>
                  <w:vAlign w:val="center"/>
                </w:tcPr>
                <w:p w14:paraId="56C6A3A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缺少检查方向，还是知道原则却不会应用</w:t>
                  </w:r>
                </w:p>
              </w:tc>
              <w:tc>
                <w:tcPr>
                  <w:tcW w:w="4309" w:type="dxa"/>
                  <w:tcBorders>
                    <w:top w:val="nil"/>
                    <w:left w:val="nil"/>
                    <w:bottom w:val="nil"/>
                    <w:right w:val="nil"/>
                    <w:insideH w:val="nil"/>
                    <w:insideV w:val="nil"/>
                  </w:tcBorders>
                  <w:vAlign w:val="center"/>
                </w:tcPr>
                <w:p w14:paraId="1B4AC85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中性方向提示或方法适用性追问</w:t>
                  </w:r>
                </w:p>
              </w:tc>
            </w:tr>
            <w:tr w14:paraId="75167CD0">
              <w:trPr>
                <w:cantSplit/>
                <w:jc w:val="center"/>
              </w:trPr>
              <w:tc>
                <w:tcPr>
                  <w:tcW w:w="1928" w:type="dxa"/>
                  <w:tcBorders>
                    <w:top w:val="nil"/>
                    <w:left w:val="nil"/>
                    <w:bottom w:val="nil"/>
                    <w:right w:val="nil"/>
                    <w:insideH w:val="nil"/>
                    <w:insideV w:val="nil"/>
                  </w:tcBorders>
                  <w:vAlign w:val="center"/>
                </w:tcPr>
                <w:p w14:paraId="63827D6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提出批评但说不清理由</w:t>
                  </w:r>
                </w:p>
              </w:tc>
              <w:tc>
                <w:tcPr>
                  <w:tcW w:w="3685" w:type="dxa"/>
                  <w:tcBorders>
                    <w:top w:val="nil"/>
                    <w:left w:val="nil"/>
                    <w:bottom w:val="nil"/>
                    <w:right w:val="nil"/>
                    <w:insideH w:val="nil"/>
                    <w:insideV w:val="nil"/>
                  </w:tcBorders>
                  <w:vAlign w:val="center"/>
                </w:tcPr>
                <w:p w14:paraId="4B26D90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推理尚未建立，还是已有理解但表达困难</w:t>
                  </w:r>
                </w:p>
              </w:tc>
              <w:tc>
                <w:tcPr>
                  <w:tcW w:w="4309" w:type="dxa"/>
                  <w:tcBorders>
                    <w:top w:val="nil"/>
                    <w:left w:val="nil"/>
                    <w:bottom w:val="nil"/>
                    <w:right w:val="nil"/>
                    <w:insideH w:val="nil"/>
                    <w:insideV w:val="nil"/>
                  </w:tcBorders>
                  <w:vAlign w:val="center"/>
                </w:tcPr>
                <w:p w14:paraId="3A749F4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追问推理联系或帮助整理已有解释</w:t>
                  </w:r>
                </w:p>
              </w:tc>
            </w:tr>
            <w:tr w14:paraId="18AED476">
              <w:trPr>
                <w:cantSplit/>
                <w:jc w:val="center"/>
              </w:trPr>
              <w:tc>
                <w:tcPr>
                  <w:tcW w:w="1928" w:type="dxa"/>
                  <w:tcBorders>
                    <w:top w:val="nil"/>
                    <w:left w:val="nil"/>
                    <w:bottom w:val="nil"/>
                    <w:right w:val="nil"/>
                    <w:insideH w:val="nil"/>
                    <w:insideV w:val="nil"/>
                  </w:tcBorders>
                  <w:vAlign w:val="center"/>
                </w:tcPr>
                <w:p w14:paraId="140949C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不知道批评是否成立</w:t>
                  </w:r>
                </w:p>
              </w:tc>
              <w:tc>
                <w:tcPr>
                  <w:tcW w:w="3685" w:type="dxa"/>
                  <w:tcBorders>
                    <w:top w:val="nil"/>
                    <w:left w:val="nil"/>
                    <w:bottom w:val="nil"/>
                    <w:right w:val="nil"/>
                    <w:insideH w:val="nil"/>
                    <w:insideV w:val="nil"/>
                  </w:tcBorders>
                  <w:vAlign w:val="center"/>
                </w:tcPr>
                <w:p w14:paraId="1ADB38D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是否核对原文、寻找反证或寻求帮助</w:t>
                  </w:r>
                </w:p>
              </w:tc>
              <w:tc>
                <w:tcPr>
                  <w:tcW w:w="4309" w:type="dxa"/>
                  <w:tcBorders>
                    <w:top w:val="nil"/>
                    <w:left w:val="nil"/>
                    <w:bottom w:val="nil"/>
                    <w:right w:val="nil"/>
                    <w:insideH w:val="nil"/>
                    <w:insideV w:val="nil"/>
                  </w:tcBorders>
                  <w:vAlign w:val="center"/>
                </w:tcPr>
                <w:p w14:paraId="0F352BC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证据检查、替代解释和判断限定</w:t>
                  </w:r>
                </w:p>
              </w:tc>
            </w:tr>
            <w:tr w14:paraId="7B895F93">
              <w:trPr>
                <w:cantSplit/>
                <w:jc w:val="center"/>
              </w:trPr>
              <w:tc>
                <w:tcPr>
                  <w:tcW w:w="1928" w:type="dxa"/>
                  <w:tcBorders>
                    <w:top w:val="nil"/>
                    <w:left w:val="nil"/>
                    <w:bottom w:val="single" w:color="000000" w:sz="8" w:space="0"/>
                    <w:right w:val="nil"/>
                    <w:insideH w:val="nil"/>
                    <w:insideV w:val="nil"/>
                  </w:tcBorders>
                  <w:vAlign w:val="center"/>
                </w:tcPr>
                <w:p w14:paraId="212CB47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阅读中断或负担过高</w:t>
                  </w:r>
                </w:p>
              </w:tc>
              <w:tc>
                <w:tcPr>
                  <w:tcW w:w="3685" w:type="dxa"/>
                  <w:tcBorders>
                    <w:top w:val="nil"/>
                    <w:left w:val="nil"/>
                    <w:bottom w:val="single" w:color="000000" w:sz="8" w:space="0"/>
                    <w:right w:val="nil"/>
                    <w:insideH w:val="nil"/>
                    <w:insideV w:val="nil"/>
                  </w:tcBorders>
                  <w:vAlign w:val="center"/>
                </w:tcPr>
                <w:p w14:paraId="0F020DE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材料太难、信息过多，还是追问打断阅读</w:t>
                  </w:r>
                </w:p>
              </w:tc>
              <w:tc>
                <w:tcPr>
                  <w:tcW w:w="4309" w:type="dxa"/>
                  <w:tcBorders>
                    <w:top w:val="nil"/>
                    <w:left w:val="nil"/>
                    <w:bottom w:val="single" w:color="000000" w:sz="8" w:space="0"/>
                    <w:right w:val="nil"/>
                    <w:insideH w:val="nil"/>
                    <w:insideV w:val="nil"/>
                  </w:tcBorders>
                  <w:vAlign w:val="center"/>
                </w:tcPr>
                <w:p w14:paraId="31210A8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调整帮助程度、回复长度及控制入口</w:t>
                  </w:r>
                </w:p>
              </w:tc>
            </w:tr>
          </w:tbl>
          <w:p w14:paraId="11971B82">
            <w:pPr>
              <w:spacing w:before="0" w:after="40" w:line="40" w:lineRule="exact"/>
            </w:pPr>
          </w:p>
        </w:tc>
      </w:tr>
      <w:tr w14:paraId="1D86D06C">
        <w:trPr>
          <w:jc w:val="center"/>
        </w:trPr>
        <w:tc>
          <w:tcPr>
            <w:tcW w:w="10440" w:type="dxa"/>
            <w:tcMar>
              <w:top w:w="0" w:type="dxa"/>
              <w:left w:w="160" w:type="dxa"/>
              <w:bottom w:w="0" w:type="dxa"/>
              <w:right w:w="160" w:type="dxa"/>
            </w:tcMar>
            <w:vAlign w:val="top"/>
          </w:tcPr>
          <w:p w14:paraId="0946931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以上类别作为初步分析线索，编码中保留新出现的困难与支持需要。先整理每位参与者的完整事件，再跨参与者比较，以原话和具体行为支持主题。对于能够直接指导设计的问题，记录其发生情境、当前解决方式和仍未解决的部分。</w:t>
            </w:r>
          </w:p>
        </w:tc>
      </w:tr>
      <w:tr w14:paraId="58AEC78D">
        <w:trPr>
          <w:jc w:val="center"/>
        </w:trPr>
        <w:tc>
          <w:tcPr>
            <w:tcW w:w="10440" w:type="dxa"/>
            <w:tcMar>
              <w:top w:w="0" w:type="dxa"/>
              <w:left w:w="160" w:type="dxa"/>
              <w:bottom w:w="0" w:type="dxa"/>
              <w:right w:w="160" w:type="dxa"/>
            </w:tcMar>
            <w:vAlign w:val="top"/>
          </w:tcPr>
          <w:p w14:paraId="0192A78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例如，参与者如果表示“我知道相关不等于因果，但不知道这篇研究是否已经排除了其他解释”，可形成“帮助核对具体控制条件，并要求解释其作用”的设计要求。该例仅说明分析方式，实际设计要求根据访谈材料形成。最终产出包括目标用户特征、典型阅读困难、设计依据表和功能优先级，交由研究二实施。</w:t>
            </w:r>
          </w:p>
        </w:tc>
      </w:tr>
      <w:tr w14:paraId="58339928">
        <w:trPr>
          <w:jc w:val="center"/>
        </w:trPr>
        <w:tc>
          <w:tcPr>
            <w:tcW w:w="10440" w:type="dxa"/>
            <w:tcMar>
              <w:top w:w="0" w:type="dxa"/>
              <w:left w:w="160" w:type="dxa"/>
              <w:bottom w:w="0" w:type="dxa"/>
              <w:right w:w="160" w:type="dxa"/>
            </w:tcMar>
            <w:vAlign w:val="top"/>
          </w:tcPr>
          <w:p w14:paraId="53D0B522">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 研究二 Agent开发与可用性测试</w:t>
            </w:r>
          </w:p>
          <w:p w14:paraId="6D36F378">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2.3.1 产品定位与基本功能</w:t>
            </w:r>
          </w:p>
          <w:p w14:paraId="394BF8D0">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系统提供统一论文阅读区、原文定位、标注与笔记、对话讨论及历史记录。用户可以发送选中文本或自己的判断，也可以直接提出理解问题。Agent可访问论文全文、统一译文、图表、段落编号、通用方法学原则、当前用户的对话历史和主动发送的内容。文章配套专家评析、预设缺陷清单和评分答案单独保存，不输入Agent。</w:t>
            </w:r>
          </w:p>
        </w:tc>
      </w:tr>
      <w:tr w14:paraId="0D3CDA9B">
        <w:trPr>
          <w:jc w:val="center"/>
        </w:trPr>
        <w:tc>
          <w:tcPr>
            <w:tcW w:w="10440" w:type="dxa"/>
            <w:tcMar>
              <w:top w:w="0" w:type="dxa"/>
              <w:left w:w="160" w:type="dxa"/>
              <w:bottom w:w="0" w:type="dxa"/>
              <w:right w:w="160" w:type="dxa"/>
            </w:tcMar>
            <w:vAlign w:val="top"/>
          </w:tcPr>
          <w:p w14:paraId="22D4DB2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通用Agent与苏格拉底式Agent采用相同模型版本、材料访问条件、生成参数和工具权限，并使用相同阅读界面。通用Agent按用户请求解释、总结、答疑和分析；苏格拉底式Agent增加围绕学生判断持续追问及调整帮助的规则。</w:t>
            </w:r>
          </w:p>
        </w:tc>
      </w:tr>
      <w:tr w14:paraId="6EFE1EC1">
        <w:trPr>
          <w:jc w:val="center"/>
        </w:trPr>
        <w:tc>
          <w:tcPr>
            <w:tcW w:w="10440" w:type="dxa"/>
            <w:tcMar>
              <w:top w:w="0" w:type="dxa"/>
              <w:left w:w="160" w:type="dxa"/>
              <w:bottom w:w="0" w:type="dxa"/>
              <w:right w:w="160" w:type="dxa"/>
            </w:tcMar>
            <w:vAlign w:val="top"/>
          </w:tcPr>
          <w:p w14:paraId="765A846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系统以论文为主要操作对象，用户阅读原文时可选中相关句段并发送至对话区，也可直接输入判断或疑问。对话中的原文引用携带段落编号，便于返回上下文核对；笔记和批注保留用户自己的理解与疑问。系统记录当前讨论涉及的结论或研究做法，帮助用户在阅读与讨论之间切换。</w:t>
            </w:r>
          </w:p>
        </w:tc>
      </w:tr>
      <w:tr w14:paraId="1C5ECA56">
        <w:trPr>
          <w:jc w:val="center"/>
        </w:trPr>
        <w:tc>
          <w:tcPr>
            <w:tcW w:w="10440" w:type="dxa"/>
            <w:tcMar>
              <w:top w:w="0" w:type="dxa"/>
              <w:left w:w="160" w:type="dxa"/>
              <w:bottom w:w="0" w:type="dxa"/>
              <w:right w:w="160" w:type="dxa"/>
            </w:tcMar>
            <w:vAlign w:val="top"/>
          </w:tcPr>
          <w:p w14:paraId="2921062C">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表11  两个Agent的信息与功能条件</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3BE06968">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5DBE6FB5">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输入或功能</w:t>
                  </w:r>
                </w:p>
              </w:tc>
              <w:tc>
                <w:tcPr>
                  <w:tcW w:w="3685" w:type="dxa"/>
                  <w:tcBorders>
                    <w:top w:val="single" w:color="000000" w:sz="8" w:space="0"/>
                    <w:left w:val="nil"/>
                    <w:bottom w:val="single" w:color="000000" w:sz="4" w:space="0"/>
                    <w:right w:val="nil"/>
                    <w:insideH w:val="nil"/>
                    <w:insideV w:val="nil"/>
                  </w:tcBorders>
                  <w:vAlign w:val="center"/>
                </w:tcPr>
                <w:p w14:paraId="0DEF32C3">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通用Agent</w:t>
                  </w:r>
                </w:p>
              </w:tc>
              <w:tc>
                <w:tcPr>
                  <w:tcW w:w="4309" w:type="dxa"/>
                  <w:tcBorders>
                    <w:top w:val="single" w:color="000000" w:sz="8" w:space="0"/>
                    <w:left w:val="nil"/>
                    <w:bottom w:val="single" w:color="000000" w:sz="4" w:space="0"/>
                    <w:right w:val="nil"/>
                    <w:insideH w:val="nil"/>
                    <w:insideV w:val="nil"/>
                  </w:tcBorders>
                  <w:vAlign w:val="center"/>
                </w:tcPr>
                <w:p w14:paraId="4C6272D2">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苏格拉底式Agent</w:t>
                  </w:r>
                </w:p>
              </w:tc>
            </w:tr>
            <w:tr w14:paraId="2DCBFA42">
              <w:trPr>
                <w:cantSplit/>
                <w:jc w:val="center"/>
              </w:trPr>
              <w:tc>
                <w:tcPr>
                  <w:tcW w:w="1928" w:type="dxa"/>
                  <w:tcBorders>
                    <w:top w:val="nil"/>
                    <w:left w:val="nil"/>
                    <w:bottom w:val="nil"/>
                    <w:right w:val="nil"/>
                    <w:insideH w:val="nil"/>
                    <w:insideV w:val="nil"/>
                  </w:tcBorders>
                  <w:vAlign w:val="center"/>
                </w:tcPr>
                <w:p w14:paraId="0832C29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论文全文、统一译文和图表</w:t>
                  </w:r>
                </w:p>
              </w:tc>
              <w:tc>
                <w:tcPr>
                  <w:tcW w:w="3685" w:type="dxa"/>
                  <w:tcBorders>
                    <w:top w:val="nil"/>
                    <w:left w:val="nil"/>
                    <w:bottom w:val="nil"/>
                    <w:right w:val="nil"/>
                    <w:insideH w:val="nil"/>
                    <w:insideV w:val="nil"/>
                  </w:tcBorders>
                  <w:vAlign w:val="center"/>
                </w:tcPr>
                <w:p w14:paraId="52719EE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相同</w:t>
                  </w:r>
                </w:p>
              </w:tc>
              <w:tc>
                <w:tcPr>
                  <w:tcW w:w="4309" w:type="dxa"/>
                  <w:tcBorders>
                    <w:top w:val="nil"/>
                    <w:left w:val="nil"/>
                    <w:bottom w:val="nil"/>
                    <w:right w:val="nil"/>
                    <w:insideH w:val="nil"/>
                    <w:insideV w:val="nil"/>
                  </w:tcBorders>
                  <w:vAlign w:val="center"/>
                </w:tcPr>
                <w:p w14:paraId="2ADC679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相同</w:t>
                  </w:r>
                </w:p>
              </w:tc>
            </w:tr>
            <w:tr w14:paraId="4E72B27F">
              <w:trPr>
                <w:cantSplit/>
                <w:jc w:val="center"/>
              </w:trPr>
              <w:tc>
                <w:tcPr>
                  <w:tcW w:w="1928" w:type="dxa"/>
                  <w:tcBorders>
                    <w:top w:val="nil"/>
                    <w:left w:val="nil"/>
                    <w:bottom w:val="nil"/>
                    <w:right w:val="nil"/>
                    <w:insideH w:val="nil"/>
                    <w:insideV w:val="nil"/>
                  </w:tcBorders>
                  <w:vAlign w:val="center"/>
                </w:tcPr>
                <w:p w14:paraId="4245448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段落编号与引用定位能力</w:t>
                  </w:r>
                </w:p>
              </w:tc>
              <w:tc>
                <w:tcPr>
                  <w:tcW w:w="3685" w:type="dxa"/>
                  <w:tcBorders>
                    <w:top w:val="nil"/>
                    <w:left w:val="nil"/>
                    <w:bottom w:val="nil"/>
                    <w:right w:val="nil"/>
                    <w:insideH w:val="nil"/>
                    <w:insideV w:val="nil"/>
                  </w:tcBorders>
                  <w:vAlign w:val="center"/>
                </w:tcPr>
                <w:p w14:paraId="5E6AB76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相同</w:t>
                  </w:r>
                </w:p>
              </w:tc>
              <w:tc>
                <w:tcPr>
                  <w:tcW w:w="4309" w:type="dxa"/>
                  <w:tcBorders>
                    <w:top w:val="nil"/>
                    <w:left w:val="nil"/>
                    <w:bottom w:val="nil"/>
                    <w:right w:val="nil"/>
                    <w:insideH w:val="nil"/>
                    <w:insideV w:val="nil"/>
                  </w:tcBorders>
                  <w:vAlign w:val="center"/>
                </w:tcPr>
                <w:p w14:paraId="511AE68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相同</w:t>
                  </w:r>
                </w:p>
              </w:tc>
            </w:tr>
            <w:tr w14:paraId="10A3F045">
              <w:trPr>
                <w:cantSplit/>
                <w:jc w:val="center"/>
              </w:trPr>
              <w:tc>
                <w:tcPr>
                  <w:tcW w:w="1928" w:type="dxa"/>
                  <w:tcBorders>
                    <w:top w:val="nil"/>
                    <w:left w:val="nil"/>
                    <w:bottom w:val="nil"/>
                    <w:right w:val="nil"/>
                    <w:insideH w:val="nil"/>
                    <w:insideV w:val="nil"/>
                  </w:tcBorders>
                  <w:vAlign w:val="center"/>
                </w:tcPr>
                <w:p w14:paraId="5921B4C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通用方法学原则</w:t>
                  </w:r>
                </w:p>
              </w:tc>
              <w:tc>
                <w:tcPr>
                  <w:tcW w:w="3685" w:type="dxa"/>
                  <w:tcBorders>
                    <w:top w:val="nil"/>
                    <w:left w:val="nil"/>
                    <w:bottom w:val="nil"/>
                    <w:right w:val="nil"/>
                    <w:insideH w:val="nil"/>
                    <w:insideV w:val="nil"/>
                  </w:tcBorders>
                  <w:vAlign w:val="center"/>
                </w:tcPr>
                <w:p w14:paraId="708A1BF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提供同一份参考材料</w:t>
                  </w:r>
                </w:p>
              </w:tc>
              <w:tc>
                <w:tcPr>
                  <w:tcW w:w="4309" w:type="dxa"/>
                  <w:tcBorders>
                    <w:top w:val="nil"/>
                    <w:left w:val="nil"/>
                    <w:bottom w:val="nil"/>
                    <w:right w:val="nil"/>
                    <w:insideH w:val="nil"/>
                    <w:insideV w:val="nil"/>
                  </w:tcBorders>
                  <w:vAlign w:val="center"/>
                </w:tcPr>
                <w:p w14:paraId="2E72913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提供同一份参考材料</w:t>
                  </w:r>
                </w:p>
              </w:tc>
            </w:tr>
            <w:tr w14:paraId="631FFCED">
              <w:trPr>
                <w:cantSplit/>
                <w:jc w:val="center"/>
              </w:trPr>
              <w:tc>
                <w:tcPr>
                  <w:tcW w:w="1928" w:type="dxa"/>
                  <w:tcBorders>
                    <w:top w:val="nil"/>
                    <w:left w:val="nil"/>
                    <w:bottom w:val="nil"/>
                    <w:right w:val="nil"/>
                    <w:insideH w:val="nil"/>
                    <w:insideV w:val="nil"/>
                  </w:tcBorders>
                  <w:vAlign w:val="center"/>
                </w:tcPr>
                <w:p w14:paraId="27DD8E8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当前用户对话、主动发送的选中文本和笔记</w:t>
                  </w:r>
                </w:p>
              </w:tc>
              <w:tc>
                <w:tcPr>
                  <w:tcW w:w="3685" w:type="dxa"/>
                  <w:tcBorders>
                    <w:top w:val="nil"/>
                    <w:left w:val="nil"/>
                    <w:bottom w:val="nil"/>
                    <w:right w:val="nil"/>
                    <w:insideH w:val="nil"/>
                    <w:insideV w:val="nil"/>
                  </w:tcBorders>
                  <w:vAlign w:val="center"/>
                </w:tcPr>
                <w:p w14:paraId="3BC1E35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可访问范围相同</w:t>
                  </w:r>
                </w:p>
              </w:tc>
              <w:tc>
                <w:tcPr>
                  <w:tcW w:w="4309" w:type="dxa"/>
                  <w:tcBorders>
                    <w:top w:val="nil"/>
                    <w:left w:val="nil"/>
                    <w:bottom w:val="nil"/>
                    <w:right w:val="nil"/>
                    <w:insideH w:val="nil"/>
                    <w:insideV w:val="nil"/>
                  </w:tcBorders>
                  <w:vAlign w:val="center"/>
                </w:tcPr>
                <w:p w14:paraId="45420BA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可访问范围相同</w:t>
                  </w:r>
                </w:p>
              </w:tc>
            </w:tr>
            <w:tr w14:paraId="500407AD">
              <w:trPr>
                <w:cantSplit/>
                <w:jc w:val="center"/>
              </w:trPr>
              <w:tc>
                <w:tcPr>
                  <w:tcW w:w="1928" w:type="dxa"/>
                  <w:tcBorders>
                    <w:top w:val="nil"/>
                    <w:left w:val="nil"/>
                    <w:bottom w:val="nil"/>
                    <w:right w:val="nil"/>
                    <w:insideH w:val="nil"/>
                    <w:insideV w:val="nil"/>
                  </w:tcBorders>
                  <w:vAlign w:val="center"/>
                </w:tcPr>
                <w:p w14:paraId="4FEF8C0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专家评析、预设缺陷清单和评分答案</w:t>
                  </w:r>
                </w:p>
              </w:tc>
              <w:tc>
                <w:tcPr>
                  <w:tcW w:w="3685" w:type="dxa"/>
                  <w:tcBorders>
                    <w:top w:val="nil"/>
                    <w:left w:val="nil"/>
                    <w:bottom w:val="nil"/>
                    <w:right w:val="nil"/>
                    <w:insideH w:val="nil"/>
                    <w:insideV w:val="nil"/>
                  </w:tcBorders>
                  <w:vAlign w:val="center"/>
                </w:tcPr>
                <w:p w14:paraId="034E382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不提供</w:t>
                  </w:r>
                </w:p>
              </w:tc>
              <w:tc>
                <w:tcPr>
                  <w:tcW w:w="4309" w:type="dxa"/>
                  <w:tcBorders>
                    <w:top w:val="nil"/>
                    <w:left w:val="nil"/>
                    <w:bottom w:val="nil"/>
                    <w:right w:val="nil"/>
                    <w:insideH w:val="nil"/>
                    <w:insideV w:val="nil"/>
                  </w:tcBorders>
                  <w:vAlign w:val="center"/>
                </w:tcPr>
                <w:p w14:paraId="059CBFE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不提供</w:t>
                  </w:r>
                </w:p>
              </w:tc>
            </w:tr>
            <w:tr w14:paraId="55701D04">
              <w:trPr>
                <w:cantSplit/>
                <w:jc w:val="center"/>
              </w:trPr>
              <w:tc>
                <w:tcPr>
                  <w:tcW w:w="1928" w:type="dxa"/>
                  <w:tcBorders>
                    <w:top w:val="nil"/>
                    <w:left w:val="nil"/>
                    <w:bottom w:val="nil"/>
                    <w:right w:val="nil"/>
                    <w:insideH w:val="nil"/>
                    <w:insideV w:val="nil"/>
                  </w:tcBorders>
                  <w:vAlign w:val="center"/>
                </w:tcPr>
                <w:p w14:paraId="5505025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联网或外部检索</w:t>
                  </w:r>
                </w:p>
              </w:tc>
              <w:tc>
                <w:tcPr>
                  <w:tcW w:w="3685" w:type="dxa"/>
                  <w:tcBorders>
                    <w:top w:val="nil"/>
                    <w:left w:val="nil"/>
                    <w:bottom w:val="nil"/>
                    <w:right w:val="nil"/>
                    <w:insideH w:val="nil"/>
                    <w:insideV w:val="nil"/>
                  </w:tcBorders>
                  <w:vAlign w:val="center"/>
                </w:tcPr>
                <w:p w14:paraId="4784994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正式实验版本与另一组保持一致；初版关闭外网检索</w:t>
                  </w:r>
                </w:p>
              </w:tc>
              <w:tc>
                <w:tcPr>
                  <w:tcW w:w="4309" w:type="dxa"/>
                  <w:tcBorders>
                    <w:top w:val="nil"/>
                    <w:left w:val="nil"/>
                    <w:bottom w:val="nil"/>
                    <w:right w:val="nil"/>
                    <w:insideH w:val="nil"/>
                    <w:insideV w:val="nil"/>
                  </w:tcBorders>
                  <w:vAlign w:val="center"/>
                </w:tcPr>
                <w:p w14:paraId="084FFDE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同左</w:t>
                  </w:r>
                </w:p>
              </w:tc>
            </w:tr>
            <w:tr w14:paraId="26ACFB3E">
              <w:trPr>
                <w:cantSplit/>
                <w:jc w:val="center"/>
              </w:trPr>
              <w:tc>
                <w:tcPr>
                  <w:tcW w:w="1928" w:type="dxa"/>
                  <w:tcBorders>
                    <w:top w:val="nil"/>
                    <w:left w:val="nil"/>
                    <w:bottom w:val="single" w:color="000000" w:sz="8" w:space="0"/>
                    <w:right w:val="nil"/>
                    <w:insideH w:val="nil"/>
                    <w:insideV w:val="nil"/>
                  </w:tcBorders>
                  <w:vAlign w:val="center"/>
                </w:tcPr>
                <w:p w14:paraId="2C123E2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教学互动规则</w:t>
                  </w:r>
                </w:p>
              </w:tc>
              <w:tc>
                <w:tcPr>
                  <w:tcW w:w="3685" w:type="dxa"/>
                  <w:tcBorders>
                    <w:top w:val="nil"/>
                    <w:left w:val="nil"/>
                    <w:bottom w:val="single" w:color="000000" w:sz="8" w:space="0"/>
                    <w:right w:val="nil"/>
                    <w:insideH w:val="nil"/>
                    <w:insideV w:val="nil"/>
                  </w:tcBorders>
                  <w:vAlign w:val="center"/>
                </w:tcPr>
                <w:p w14:paraId="100399F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按请求提供解释、总结、答疑和分析</w:t>
                  </w:r>
                </w:p>
              </w:tc>
              <w:tc>
                <w:tcPr>
                  <w:tcW w:w="4309" w:type="dxa"/>
                  <w:tcBorders>
                    <w:top w:val="nil"/>
                    <w:left w:val="nil"/>
                    <w:bottom w:val="single" w:color="000000" w:sz="8" w:space="0"/>
                    <w:right w:val="nil"/>
                    <w:insideH w:val="nil"/>
                    <w:insideV w:val="nil"/>
                  </w:tcBorders>
                  <w:vAlign w:val="center"/>
                </w:tcPr>
                <w:p w14:paraId="3BF19D9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分析当前论证，自适应追问并提供必要帮助</w:t>
                  </w:r>
                </w:p>
              </w:tc>
            </w:tr>
          </w:tbl>
          <w:p w14:paraId="1E440096">
            <w:pPr>
              <w:spacing w:before="0" w:after="40" w:line="40" w:lineRule="exact"/>
            </w:pPr>
          </w:p>
        </w:tc>
      </w:tr>
      <w:tr w14:paraId="197CBB91">
        <w:trPr>
          <w:jc w:val="center"/>
        </w:trPr>
        <w:tc>
          <w:tcPr>
            <w:tcW w:w="10440" w:type="dxa"/>
            <w:tcMar>
              <w:top w:w="0" w:type="dxa"/>
              <w:left w:w="160" w:type="dxa"/>
              <w:bottom w:w="0" w:type="dxa"/>
              <w:right w:w="160" w:type="dxa"/>
            </w:tcMar>
            <w:vAlign w:val="top"/>
          </w:tcPr>
          <w:p w14:paraId="4370F20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教学规则与材料内容分别配置。更换文章时，系统载入新的全文、图表和段落编号，继续使用相同的论证检查与帮助原则。配套专家评析用于研究者准备评价材料和评分，Agent依赖论文内容与通用方法知识和学生讨论。</w:t>
            </w:r>
          </w:p>
        </w:tc>
      </w:tr>
      <w:tr w14:paraId="54AE771A">
        <w:trPr>
          <w:cantSplit/>
          <w:jc w:val="center"/>
        </w:trPr>
        <w:tc>
          <w:tcPr>
            <w:tcW w:w="10440" w:type="dxa"/>
            <w:tcMar>
              <w:top w:w="0" w:type="dxa"/>
              <w:left w:w="160" w:type="dxa"/>
              <w:bottom w:w="0" w:type="dxa"/>
              <w:right w:w="160" w:type="dxa"/>
            </w:tcMar>
            <w:vAlign w:val="top"/>
          </w:tcPr>
          <w:p w14:paraId="5081D330">
            <w:pPr>
              <w:pStyle w:val="21"/>
              <w:keepNext w:val="0"/>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2.3.2 从理论到交互规则</w:t>
            </w:r>
          </w:p>
          <w:p w14:paraId="065A1D17">
            <w:pPr>
              <w:keepNext/>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表12  理论依据与交互规则的对应</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4A690C8F">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5F75CD56">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理论或框架</w:t>
                  </w:r>
                </w:p>
              </w:tc>
              <w:tc>
                <w:tcPr>
                  <w:tcW w:w="3685" w:type="dxa"/>
                  <w:tcBorders>
                    <w:top w:val="single" w:color="000000" w:sz="8" w:space="0"/>
                    <w:left w:val="nil"/>
                    <w:bottom w:val="single" w:color="000000" w:sz="4" w:space="0"/>
                    <w:right w:val="nil"/>
                    <w:insideH w:val="nil"/>
                    <w:insideV w:val="nil"/>
                  </w:tcBorders>
                  <w:vAlign w:val="center"/>
                </w:tcPr>
                <w:p w14:paraId="46398DF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设计中的作用</w:t>
                  </w:r>
                </w:p>
              </w:tc>
              <w:tc>
                <w:tcPr>
                  <w:tcW w:w="4309" w:type="dxa"/>
                  <w:tcBorders>
                    <w:top w:val="single" w:color="000000" w:sz="8" w:space="0"/>
                    <w:left w:val="nil"/>
                    <w:bottom w:val="single" w:color="000000" w:sz="4" w:space="0"/>
                    <w:right w:val="nil"/>
                    <w:insideH w:val="nil"/>
                    <w:insideV w:val="nil"/>
                  </w:tcBorders>
                  <w:vAlign w:val="center"/>
                </w:tcPr>
                <w:p w14:paraId="558AFC83">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具体交互安排</w:t>
                  </w:r>
                </w:p>
              </w:tc>
            </w:tr>
            <w:tr w14:paraId="2F12897D">
              <w:trPr>
                <w:cantSplit/>
                <w:jc w:val="center"/>
              </w:trPr>
              <w:tc>
                <w:tcPr>
                  <w:tcW w:w="1928" w:type="dxa"/>
                  <w:tcBorders>
                    <w:top w:val="nil"/>
                    <w:left w:val="nil"/>
                    <w:bottom w:val="nil"/>
                    <w:right w:val="nil"/>
                    <w:insideH w:val="nil"/>
                    <w:insideV w:val="nil"/>
                  </w:tcBorders>
                  <w:vAlign w:val="center"/>
                </w:tcPr>
                <w:p w14:paraId="5B0030C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生成性学习与自我解释</w:t>
                  </w:r>
                </w:p>
              </w:tc>
              <w:tc>
                <w:tcPr>
                  <w:tcW w:w="3685" w:type="dxa"/>
                  <w:tcBorders>
                    <w:top w:val="nil"/>
                    <w:left w:val="nil"/>
                    <w:bottom w:val="nil"/>
                    <w:right w:val="nil"/>
                    <w:insideH w:val="nil"/>
                    <w:insideV w:val="nil"/>
                  </w:tcBorders>
                  <w:vAlign w:val="center"/>
                </w:tcPr>
                <w:p w14:paraId="20B238F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促使学生组织信息，并连接研究做法、方法原则与结论</w:t>
                  </w:r>
                </w:p>
              </w:tc>
              <w:tc>
                <w:tcPr>
                  <w:tcW w:w="4309" w:type="dxa"/>
                  <w:tcBorders>
                    <w:top w:val="nil"/>
                    <w:left w:val="nil"/>
                    <w:bottom w:val="nil"/>
                    <w:right w:val="nil"/>
                    <w:insideH w:val="nil"/>
                    <w:insideV w:val="nil"/>
                  </w:tcBorders>
                  <w:vAlign w:val="center"/>
                </w:tcPr>
                <w:p w14:paraId="4D9CB8A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追问依据为什么支持判断，保留关键推理让学生完成，再依据回答反馈</w:t>
                  </w:r>
                </w:p>
              </w:tc>
            </w:tr>
            <w:tr w14:paraId="26F02B2C">
              <w:trPr>
                <w:cantSplit/>
                <w:jc w:val="center"/>
              </w:trPr>
              <w:tc>
                <w:tcPr>
                  <w:tcW w:w="1928" w:type="dxa"/>
                  <w:tcBorders>
                    <w:top w:val="nil"/>
                    <w:left w:val="nil"/>
                    <w:bottom w:val="nil"/>
                    <w:right w:val="nil"/>
                    <w:insideH w:val="nil"/>
                    <w:insideV w:val="nil"/>
                  </w:tcBorders>
                  <w:vAlign w:val="center"/>
                </w:tcPr>
                <w:p w14:paraId="2AAC83F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最近发展区与自适应支架</w:t>
                  </w:r>
                </w:p>
              </w:tc>
              <w:tc>
                <w:tcPr>
                  <w:tcW w:w="3685" w:type="dxa"/>
                  <w:tcBorders>
                    <w:top w:val="nil"/>
                    <w:left w:val="nil"/>
                    <w:bottom w:val="nil"/>
                    <w:right w:val="nil"/>
                    <w:insideH w:val="nil"/>
                    <w:insideV w:val="nil"/>
                  </w:tcBorders>
                  <w:vAlign w:val="center"/>
                </w:tcPr>
                <w:p w14:paraId="620C505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根据当前困难调整帮助程度</w:t>
                  </w:r>
                </w:p>
              </w:tc>
              <w:tc>
                <w:tcPr>
                  <w:tcW w:w="4309" w:type="dxa"/>
                  <w:tcBorders>
                    <w:top w:val="nil"/>
                    <w:left w:val="nil"/>
                    <w:bottom w:val="nil"/>
                    <w:right w:val="nil"/>
                    <w:insideH w:val="nil"/>
                    <w:insideV w:val="nil"/>
                  </w:tcBorders>
                  <w:vAlign w:val="center"/>
                </w:tcPr>
                <w:p w14:paraId="0DCDB74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在开放引导、方向提示、具体支持和必要讲解之间调整，能够自主完成时减少提示</w:t>
                  </w:r>
                </w:p>
              </w:tc>
            </w:tr>
            <w:tr w14:paraId="1A442CB5">
              <w:trPr>
                <w:cantSplit/>
                <w:jc w:val="center"/>
              </w:trPr>
              <w:tc>
                <w:tcPr>
                  <w:tcW w:w="1928" w:type="dxa"/>
                  <w:tcBorders>
                    <w:top w:val="nil"/>
                    <w:left w:val="nil"/>
                    <w:bottom w:val="single" w:color="000000" w:sz="8" w:space="0"/>
                    <w:right w:val="nil"/>
                    <w:insideH w:val="nil"/>
                    <w:insideV w:val="nil"/>
                  </w:tcBorders>
                  <w:vAlign w:val="center"/>
                </w:tcPr>
                <w:p w14:paraId="0A2BA3F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Toulmin论证模型</w:t>
                  </w:r>
                </w:p>
              </w:tc>
              <w:tc>
                <w:tcPr>
                  <w:tcW w:w="3685" w:type="dxa"/>
                  <w:tcBorders>
                    <w:top w:val="nil"/>
                    <w:left w:val="nil"/>
                    <w:bottom w:val="single" w:color="000000" w:sz="8" w:space="0"/>
                    <w:right w:val="nil"/>
                    <w:insideH w:val="nil"/>
                    <w:insideV w:val="nil"/>
                  </w:tcBorders>
                  <w:vAlign w:val="center"/>
                </w:tcPr>
                <w:p w14:paraId="12CA0FD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组织追问内容，分析论证中尚不清楚的联系</w:t>
                  </w:r>
                </w:p>
              </w:tc>
              <w:tc>
                <w:tcPr>
                  <w:tcW w:w="4309" w:type="dxa"/>
                  <w:tcBorders>
                    <w:top w:val="nil"/>
                    <w:left w:val="nil"/>
                    <w:bottom w:val="single" w:color="000000" w:sz="8" w:space="0"/>
                    <w:right w:val="nil"/>
                    <w:insideH w:val="nil"/>
                    <w:insideV w:val="nil"/>
                  </w:tcBorders>
                  <w:vAlign w:val="center"/>
                </w:tcPr>
                <w:p w14:paraId="596865A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检查主张、依据、论证理由、支持、限定条件与反驳</w:t>
                  </w:r>
                </w:p>
              </w:tc>
            </w:tr>
          </w:tbl>
          <w:p w14:paraId="671CFA3A">
            <w:pPr>
              <w:spacing w:before="0" w:after="40" w:line="40" w:lineRule="exact"/>
            </w:pPr>
          </w:p>
        </w:tc>
      </w:tr>
      <w:tr w14:paraId="688A1409">
        <w:trPr>
          <w:jc w:val="center"/>
        </w:trPr>
        <w:tc>
          <w:tcPr>
            <w:tcW w:w="10440" w:type="dxa"/>
            <w:tcMar>
              <w:top w:w="0" w:type="dxa"/>
              <w:left w:w="160" w:type="dxa"/>
              <w:bottom w:w="0" w:type="dxa"/>
              <w:right w:w="160" w:type="dxa"/>
            </w:tcMar>
            <w:vAlign w:val="top"/>
          </w:tcPr>
          <w:p w14:paraId="04B796E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Agent从三类常见入口接住学生：对不理解的术语、句子或步骤，先帮助澄清内容；对已有判断，检查依据、推理联系和结论边界；对不知道从哪里开始的情况，邀请用户选择一处结论或不确定之处，仍有困难时提供中性的检查方向。</w:t>
            </w:r>
          </w:p>
        </w:tc>
      </w:tr>
      <w:tr w14:paraId="72BC0B93">
        <w:trPr>
          <w:jc w:val="center"/>
        </w:trPr>
        <w:tc>
          <w:tcPr>
            <w:tcW w:w="10440" w:type="dxa"/>
            <w:tcMar>
              <w:top w:w="0" w:type="dxa"/>
              <w:left w:w="160" w:type="dxa"/>
              <w:bottom w:w="0" w:type="dxa"/>
              <w:right w:w="160" w:type="dxa"/>
            </w:tcMar>
            <w:vAlign w:val="top"/>
          </w:tcPr>
          <w:p w14:paraId="524DB86D">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表13  学生进入讨论的方式</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35416231">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62957B1A">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学生进入讨论的方式</w:t>
                  </w:r>
                </w:p>
              </w:tc>
              <w:tc>
                <w:tcPr>
                  <w:tcW w:w="3685" w:type="dxa"/>
                  <w:tcBorders>
                    <w:top w:val="single" w:color="000000" w:sz="8" w:space="0"/>
                    <w:left w:val="nil"/>
                    <w:bottom w:val="single" w:color="000000" w:sz="4" w:space="0"/>
                    <w:right w:val="nil"/>
                    <w:insideH w:val="nil"/>
                    <w:insideV w:val="nil"/>
                  </w:tcBorders>
                  <w:vAlign w:val="center"/>
                </w:tcPr>
                <w:p w14:paraId="3ADDCAB9">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Agent如何回应</w:t>
                  </w:r>
                </w:p>
              </w:tc>
              <w:tc>
                <w:tcPr>
                  <w:tcW w:w="4309" w:type="dxa"/>
                  <w:tcBorders>
                    <w:top w:val="single" w:color="000000" w:sz="8" w:space="0"/>
                    <w:left w:val="nil"/>
                    <w:bottom w:val="single" w:color="000000" w:sz="4" w:space="0"/>
                    <w:right w:val="nil"/>
                    <w:insideH w:val="nil"/>
                    <w:insideV w:val="nil"/>
                  </w:tcBorders>
                  <w:vAlign w:val="center"/>
                </w:tcPr>
                <w:p w14:paraId="728E1E54">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讨论如何继续</w:t>
                  </w:r>
                </w:p>
              </w:tc>
            </w:tr>
            <w:tr w14:paraId="4290B71A">
              <w:trPr>
                <w:cantSplit/>
                <w:jc w:val="center"/>
              </w:trPr>
              <w:tc>
                <w:tcPr>
                  <w:tcW w:w="1928" w:type="dxa"/>
                  <w:tcBorders>
                    <w:top w:val="nil"/>
                    <w:left w:val="nil"/>
                    <w:bottom w:val="nil"/>
                    <w:right w:val="nil"/>
                    <w:insideH w:val="nil"/>
                    <w:insideV w:val="nil"/>
                  </w:tcBorders>
                  <w:vAlign w:val="center"/>
                </w:tcPr>
                <w:p w14:paraId="5231C7E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不理解内容</w:t>
                  </w:r>
                </w:p>
              </w:tc>
              <w:tc>
                <w:tcPr>
                  <w:tcW w:w="3685" w:type="dxa"/>
                  <w:tcBorders>
                    <w:top w:val="nil"/>
                    <w:left w:val="nil"/>
                    <w:bottom w:val="nil"/>
                    <w:right w:val="nil"/>
                    <w:insideH w:val="nil"/>
                    <w:insideV w:val="nil"/>
                  </w:tcBorders>
                  <w:vAlign w:val="center"/>
                </w:tcPr>
                <w:p w14:paraId="528ED36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解释术语、句子或研究步骤，并关联原文</w:t>
                  </w:r>
                </w:p>
              </w:tc>
              <w:tc>
                <w:tcPr>
                  <w:tcW w:w="4309" w:type="dxa"/>
                  <w:tcBorders>
                    <w:top w:val="nil"/>
                    <w:left w:val="nil"/>
                    <w:bottom w:val="nil"/>
                    <w:right w:val="nil"/>
                    <w:insideH w:val="nil"/>
                    <w:insideV w:val="nil"/>
                  </w:tcBorders>
                  <w:vAlign w:val="center"/>
                </w:tcPr>
                <w:p w14:paraId="6E73E74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理解得到澄清后，按需要联系到研究判断</w:t>
                  </w:r>
                </w:p>
              </w:tc>
            </w:tr>
            <w:tr w14:paraId="1A6B7DA2">
              <w:trPr>
                <w:cantSplit/>
                <w:jc w:val="center"/>
              </w:trPr>
              <w:tc>
                <w:tcPr>
                  <w:tcW w:w="1928" w:type="dxa"/>
                  <w:tcBorders>
                    <w:top w:val="nil"/>
                    <w:left w:val="nil"/>
                    <w:bottom w:val="nil"/>
                    <w:right w:val="nil"/>
                    <w:insideH w:val="nil"/>
                    <w:insideV w:val="nil"/>
                  </w:tcBorders>
                  <w:vAlign w:val="center"/>
                </w:tcPr>
                <w:p w14:paraId="1061F71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已经形成判断</w:t>
                  </w:r>
                </w:p>
              </w:tc>
              <w:tc>
                <w:tcPr>
                  <w:tcW w:w="3685" w:type="dxa"/>
                  <w:tcBorders>
                    <w:top w:val="nil"/>
                    <w:left w:val="nil"/>
                    <w:bottom w:val="nil"/>
                    <w:right w:val="nil"/>
                    <w:insideH w:val="nil"/>
                    <w:insideV w:val="nil"/>
                  </w:tcBorders>
                  <w:vAlign w:val="center"/>
                </w:tcPr>
                <w:p w14:paraId="17C5558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确认判断对象，检查原文依据和推理联系</w:t>
                  </w:r>
                </w:p>
              </w:tc>
              <w:tc>
                <w:tcPr>
                  <w:tcW w:w="4309" w:type="dxa"/>
                  <w:tcBorders>
                    <w:top w:val="nil"/>
                    <w:left w:val="nil"/>
                    <w:bottom w:val="nil"/>
                    <w:right w:val="nil"/>
                    <w:insideH w:val="nil"/>
                    <w:insideV w:val="nil"/>
                  </w:tcBorders>
                  <w:vAlign w:val="center"/>
                </w:tcPr>
                <w:p w14:paraId="1CA2207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针对尚不充分的关系追问，讨论结论边界</w:t>
                  </w:r>
                </w:p>
              </w:tc>
            </w:tr>
            <w:tr w14:paraId="57320286">
              <w:trPr>
                <w:cantSplit/>
                <w:jc w:val="center"/>
              </w:trPr>
              <w:tc>
                <w:tcPr>
                  <w:tcW w:w="1928" w:type="dxa"/>
                  <w:tcBorders>
                    <w:top w:val="nil"/>
                    <w:left w:val="nil"/>
                    <w:bottom w:val="single" w:color="000000" w:sz="8" w:space="0"/>
                    <w:right w:val="nil"/>
                    <w:insideH w:val="nil"/>
                    <w:insideV w:val="nil"/>
                  </w:tcBorders>
                  <w:vAlign w:val="center"/>
                </w:tcPr>
                <w:p w14:paraId="6EAA095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不知道从哪里开始</w:t>
                  </w:r>
                </w:p>
              </w:tc>
              <w:tc>
                <w:tcPr>
                  <w:tcW w:w="3685" w:type="dxa"/>
                  <w:tcBorders>
                    <w:top w:val="nil"/>
                    <w:left w:val="nil"/>
                    <w:bottom w:val="single" w:color="000000" w:sz="8" w:space="0"/>
                    <w:right w:val="nil"/>
                    <w:insideH w:val="nil"/>
                    <w:insideV w:val="nil"/>
                  </w:tcBorders>
                  <w:vAlign w:val="center"/>
                </w:tcPr>
                <w:p w14:paraId="0987B3C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邀请选择一处结论或不确定之处；仍困难时提供中性检查方向</w:t>
                  </w:r>
                </w:p>
              </w:tc>
              <w:tc>
                <w:tcPr>
                  <w:tcW w:w="4309" w:type="dxa"/>
                  <w:tcBorders>
                    <w:top w:val="nil"/>
                    <w:left w:val="nil"/>
                    <w:bottom w:val="single" w:color="000000" w:sz="8" w:space="0"/>
                    <w:right w:val="nil"/>
                    <w:insideH w:val="nil"/>
                    <w:insideV w:val="nil"/>
                  </w:tcBorders>
                  <w:vAlign w:val="center"/>
                </w:tcPr>
                <w:p w14:paraId="0E6220D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从选定问题开始检查依据，逐渐形成自己的判断</w:t>
                  </w:r>
                </w:p>
              </w:tc>
            </w:tr>
          </w:tbl>
          <w:p w14:paraId="7940053B">
            <w:pPr>
              <w:spacing w:before="0" w:after="40" w:line="40" w:lineRule="exact"/>
            </w:pPr>
          </w:p>
        </w:tc>
      </w:tr>
      <w:tr w14:paraId="4F2AF96E">
        <w:trPr>
          <w:jc w:val="center"/>
        </w:trPr>
        <w:tc>
          <w:tcPr>
            <w:tcW w:w="10440" w:type="dxa"/>
            <w:tcMar>
              <w:top w:w="0" w:type="dxa"/>
              <w:left w:w="160" w:type="dxa"/>
              <w:bottom w:w="0" w:type="dxa"/>
              <w:right w:w="160" w:type="dxa"/>
            </w:tcMar>
            <w:vAlign w:val="top"/>
          </w:tcPr>
          <w:p w14:paraId="4310FE5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Toulmin模型用于引导Agent把问题问具体。主张不清时，询问“你认为作者的哪一项结论支持不足”；依据缺失时，询问“文章中哪些信息支持你的判断”；理由未展开时，询问“这项研究做法为什么影响该结论”；原则适用性不清时，询问“你依据的方法原则适用于这里的哪些条件”；判断过强时，询问“这会使结论完全不成立，还是需要缩小结论范围”；存在其他可能时，询问“有没有与这些结果同样相容的解释”。Agent结合当前对话选择相关问题。</w:t>
            </w:r>
          </w:p>
        </w:tc>
      </w:tr>
      <w:tr w14:paraId="631AEAB7">
        <w:trPr>
          <w:jc w:val="center"/>
        </w:trPr>
        <w:tc>
          <w:tcPr>
            <w:tcW w:w="10440" w:type="dxa"/>
            <w:tcMar>
              <w:top w:w="0" w:type="dxa"/>
              <w:left w:w="160" w:type="dxa"/>
              <w:bottom w:w="0" w:type="dxa"/>
              <w:right w:w="160" w:type="dxa"/>
            </w:tcMar>
            <w:vAlign w:val="top"/>
          </w:tcPr>
          <w:p w14:paraId="0C7763BB">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下表把学生表现、教学动作与希望诱发的自我解释对应起来，作为Agent提示规则和后续交互检查的依据。</w:t>
            </w:r>
          </w:p>
        </w:tc>
      </w:tr>
      <w:tr w14:paraId="4A61F85A">
        <w:trPr>
          <w:jc w:val="center"/>
        </w:trPr>
        <w:tc>
          <w:tcPr>
            <w:tcW w:w="10440" w:type="dxa"/>
            <w:tcMar>
              <w:top w:w="0" w:type="dxa"/>
              <w:left w:w="160" w:type="dxa"/>
              <w:bottom w:w="0" w:type="dxa"/>
              <w:right w:w="160" w:type="dxa"/>
            </w:tcMar>
            <w:vAlign w:val="top"/>
          </w:tcPr>
          <w:p w14:paraId="68738969">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表14  学生表现、教学动作与生成性加工</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66D852E3">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06FAE58D">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学生当前表现</w:t>
                  </w:r>
                </w:p>
              </w:tc>
              <w:tc>
                <w:tcPr>
                  <w:tcW w:w="3685" w:type="dxa"/>
                  <w:tcBorders>
                    <w:top w:val="single" w:color="000000" w:sz="8" w:space="0"/>
                    <w:left w:val="nil"/>
                    <w:bottom w:val="single" w:color="000000" w:sz="4" w:space="0"/>
                    <w:right w:val="nil"/>
                    <w:insideH w:val="nil"/>
                    <w:insideV w:val="nil"/>
                  </w:tcBorders>
                  <w:vAlign w:val="center"/>
                </w:tcPr>
                <w:p w14:paraId="69A26163">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Agent的教学动作</w:t>
                  </w:r>
                </w:p>
              </w:tc>
              <w:tc>
                <w:tcPr>
                  <w:tcW w:w="4309" w:type="dxa"/>
                  <w:tcBorders>
                    <w:top w:val="single" w:color="000000" w:sz="8" w:space="0"/>
                    <w:left w:val="nil"/>
                    <w:bottom w:val="single" w:color="000000" w:sz="4" w:space="0"/>
                    <w:right w:val="nil"/>
                    <w:insideH w:val="nil"/>
                    <w:insideV w:val="nil"/>
                  </w:tcBorders>
                  <w:vAlign w:val="center"/>
                </w:tcPr>
                <w:p w14:paraId="3F92A23E">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希望学生完成的加工</w:t>
                  </w:r>
                </w:p>
              </w:tc>
            </w:tr>
            <w:tr w14:paraId="56DDEFF8">
              <w:trPr>
                <w:cantSplit/>
                <w:jc w:val="center"/>
              </w:trPr>
              <w:tc>
                <w:tcPr>
                  <w:tcW w:w="1928" w:type="dxa"/>
                  <w:tcBorders>
                    <w:top w:val="nil"/>
                    <w:left w:val="nil"/>
                    <w:bottom w:val="nil"/>
                    <w:right w:val="nil"/>
                    <w:insideH w:val="nil"/>
                    <w:insideV w:val="nil"/>
                  </w:tcBorders>
                  <w:vAlign w:val="center"/>
                </w:tcPr>
                <w:p w14:paraId="160F310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作出判断但没有依据</w:t>
                  </w:r>
                </w:p>
              </w:tc>
              <w:tc>
                <w:tcPr>
                  <w:tcW w:w="3685" w:type="dxa"/>
                  <w:tcBorders>
                    <w:top w:val="nil"/>
                    <w:left w:val="nil"/>
                    <w:bottom w:val="nil"/>
                    <w:right w:val="nil"/>
                    <w:insideH w:val="nil"/>
                    <w:insideV w:val="nil"/>
                  </w:tcBorders>
                  <w:vAlign w:val="center"/>
                </w:tcPr>
                <w:p w14:paraId="14B9EBF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追问相关原文及其作用</w:t>
                  </w:r>
                </w:p>
              </w:tc>
              <w:tc>
                <w:tcPr>
                  <w:tcW w:w="4309" w:type="dxa"/>
                  <w:tcBorders>
                    <w:top w:val="nil"/>
                    <w:left w:val="nil"/>
                    <w:bottom w:val="nil"/>
                    <w:right w:val="nil"/>
                    <w:insideH w:val="nil"/>
                    <w:insideV w:val="nil"/>
                  </w:tcBorders>
                  <w:vAlign w:val="center"/>
                </w:tcPr>
                <w:p w14:paraId="4C5C034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把判断与具体信息联系起来</w:t>
                  </w:r>
                </w:p>
              </w:tc>
            </w:tr>
            <w:tr w14:paraId="7E0AB27C">
              <w:trPr>
                <w:cantSplit/>
                <w:jc w:val="center"/>
              </w:trPr>
              <w:tc>
                <w:tcPr>
                  <w:tcW w:w="1928" w:type="dxa"/>
                  <w:tcBorders>
                    <w:top w:val="nil"/>
                    <w:left w:val="nil"/>
                    <w:bottom w:val="nil"/>
                    <w:right w:val="nil"/>
                    <w:insideH w:val="nil"/>
                    <w:insideV w:val="nil"/>
                  </w:tcBorders>
                  <w:vAlign w:val="center"/>
                </w:tcPr>
                <w:p w14:paraId="402FA56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有依据但缺少推理联系</w:t>
                  </w:r>
                </w:p>
              </w:tc>
              <w:tc>
                <w:tcPr>
                  <w:tcW w:w="3685" w:type="dxa"/>
                  <w:tcBorders>
                    <w:top w:val="nil"/>
                    <w:left w:val="nil"/>
                    <w:bottom w:val="nil"/>
                    <w:right w:val="nil"/>
                    <w:insideH w:val="nil"/>
                    <w:insideV w:val="nil"/>
                  </w:tcBorders>
                  <w:vAlign w:val="center"/>
                </w:tcPr>
                <w:p w14:paraId="279E28D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追问依据为什么支持判断</w:t>
                  </w:r>
                </w:p>
              </w:tc>
              <w:tc>
                <w:tcPr>
                  <w:tcW w:w="4309" w:type="dxa"/>
                  <w:tcBorders>
                    <w:top w:val="nil"/>
                    <w:left w:val="nil"/>
                    <w:bottom w:val="nil"/>
                    <w:right w:val="nil"/>
                    <w:insideH w:val="nil"/>
                    <w:insideV w:val="nil"/>
                  </w:tcBorders>
                  <w:vAlign w:val="center"/>
                </w:tcPr>
                <w:p w14:paraId="58EF19B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补出证据与结论之间的推理</w:t>
                  </w:r>
                </w:p>
              </w:tc>
            </w:tr>
            <w:tr w14:paraId="18A49A10">
              <w:trPr>
                <w:cantSplit/>
                <w:jc w:val="center"/>
              </w:trPr>
              <w:tc>
                <w:tcPr>
                  <w:tcW w:w="1928" w:type="dxa"/>
                  <w:tcBorders>
                    <w:top w:val="nil"/>
                    <w:left w:val="nil"/>
                    <w:bottom w:val="nil"/>
                    <w:right w:val="nil"/>
                    <w:insideH w:val="nil"/>
                    <w:insideV w:val="nil"/>
                  </w:tcBorders>
                  <w:vAlign w:val="center"/>
                </w:tcPr>
                <w:p w14:paraId="72FB323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判断依赖未说明的前提</w:t>
                  </w:r>
                </w:p>
              </w:tc>
              <w:tc>
                <w:tcPr>
                  <w:tcW w:w="3685" w:type="dxa"/>
                  <w:tcBorders>
                    <w:top w:val="nil"/>
                    <w:left w:val="nil"/>
                    <w:bottom w:val="nil"/>
                    <w:right w:val="nil"/>
                    <w:insideH w:val="nil"/>
                    <w:insideV w:val="nil"/>
                  </w:tcBorders>
                  <w:vAlign w:val="center"/>
                </w:tcPr>
                <w:p w14:paraId="38A5BAF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询问结论成立需要满足的条件</w:t>
                  </w:r>
                </w:p>
              </w:tc>
              <w:tc>
                <w:tcPr>
                  <w:tcW w:w="4309" w:type="dxa"/>
                  <w:tcBorders>
                    <w:top w:val="nil"/>
                    <w:left w:val="nil"/>
                    <w:bottom w:val="nil"/>
                    <w:right w:val="nil"/>
                    <w:insideH w:val="nil"/>
                    <w:insideV w:val="nil"/>
                  </w:tcBorders>
                  <w:vAlign w:val="center"/>
                </w:tcPr>
                <w:p w14:paraId="197EF97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将隐含前提明确化</w:t>
                  </w:r>
                </w:p>
              </w:tc>
            </w:tr>
            <w:tr w14:paraId="587DCF4F">
              <w:trPr>
                <w:cantSplit/>
                <w:jc w:val="center"/>
              </w:trPr>
              <w:tc>
                <w:tcPr>
                  <w:tcW w:w="1928" w:type="dxa"/>
                  <w:tcBorders>
                    <w:top w:val="nil"/>
                    <w:left w:val="nil"/>
                    <w:bottom w:val="nil"/>
                    <w:right w:val="nil"/>
                    <w:insideH w:val="nil"/>
                    <w:insideV w:val="nil"/>
                  </w:tcBorders>
                  <w:vAlign w:val="center"/>
                </w:tcPr>
                <w:p w14:paraId="33C4D6C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机械使用方法学原则</w:t>
                  </w:r>
                </w:p>
              </w:tc>
              <w:tc>
                <w:tcPr>
                  <w:tcW w:w="3685" w:type="dxa"/>
                  <w:tcBorders>
                    <w:top w:val="nil"/>
                    <w:left w:val="nil"/>
                    <w:bottom w:val="nil"/>
                    <w:right w:val="nil"/>
                    <w:insideH w:val="nil"/>
                    <w:insideV w:val="nil"/>
                  </w:tcBorders>
                  <w:vAlign w:val="center"/>
                </w:tcPr>
                <w:p w14:paraId="7E62EAC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追问原则的含义及在本研究中的适用性</w:t>
                  </w:r>
                </w:p>
              </w:tc>
              <w:tc>
                <w:tcPr>
                  <w:tcW w:w="4309" w:type="dxa"/>
                  <w:tcBorders>
                    <w:top w:val="nil"/>
                    <w:left w:val="nil"/>
                    <w:bottom w:val="nil"/>
                    <w:right w:val="nil"/>
                    <w:insideH w:val="nil"/>
                    <w:insideV w:val="nil"/>
                  </w:tcBorders>
                  <w:vAlign w:val="center"/>
                </w:tcPr>
                <w:p w14:paraId="4F9470E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把方法知识与具体情境整合</w:t>
                  </w:r>
                </w:p>
              </w:tc>
            </w:tr>
            <w:tr w14:paraId="5EBDF5A0">
              <w:trPr>
                <w:cantSplit/>
                <w:jc w:val="center"/>
              </w:trPr>
              <w:tc>
                <w:tcPr>
                  <w:tcW w:w="1928" w:type="dxa"/>
                  <w:tcBorders>
                    <w:top w:val="nil"/>
                    <w:left w:val="nil"/>
                    <w:bottom w:val="nil"/>
                    <w:right w:val="nil"/>
                    <w:insideH w:val="nil"/>
                    <w:insideV w:val="nil"/>
                  </w:tcBorders>
                  <w:vAlign w:val="center"/>
                </w:tcPr>
                <w:p w14:paraId="663A81F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只考虑一种解释</w:t>
                  </w:r>
                </w:p>
              </w:tc>
              <w:tc>
                <w:tcPr>
                  <w:tcW w:w="3685" w:type="dxa"/>
                  <w:tcBorders>
                    <w:top w:val="nil"/>
                    <w:left w:val="nil"/>
                    <w:bottom w:val="nil"/>
                    <w:right w:val="nil"/>
                    <w:insideH w:val="nil"/>
                    <w:insideV w:val="nil"/>
                  </w:tcBorders>
                  <w:vAlign w:val="center"/>
                </w:tcPr>
                <w:p w14:paraId="2669014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邀请提出其他解释，并核对是否与证据相容</w:t>
                  </w:r>
                </w:p>
              </w:tc>
              <w:tc>
                <w:tcPr>
                  <w:tcW w:w="4309" w:type="dxa"/>
                  <w:tcBorders>
                    <w:top w:val="nil"/>
                    <w:left w:val="nil"/>
                    <w:bottom w:val="nil"/>
                    <w:right w:val="nil"/>
                    <w:insideH w:val="nil"/>
                    <w:insideV w:val="nil"/>
                  </w:tcBorders>
                  <w:vAlign w:val="center"/>
                </w:tcPr>
                <w:p w14:paraId="56924C4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比较解释并检查原有判断</w:t>
                  </w:r>
                </w:p>
              </w:tc>
            </w:tr>
            <w:tr w14:paraId="7ECAE806">
              <w:trPr>
                <w:cantSplit/>
                <w:jc w:val="center"/>
              </w:trPr>
              <w:tc>
                <w:tcPr>
                  <w:tcW w:w="1928" w:type="dxa"/>
                  <w:tcBorders>
                    <w:top w:val="nil"/>
                    <w:left w:val="nil"/>
                    <w:bottom w:val="nil"/>
                    <w:right w:val="nil"/>
                    <w:insideH w:val="nil"/>
                    <w:insideV w:val="nil"/>
                  </w:tcBorders>
                  <w:vAlign w:val="center"/>
                </w:tcPr>
                <w:p w14:paraId="14C34BC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发现矛盾后改变判断</w:t>
                  </w:r>
                </w:p>
              </w:tc>
              <w:tc>
                <w:tcPr>
                  <w:tcW w:w="3685" w:type="dxa"/>
                  <w:tcBorders>
                    <w:top w:val="nil"/>
                    <w:left w:val="nil"/>
                    <w:bottom w:val="nil"/>
                    <w:right w:val="nil"/>
                    <w:insideH w:val="nil"/>
                    <w:insideV w:val="nil"/>
                  </w:tcBorders>
                  <w:vAlign w:val="center"/>
                </w:tcPr>
                <w:p w14:paraId="7E402D0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请学生说明修正内容与理由</w:t>
                  </w:r>
                </w:p>
              </w:tc>
              <w:tc>
                <w:tcPr>
                  <w:tcW w:w="4309" w:type="dxa"/>
                  <w:tcBorders>
                    <w:top w:val="nil"/>
                    <w:left w:val="nil"/>
                    <w:bottom w:val="nil"/>
                    <w:right w:val="nil"/>
                    <w:insideH w:val="nil"/>
                    <w:insideV w:val="nil"/>
                  </w:tcBorders>
                  <w:vAlign w:val="center"/>
                </w:tcPr>
                <w:p w14:paraId="3F4B16C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修复原有理解并形成更充分的解释</w:t>
                  </w:r>
                </w:p>
              </w:tc>
            </w:tr>
            <w:tr w14:paraId="124A81A9">
              <w:trPr>
                <w:cantSplit/>
                <w:jc w:val="center"/>
              </w:trPr>
              <w:tc>
                <w:tcPr>
                  <w:tcW w:w="1928" w:type="dxa"/>
                  <w:tcBorders>
                    <w:top w:val="nil"/>
                    <w:left w:val="nil"/>
                    <w:bottom w:val="single" w:color="000000" w:sz="8" w:space="0"/>
                    <w:right w:val="nil"/>
                    <w:insideH w:val="nil"/>
                    <w:insideV w:val="nil"/>
                  </w:tcBorders>
                  <w:vAlign w:val="center"/>
                </w:tcPr>
                <w:p w14:paraId="3722327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已经给出充分解释</w:t>
                  </w:r>
                </w:p>
              </w:tc>
              <w:tc>
                <w:tcPr>
                  <w:tcW w:w="3685" w:type="dxa"/>
                  <w:tcBorders>
                    <w:top w:val="nil"/>
                    <w:left w:val="nil"/>
                    <w:bottom w:val="single" w:color="000000" w:sz="8" w:space="0"/>
                    <w:right w:val="nil"/>
                    <w:insideH w:val="nil"/>
                    <w:insideV w:val="nil"/>
                  </w:tcBorders>
                  <w:vAlign w:val="center"/>
                </w:tcPr>
                <w:p w14:paraId="78710D7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确认其依据和推理，允许结束或转向下一问题</w:t>
                  </w:r>
                </w:p>
              </w:tc>
              <w:tc>
                <w:tcPr>
                  <w:tcW w:w="4309" w:type="dxa"/>
                  <w:tcBorders>
                    <w:top w:val="nil"/>
                    <w:left w:val="nil"/>
                    <w:bottom w:val="single" w:color="000000" w:sz="8" w:space="0"/>
                    <w:right w:val="nil"/>
                    <w:insideH w:val="nil"/>
                    <w:insideV w:val="nil"/>
                  </w:tcBorders>
                  <w:vAlign w:val="center"/>
                </w:tcPr>
                <w:p w14:paraId="1731DA8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保留已完成的思考，避免重复</w:t>
                  </w:r>
                </w:p>
              </w:tc>
            </w:tr>
          </w:tbl>
          <w:p w14:paraId="7F5BBF4C">
            <w:pPr>
              <w:spacing w:before="0" w:after="40" w:line="40" w:lineRule="exact"/>
            </w:pPr>
          </w:p>
        </w:tc>
      </w:tr>
      <w:tr w14:paraId="0B726E6D">
        <w:trPr>
          <w:jc w:val="center"/>
        </w:trPr>
        <w:tc>
          <w:tcPr>
            <w:tcW w:w="10440" w:type="dxa"/>
            <w:tcMar>
              <w:top w:w="0" w:type="dxa"/>
              <w:left w:w="160" w:type="dxa"/>
              <w:bottom w:w="0" w:type="dxa"/>
              <w:right w:w="160" w:type="dxa"/>
            </w:tcMar>
            <w:vAlign w:val="top"/>
          </w:tcPr>
          <w:p w14:paraId="72E270F2">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2.3.3 自适应帮助与每轮流程</w:t>
            </w:r>
          </w:p>
          <w:p w14:paraId="3C9F986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帮助程度分为四类。开放引导仅提出问题，让学生自行选择依据或组织解释；方向提示缩小检查范围；具体支持指出有关段落、图表或需要比较的信息；必要讲解解释所缺概念或示范局部推理，仍无法推进时可直接解释当前问题。</w:t>
            </w:r>
          </w:p>
        </w:tc>
      </w:tr>
      <w:tr w14:paraId="2AC20808">
        <w:trPr>
          <w:jc w:val="center"/>
        </w:trPr>
        <w:tc>
          <w:tcPr>
            <w:tcW w:w="10440" w:type="dxa"/>
            <w:tcMar>
              <w:top w:w="0" w:type="dxa"/>
              <w:left w:w="160" w:type="dxa"/>
              <w:bottom w:w="0" w:type="dxa"/>
              <w:right w:w="160" w:type="dxa"/>
            </w:tcMar>
            <w:vAlign w:val="top"/>
          </w:tcPr>
          <w:p w14:paraId="6E55728B">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表15  自适应帮助程度</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3BCC188D">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137E0E8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帮助程度</w:t>
                  </w:r>
                </w:p>
              </w:tc>
              <w:tc>
                <w:tcPr>
                  <w:tcW w:w="3685" w:type="dxa"/>
                  <w:tcBorders>
                    <w:top w:val="single" w:color="000000" w:sz="8" w:space="0"/>
                    <w:left w:val="nil"/>
                    <w:bottom w:val="single" w:color="000000" w:sz="4" w:space="0"/>
                    <w:right w:val="nil"/>
                    <w:insideH w:val="nil"/>
                    <w:insideV w:val="nil"/>
                  </w:tcBorders>
                  <w:vAlign w:val="center"/>
                </w:tcPr>
                <w:p w14:paraId="099C0F9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Agent提供什么</w:t>
                  </w:r>
                </w:p>
              </w:tc>
              <w:tc>
                <w:tcPr>
                  <w:tcW w:w="4309" w:type="dxa"/>
                  <w:tcBorders>
                    <w:top w:val="single" w:color="000000" w:sz="8" w:space="0"/>
                    <w:left w:val="nil"/>
                    <w:bottom w:val="single" w:color="000000" w:sz="4" w:space="0"/>
                    <w:right w:val="nil"/>
                    <w:insideH w:val="nil"/>
                    <w:insideV w:val="nil"/>
                  </w:tcBorders>
                  <w:vAlign w:val="center"/>
                </w:tcPr>
                <w:p w14:paraId="751279C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学生保留的任务</w:t>
                  </w:r>
                </w:p>
              </w:tc>
            </w:tr>
            <w:tr w14:paraId="12C92EB7">
              <w:trPr>
                <w:cantSplit/>
                <w:jc w:val="center"/>
              </w:trPr>
              <w:tc>
                <w:tcPr>
                  <w:tcW w:w="1928" w:type="dxa"/>
                  <w:tcBorders>
                    <w:top w:val="nil"/>
                    <w:left w:val="nil"/>
                    <w:bottom w:val="nil"/>
                    <w:right w:val="nil"/>
                    <w:insideH w:val="nil"/>
                    <w:insideV w:val="nil"/>
                  </w:tcBorders>
                  <w:vAlign w:val="center"/>
                </w:tcPr>
                <w:p w14:paraId="12ABD8F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开放引导</w:t>
                  </w:r>
                </w:p>
              </w:tc>
              <w:tc>
                <w:tcPr>
                  <w:tcW w:w="3685" w:type="dxa"/>
                  <w:tcBorders>
                    <w:top w:val="nil"/>
                    <w:left w:val="nil"/>
                    <w:bottom w:val="nil"/>
                    <w:right w:val="nil"/>
                    <w:insideH w:val="nil"/>
                    <w:insideV w:val="nil"/>
                  </w:tcBorders>
                  <w:vAlign w:val="center"/>
                </w:tcPr>
                <w:p w14:paraId="0CF2B89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提出问题，不指定检查方向</w:t>
                  </w:r>
                </w:p>
              </w:tc>
              <w:tc>
                <w:tcPr>
                  <w:tcW w:w="4309" w:type="dxa"/>
                  <w:tcBorders>
                    <w:top w:val="nil"/>
                    <w:left w:val="nil"/>
                    <w:bottom w:val="nil"/>
                    <w:right w:val="nil"/>
                    <w:insideH w:val="nil"/>
                    <w:insideV w:val="nil"/>
                  </w:tcBorders>
                  <w:vAlign w:val="center"/>
                </w:tcPr>
                <w:p w14:paraId="294464C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自行选择依据并组织解释</w:t>
                  </w:r>
                </w:p>
              </w:tc>
            </w:tr>
            <w:tr w14:paraId="19BFEAC7">
              <w:trPr>
                <w:cantSplit/>
                <w:jc w:val="center"/>
              </w:trPr>
              <w:tc>
                <w:tcPr>
                  <w:tcW w:w="1928" w:type="dxa"/>
                  <w:tcBorders>
                    <w:top w:val="nil"/>
                    <w:left w:val="nil"/>
                    <w:bottom w:val="nil"/>
                    <w:right w:val="nil"/>
                    <w:insideH w:val="nil"/>
                    <w:insideV w:val="nil"/>
                  </w:tcBorders>
                  <w:vAlign w:val="center"/>
                </w:tcPr>
                <w:p w14:paraId="575C10F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方向提示</w:t>
                  </w:r>
                </w:p>
              </w:tc>
              <w:tc>
                <w:tcPr>
                  <w:tcW w:w="3685" w:type="dxa"/>
                  <w:tcBorders>
                    <w:top w:val="nil"/>
                    <w:left w:val="nil"/>
                    <w:bottom w:val="nil"/>
                    <w:right w:val="nil"/>
                    <w:insideH w:val="nil"/>
                    <w:insideV w:val="nil"/>
                  </w:tcBorders>
                  <w:vAlign w:val="center"/>
                </w:tcPr>
                <w:p w14:paraId="52087F2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缩小检查范围，如关注组间可比性</w:t>
                  </w:r>
                </w:p>
              </w:tc>
              <w:tc>
                <w:tcPr>
                  <w:tcW w:w="4309" w:type="dxa"/>
                  <w:tcBorders>
                    <w:top w:val="nil"/>
                    <w:left w:val="nil"/>
                    <w:bottom w:val="nil"/>
                    <w:right w:val="nil"/>
                    <w:insideH w:val="nil"/>
                    <w:insideV w:val="nil"/>
                  </w:tcBorders>
                  <w:vAlign w:val="center"/>
                </w:tcPr>
                <w:p w14:paraId="448167B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判断哪些信息有关，说明其作用</w:t>
                  </w:r>
                </w:p>
              </w:tc>
            </w:tr>
            <w:tr w14:paraId="3EC8BA68">
              <w:trPr>
                <w:cantSplit/>
                <w:jc w:val="center"/>
              </w:trPr>
              <w:tc>
                <w:tcPr>
                  <w:tcW w:w="1928" w:type="dxa"/>
                  <w:tcBorders>
                    <w:top w:val="nil"/>
                    <w:left w:val="nil"/>
                    <w:bottom w:val="nil"/>
                    <w:right w:val="nil"/>
                    <w:insideH w:val="nil"/>
                    <w:insideV w:val="nil"/>
                  </w:tcBorders>
                  <w:vAlign w:val="center"/>
                </w:tcPr>
                <w:p w14:paraId="48350E3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具体支持</w:t>
                  </w:r>
                </w:p>
              </w:tc>
              <w:tc>
                <w:tcPr>
                  <w:tcW w:w="3685" w:type="dxa"/>
                  <w:tcBorders>
                    <w:top w:val="nil"/>
                    <w:left w:val="nil"/>
                    <w:bottom w:val="nil"/>
                    <w:right w:val="nil"/>
                    <w:insideH w:val="nil"/>
                    <w:insideV w:val="nil"/>
                  </w:tcBorders>
                  <w:vAlign w:val="center"/>
                </w:tcPr>
                <w:p w14:paraId="23A15A3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指向有关段落、表格或需要比较的信息</w:t>
                  </w:r>
                </w:p>
              </w:tc>
              <w:tc>
                <w:tcPr>
                  <w:tcW w:w="4309" w:type="dxa"/>
                  <w:tcBorders>
                    <w:top w:val="nil"/>
                    <w:left w:val="nil"/>
                    <w:bottom w:val="nil"/>
                    <w:right w:val="nil"/>
                    <w:insideH w:val="nil"/>
                    <w:insideV w:val="nil"/>
                  </w:tcBorders>
                  <w:vAlign w:val="center"/>
                </w:tcPr>
                <w:p w14:paraId="48673D9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完成关键推断并形成评价</w:t>
                  </w:r>
                </w:p>
              </w:tc>
            </w:tr>
            <w:tr w14:paraId="392290F6">
              <w:trPr>
                <w:cantSplit/>
                <w:jc w:val="center"/>
              </w:trPr>
              <w:tc>
                <w:tcPr>
                  <w:tcW w:w="1928" w:type="dxa"/>
                  <w:tcBorders>
                    <w:top w:val="nil"/>
                    <w:left w:val="nil"/>
                    <w:bottom w:val="single" w:color="000000" w:sz="8" w:space="0"/>
                    <w:right w:val="nil"/>
                    <w:insideH w:val="nil"/>
                    <w:insideV w:val="nil"/>
                  </w:tcBorders>
                  <w:vAlign w:val="center"/>
                </w:tcPr>
                <w:p w14:paraId="7D5C835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必要讲解</w:t>
                  </w:r>
                </w:p>
              </w:tc>
              <w:tc>
                <w:tcPr>
                  <w:tcW w:w="3685" w:type="dxa"/>
                  <w:tcBorders>
                    <w:top w:val="nil"/>
                    <w:left w:val="nil"/>
                    <w:bottom w:val="single" w:color="000000" w:sz="8" w:space="0"/>
                    <w:right w:val="nil"/>
                    <w:insideH w:val="nil"/>
                    <w:insideV w:val="nil"/>
                  </w:tcBorders>
                  <w:vAlign w:val="center"/>
                </w:tcPr>
                <w:p w14:paraId="5D4B406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解释所缺概念、示范局部推理；必要时直接解释当前问题</w:t>
                  </w:r>
                </w:p>
              </w:tc>
              <w:tc>
                <w:tcPr>
                  <w:tcW w:w="4309" w:type="dxa"/>
                  <w:tcBorders>
                    <w:top w:val="nil"/>
                    <w:left w:val="nil"/>
                    <w:bottom w:val="single" w:color="000000" w:sz="8" w:space="0"/>
                    <w:right w:val="nil"/>
                    <w:insideH w:val="nil"/>
                    <w:insideV w:val="nil"/>
                  </w:tcBorders>
                  <w:vAlign w:val="center"/>
                </w:tcPr>
                <w:p w14:paraId="1CA2EBE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结合文章理解讲解，尝试重新组织判断</w:t>
                  </w:r>
                </w:p>
              </w:tc>
            </w:tr>
          </w:tbl>
          <w:p w14:paraId="2219CA57">
            <w:pPr>
              <w:spacing w:before="0" w:after="40" w:line="40" w:lineRule="exact"/>
            </w:pPr>
          </w:p>
        </w:tc>
      </w:tr>
      <w:tr w14:paraId="4C99631F">
        <w:trPr>
          <w:jc w:val="center"/>
        </w:trPr>
        <w:tc>
          <w:tcPr>
            <w:tcW w:w="10440" w:type="dxa"/>
            <w:tcMar>
              <w:top w:w="0" w:type="dxa"/>
              <w:left w:w="160" w:type="dxa"/>
              <w:bottom w:w="0" w:type="dxa"/>
              <w:right w:w="160" w:type="dxa"/>
            </w:tcMar>
            <w:vAlign w:val="top"/>
          </w:tcPr>
          <w:p w14:paraId="4B187A35">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帮助程度与追问内容共同决定本轮回复。例如，系统决定讨论“替代解释”后，可以开放地请学生提出其他可能，也可以在其求助后提示比较分组前的特征。对于需要解释术语的学生，先澄清术语再继续分析。</w:t>
            </w:r>
          </w:p>
        </w:tc>
      </w:tr>
      <w:tr w14:paraId="717A4A32">
        <w:trPr>
          <w:jc w:val="center"/>
        </w:trPr>
        <w:tc>
          <w:tcPr>
            <w:tcW w:w="10440" w:type="dxa"/>
            <w:tcMar>
              <w:top w:w="0" w:type="dxa"/>
              <w:left w:w="160" w:type="dxa"/>
              <w:bottom w:w="0" w:type="dxa"/>
              <w:right w:w="160" w:type="dxa"/>
            </w:tcMar>
            <w:vAlign w:val="top"/>
          </w:tcPr>
          <w:p w14:paraId="3208AD2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当学生明确求助或回答持续没有推进时，Agent增加帮助的具体程度；明确存在知识缺口时，可直接提供讲解；学生已经能够自主定位依据或建立推理联系时，减少相应提示。解释已经充分、现有信息不足以继续判断，或用户希望跳过和结束时，停止当前追问。界面提供请求提示、请求讲解、切换问题和结束讨论的入口。</w:t>
            </w:r>
          </w:p>
        </w:tc>
      </w:tr>
      <w:tr w14:paraId="0A67D3E7">
        <w:trPr>
          <w:jc w:val="center"/>
        </w:trPr>
        <w:tc>
          <w:tcPr>
            <w:tcW w:w="10440" w:type="dxa"/>
            <w:tcMar>
              <w:top w:w="0" w:type="dxa"/>
              <w:left w:w="160" w:type="dxa"/>
              <w:bottom w:w="0" w:type="dxa"/>
              <w:right w:w="160" w:type="dxa"/>
            </w:tcMar>
            <w:vAlign w:val="top"/>
          </w:tcPr>
          <w:p w14:paraId="78CBAA3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每轮交互依次完成：确定当前讨论的作者主张、研究做法或学生评价；结合原文核对理解和依据；识别需要澄清的论证关系；选择澄清、追问、提示、讲解、确认或结束；确定帮助程度；生成并检查回复；更新讨论记录。回复原则上围绕一个主要问题展开，记录保存已形成的判断、依据、解释、已提供的帮助及未解决的问题。</w:t>
            </w:r>
          </w:p>
        </w:tc>
      </w:tr>
      <w:tr w14:paraId="5952FDB0">
        <w:trPr>
          <w:jc w:val="center"/>
        </w:trPr>
        <w:tc>
          <w:tcPr>
            <w:tcW w:w="10440" w:type="dxa"/>
            <w:tcMar>
              <w:top w:w="0" w:type="dxa"/>
              <w:left w:w="160" w:type="dxa"/>
              <w:bottom w:w="0" w:type="dxa"/>
              <w:right w:w="160" w:type="dxa"/>
            </w:tcMar>
            <w:vAlign w:val="top"/>
          </w:tcPr>
          <w:p w14:paraId="0599617D">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表16  Agent每轮交互流程</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72B83451">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3D1E564E">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每轮环节</w:t>
                  </w:r>
                </w:p>
              </w:tc>
              <w:tc>
                <w:tcPr>
                  <w:tcW w:w="3685" w:type="dxa"/>
                  <w:tcBorders>
                    <w:top w:val="single" w:color="000000" w:sz="8" w:space="0"/>
                    <w:left w:val="nil"/>
                    <w:bottom w:val="single" w:color="000000" w:sz="4" w:space="0"/>
                    <w:right w:val="nil"/>
                    <w:insideH w:val="nil"/>
                    <w:insideV w:val="nil"/>
                  </w:tcBorders>
                  <w:vAlign w:val="center"/>
                </w:tcPr>
                <w:p w14:paraId="1FAA4EB3">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主要工作</w:t>
                  </w:r>
                </w:p>
              </w:tc>
              <w:tc>
                <w:tcPr>
                  <w:tcW w:w="4309" w:type="dxa"/>
                  <w:tcBorders>
                    <w:top w:val="single" w:color="000000" w:sz="8" w:space="0"/>
                    <w:left w:val="nil"/>
                    <w:bottom w:val="single" w:color="000000" w:sz="4" w:space="0"/>
                    <w:right w:val="nil"/>
                    <w:insideH w:val="nil"/>
                    <w:insideV w:val="nil"/>
                  </w:tcBorders>
                  <w:vAlign w:val="center"/>
                </w:tcPr>
                <w:p w14:paraId="7060E6E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形成的记录</w:t>
                  </w:r>
                </w:p>
              </w:tc>
            </w:tr>
            <w:tr w14:paraId="5167A28C">
              <w:trPr>
                <w:cantSplit/>
                <w:jc w:val="center"/>
              </w:trPr>
              <w:tc>
                <w:tcPr>
                  <w:tcW w:w="1928" w:type="dxa"/>
                  <w:tcBorders>
                    <w:top w:val="nil"/>
                    <w:left w:val="nil"/>
                    <w:bottom w:val="nil"/>
                    <w:right w:val="nil"/>
                    <w:insideH w:val="nil"/>
                    <w:insideV w:val="nil"/>
                  </w:tcBorders>
                  <w:vAlign w:val="center"/>
                </w:tcPr>
                <w:p w14:paraId="6A4FB08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确定讨论对象</w:t>
                  </w:r>
                </w:p>
              </w:tc>
              <w:tc>
                <w:tcPr>
                  <w:tcW w:w="3685" w:type="dxa"/>
                  <w:tcBorders>
                    <w:top w:val="nil"/>
                    <w:left w:val="nil"/>
                    <w:bottom w:val="nil"/>
                    <w:right w:val="nil"/>
                    <w:insideH w:val="nil"/>
                    <w:insideV w:val="nil"/>
                  </w:tcBorders>
                  <w:vAlign w:val="center"/>
                </w:tcPr>
                <w:p w14:paraId="6B65201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明确涉及的作者结论、研究做法或学生评价</w:t>
                  </w:r>
                </w:p>
              </w:tc>
              <w:tc>
                <w:tcPr>
                  <w:tcW w:w="4309" w:type="dxa"/>
                  <w:tcBorders>
                    <w:top w:val="nil"/>
                    <w:left w:val="nil"/>
                    <w:bottom w:val="nil"/>
                    <w:right w:val="nil"/>
                    <w:insideH w:val="nil"/>
                    <w:insideV w:val="nil"/>
                  </w:tcBorders>
                  <w:vAlign w:val="center"/>
                </w:tcPr>
                <w:p w14:paraId="225DF6A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当前主题、相关段落与用户意图</w:t>
                  </w:r>
                </w:p>
              </w:tc>
            </w:tr>
            <w:tr w14:paraId="3F1EAC24">
              <w:trPr>
                <w:cantSplit/>
                <w:jc w:val="center"/>
              </w:trPr>
              <w:tc>
                <w:tcPr>
                  <w:tcW w:w="1928" w:type="dxa"/>
                  <w:tcBorders>
                    <w:top w:val="nil"/>
                    <w:left w:val="nil"/>
                    <w:bottom w:val="nil"/>
                    <w:right w:val="nil"/>
                    <w:insideH w:val="nil"/>
                    <w:insideV w:val="nil"/>
                  </w:tcBorders>
                  <w:vAlign w:val="center"/>
                </w:tcPr>
                <w:p w14:paraId="693AAA2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核对理解和依据</w:t>
                  </w:r>
                </w:p>
              </w:tc>
              <w:tc>
                <w:tcPr>
                  <w:tcW w:w="3685" w:type="dxa"/>
                  <w:tcBorders>
                    <w:top w:val="nil"/>
                    <w:left w:val="nil"/>
                    <w:bottom w:val="nil"/>
                    <w:right w:val="nil"/>
                    <w:insideH w:val="nil"/>
                    <w:insideV w:val="nil"/>
                  </w:tcBorders>
                  <w:vAlign w:val="center"/>
                </w:tcPr>
                <w:p w14:paraId="4E56B54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检查原文是否支持当前理解，必要时先澄清</w:t>
                  </w:r>
                </w:p>
              </w:tc>
              <w:tc>
                <w:tcPr>
                  <w:tcW w:w="4309" w:type="dxa"/>
                  <w:tcBorders>
                    <w:top w:val="nil"/>
                    <w:left w:val="nil"/>
                    <w:bottom w:val="nil"/>
                    <w:right w:val="nil"/>
                    <w:insideH w:val="nil"/>
                    <w:insideV w:val="nil"/>
                  </w:tcBorders>
                  <w:vAlign w:val="center"/>
                </w:tcPr>
                <w:p w14:paraId="0A9AEED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已确认信息与待核对信息</w:t>
                  </w:r>
                </w:p>
              </w:tc>
            </w:tr>
            <w:tr w14:paraId="16F0FED7">
              <w:trPr>
                <w:cantSplit/>
                <w:jc w:val="center"/>
              </w:trPr>
              <w:tc>
                <w:tcPr>
                  <w:tcW w:w="1928" w:type="dxa"/>
                  <w:tcBorders>
                    <w:top w:val="nil"/>
                    <w:left w:val="nil"/>
                    <w:bottom w:val="nil"/>
                    <w:right w:val="nil"/>
                    <w:insideH w:val="nil"/>
                    <w:insideV w:val="nil"/>
                  </w:tcBorders>
                  <w:vAlign w:val="center"/>
                </w:tcPr>
                <w:p w14:paraId="6954459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分析当前论证</w:t>
                  </w:r>
                </w:p>
              </w:tc>
              <w:tc>
                <w:tcPr>
                  <w:tcW w:w="3685" w:type="dxa"/>
                  <w:tcBorders>
                    <w:top w:val="nil"/>
                    <w:left w:val="nil"/>
                    <w:bottom w:val="nil"/>
                    <w:right w:val="nil"/>
                    <w:insideH w:val="nil"/>
                    <w:insideV w:val="nil"/>
                  </w:tcBorders>
                  <w:vAlign w:val="center"/>
                </w:tcPr>
                <w:p w14:paraId="034567F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判断主张、依据、理由或限定条件中哪部分需要推进</w:t>
                  </w:r>
                </w:p>
              </w:tc>
              <w:tc>
                <w:tcPr>
                  <w:tcW w:w="4309" w:type="dxa"/>
                  <w:tcBorders>
                    <w:top w:val="nil"/>
                    <w:left w:val="nil"/>
                    <w:bottom w:val="nil"/>
                    <w:right w:val="nil"/>
                    <w:insideH w:val="nil"/>
                    <w:insideV w:val="nil"/>
                  </w:tcBorders>
                  <w:vAlign w:val="center"/>
                </w:tcPr>
                <w:p w14:paraId="487DEB6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已有论证及待澄清关系</w:t>
                  </w:r>
                </w:p>
              </w:tc>
            </w:tr>
            <w:tr w14:paraId="5DECD56F">
              <w:trPr>
                <w:cantSplit/>
                <w:jc w:val="center"/>
              </w:trPr>
              <w:tc>
                <w:tcPr>
                  <w:tcW w:w="1928" w:type="dxa"/>
                  <w:tcBorders>
                    <w:top w:val="nil"/>
                    <w:left w:val="nil"/>
                    <w:bottom w:val="nil"/>
                    <w:right w:val="nil"/>
                    <w:insideH w:val="nil"/>
                    <w:insideV w:val="nil"/>
                  </w:tcBorders>
                  <w:vAlign w:val="center"/>
                </w:tcPr>
                <w:p w14:paraId="1306B15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选择教学动作</w:t>
                  </w:r>
                </w:p>
              </w:tc>
              <w:tc>
                <w:tcPr>
                  <w:tcW w:w="3685" w:type="dxa"/>
                  <w:tcBorders>
                    <w:top w:val="nil"/>
                    <w:left w:val="nil"/>
                    <w:bottom w:val="nil"/>
                    <w:right w:val="nil"/>
                    <w:insideH w:val="nil"/>
                    <w:insideV w:val="nil"/>
                  </w:tcBorders>
                  <w:vAlign w:val="center"/>
                </w:tcPr>
                <w:p w14:paraId="5D9C00C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在澄清、追问、提示、讲解、确认和结束之间选择</w:t>
                  </w:r>
                </w:p>
              </w:tc>
              <w:tc>
                <w:tcPr>
                  <w:tcW w:w="4309" w:type="dxa"/>
                  <w:tcBorders>
                    <w:top w:val="nil"/>
                    <w:left w:val="nil"/>
                    <w:bottom w:val="nil"/>
                    <w:right w:val="nil"/>
                    <w:insideH w:val="nil"/>
                    <w:insideV w:val="nil"/>
                  </w:tcBorders>
                  <w:vAlign w:val="center"/>
                </w:tcPr>
                <w:p w14:paraId="4836E73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本轮动作及选择依据</w:t>
                  </w:r>
                </w:p>
              </w:tc>
            </w:tr>
            <w:tr w14:paraId="25372B1D">
              <w:trPr>
                <w:cantSplit/>
                <w:jc w:val="center"/>
              </w:trPr>
              <w:tc>
                <w:tcPr>
                  <w:tcW w:w="1928" w:type="dxa"/>
                  <w:tcBorders>
                    <w:top w:val="nil"/>
                    <w:left w:val="nil"/>
                    <w:bottom w:val="nil"/>
                    <w:right w:val="nil"/>
                    <w:insideH w:val="nil"/>
                    <w:insideV w:val="nil"/>
                  </w:tcBorders>
                  <w:vAlign w:val="center"/>
                </w:tcPr>
                <w:p w14:paraId="456C7BC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确定帮助程度</w:t>
                  </w:r>
                </w:p>
              </w:tc>
              <w:tc>
                <w:tcPr>
                  <w:tcW w:w="3685" w:type="dxa"/>
                  <w:tcBorders>
                    <w:top w:val="nil"/>
                    <w:left w:val="nil"/>
                    <w:bottom w:val="nil"/>
                    <w:right w:val="nil"/>
                    <w:insideH w:val="nil"/>
                    <w:insideV w:val="nil"/>
                  </w:tcBorders>
                  <w:vAlign w:val="center"/>
                </w:tcPr>
                <w:p w14:paraId="4A7EF05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根据回答、求助和已有提示调整支持</w:t>
                  </w:r>
                </w:p>
              </w:tc>
              <w:tc>
                <w:tcPr>
                  <w:tcW w:w="4309" w:type="dxa"/>
                  <w:tcBorders>
                    <w:top w:val="nil"/>
                    <w:left w:val="nil"/>
                    <w:bottom w:val="nil"/>
                    <w:right w:val="nil"/>
                    <w:insideH w:val="nil"/>
                    <w:insideV w:val="nil"/>
                  </w:tcBorders>
                  <w:vAlign w:val="center"/>
                </w:tcPr>
                <w:p w14:paraId="3787E25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当前帮助层级与已提供线索</w:t>
                  </w:r>
                </w:p>
              </w:tc>
            </w:tr>
            <w:tr w14:paraId="19D24F58">
              <w:trPr>
                <w:cantSplit/>
                <w:jc w:val="center"/>
              </w:trPr>
              <w:tc>
                <w:tcPr>
                  <w:tcW w:w="1928" w:type="dxa"/>
                  <w:tcBorders>
                    <w:top w:val="nil"/>
                    <w:left w:val="nil"/>
                    <w:bottom w:val="nil"/>
                    <w:right w:val="nil"/>
                    <w:insideH w:val="nil"/>
                    <w:insideV w:val="nil"/>
                  </w:tcBorders>
                  <w:vAlign w:val="center"/>
                </w:tcPr>
                <w:p w14:paraId="4E4B62B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生成并检查回复</w:t>
                  </w:r>
                </w:p>
              </w:tc>
              <w:tc>
                <w:tcPr>
                  <w:tcW w:w="3685" w:type="dxa"/>
                  <w:tcBorders>
                    <w:top w:val="nil"/>
                    <w:left w:val="nil"/>
                    <w:bottom w:val="nil"/>
                    <w:right w:val="nil"/>
                    <w:insideH w:val="nil"/>
                    <w:insideV w:val="nil"/>
                  </w:tcBorders>
                  <w:vAlign w:val="center"/>
                </w:tcPr>
                <w:p w14:paraId="5B914D5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生成自然语言，核对事实、引用及策略执行</w:t>
                  </w:r>
                </w:p>
              </w:tc>
              <w:tc>
                <w:tcPr>
                  <w:tcW w:w="4309" w:type="dxa"/>
                  <w:tcBorders>
                    <w:top w:val="nil"/>
                    <w:left w:val="nil"/>
                    <w:bottom w:val="nil"/>
                    <w:right w:val="nil"/>
                    <w:insideH w:val="nil"/>
                    <w:insideV w:val="nil"/>
                  </w:tcBorders>
                  <w:vAlign w:val="center"/>
                </w:tcPr>
                <w:p w14:paraId="09F1ED7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最终回复、引用位置及检查结果</w:t>
                  </w:r>
                </w:p>
              </w:tc>
            </w:tr>
            <w:tr w14:paraId="1EB9662D">
              <w:trPr>
                <w:cantSplit/>
                <w:jc w:val="center"/>
              </w:trPr>
              <w:tc>
                <w:tcPr>
                  <w:tcW w:w="1928" w:type="dxa"/>
                  <w:tcBorders>
                    <w:top w:val="nil"/>
                    <w:left w:val="nil"/>
                    <w:bottom w:val="single" w:color="000000" w:sz="8" w:space="0"/>
                    <w:right w:val="nil"/>
                    <w:insideH w:val="nil"/>
                    <w:insideV w:val="nil"/>
                  </w:tcBorders>
                  <w:vAlign w:val="center"/>
                </w:tcPr>
                <w:p w14:paraId="73AB949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更新讨论状态</w:t>
                  </w:r>
                </w:p>
              </w:tc>
              <w:tc>
                <w:tcPr>
                  <w:tcW w:w="3685" w:type="dxa"/>
                  <w:tcBorders>
                    <w:top w:val="nil"/>
                    <w:left w:val="nil"/>
                    <w:bottom w:val="single" w:color="000000" w:sz="8" w:space="0"/>
                    <w:right w:val="nil"/>
                    <w:insideH w:val="nil"/>
                    <w:insideV w:val="nil"/>
                  </w:tcBorders>
                  <w:vAlign w:val="center"/>
                </w:tcPr>
                <w:p w14:paraId="6483153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保存学生新生成的解释、修正和未解决问题</w:t>
                  </w:r>
                </w:p>
              </w:tc>
              <w:tc>
                <w:tcPr>
                  <w:tcW w:w="4309" w:type="dxa"/>
                  <w:tcBorders>
                    <w:top w:val="nil"/>
                    <w:left w:val="nil"/>
                    <w:bottom w:val="single" w:color="000000" w:sz="8" w:space="0"/>
                    <w:right w:val="nil"/>
                    <w:insideH w:val="nil"/>
                    <w:insideV w:val="nil"/>
                  </w:tcBorders>
                  <w:vAlign w:val="center"/>
                </w:tcPr>
                <w:p w14:paraId="76CDD3D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后续对话可用的跨轮记录</w:t>
                  </w:r>
                </w:p>
              </w:tc>
            </w:tr>
          </w:tbl>
          <w:p w14:paraId="200434E2">
            <w:pPr>
              <w:spacing w:before="0" w:after="40" w:line="40" w:lineRule="exact"/>
            </w:pPr>
          </w:p>
        </w:tc>
      </w:tr>
      <w:tr w14:paraId="3B6587C3">
        <w:trPr>
          <w:jc w:val="center"/>
        </w:trPr>
        <w:tc>
          <w:tcPr>
            <w:tcW w:w="10440" w:type="dxa"/>
            <w:tcMar>
              <w:top w:w="0" w:type="dxa"/>
              <w:left w:w="160" w:type="dxa"/>
              <w:bottom w:w="0" w:type="dxa"/>
              <w:right w:w="160" w:type="dxa"/>
            </w:tcMar>
            <w:vAlign w:val="top"/>
          </w:tcPr>
          <w:p w14:paraId="7C4FC2E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实现上设置输入理解、自适应策略选择、跨轮记忆及事实与交互检查四个模块。策略选择与自然语言生成相衔接，使追问对象、支持程度及停止条件能够被记录与检查。事实检查结合原文定位核对引用，交互检查关注误读、附和、重复追问及过度提示。</w:t>
            </w:r>
          </w:p>
        </w:tc>
      </w:tr>
      <w:tr w14:paraId="4B05D244">
        <w:trPr>
          <w:jc w:val="center"/>
        </w:trPr>
        <w:tc>
          <w:tcPr>
            <w:tcW w:w="10440" w:type="dxa"/>
            <w:tcMar>
              <w:top w:w="0" w:type="dxa"/>
              <w:left w:w="160" w:type="dxa"/>
              <w:bottom w:w="0" w:type="dxa"/>
              <w:right w:w="160" w:type="dxa"/>
            </w:tcMar>
            <w:vAlign w:val="top"/>
          </w:tcPr>
          <w:p w14:paraId="34704FAA">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2.3.4 交互示例与开发检查</w:t>
            </w:r>
          </w:p>
          <w:p w14:paraId="15DF732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以下以假设性的培训研究说明交互：文章报告，自愿参加培训者的考试成绩高于未参加者，并据此作出培训提高成绩的结论。示例展示追问如何随学生回应变化，开发时将用不同文章和不同回答检验同一规则。</w:t>
            </w:r>
          </w:p>
        </w:tc>
      </w:tr>
      <w:tr w14:paraId="13C2B215">
        <w:trPr>
          <w:jc w:val="center"/>
        </w:trPr>
        <w:tc>
          <w:tcPr>
            <w:tcW w:w="10440" w:type="dxa"/>
            <w:tcMar>
              <w:top w:w="0" w:type="dxa"/>
              <w:left w:w="160" w:type="dxa"/>
              <w:bottom w:w="0" w:type="dxa"/>
              <w:right w:w="160" w:type="dxa"/>
            </w:tcMar>
            <w:vAlign w:val="top"/>
          </w:tcPr>
          <w:p w14:paraId="33374274">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表17  苏格拉底式对话示例</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23A84179">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28CC4B36">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对话进展</w:t>
                  </w:r>
                </w:p>
              </w:tc>
              <w:tc>
                <w:tcPr>
                  <w:tcW w:w="3685" w:type="dxa"/>
                  <w:tcBorders>
                    <w:top w:val="single" w:color="000000" w:sz="8" w:space="0"/>
                    <w:left w:val="nil"/>
                    <w:bottom w:val="single" w:color="000000" w:sz="4" w:space="0"/>
                    <w:right w:val="nil"/>
                    <w:insideH w:val="nil"/>
                    <w:insideV w:val="nil"/>
                  </w:tcBorders>
                  <w:vAlign w:val="center"/>
                </w:tcPr>
                <w:p w14:paraId="400848A3">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回复或行动示例</w:t>
                  </w:r>
                </w:p>
              </w:tc>
              <w:tc>
                <w:tcPr>
                  <w:tcW w:w="4309" w:type="dxa"/>
                  <w:tcBorders>
                    <w:top w:val="single" w:color="000000" w:sz="8" w:space="0"/>
                    <w:left w:val="nil"/>
                    <w:bottom w:val="single" w:color="000000" w:sz="4" w:space="0"/>
                    <w:right w:val="nil"/>
                    <w:insideH w:val="nil"/>
                    <w:insideV w:val="nil"/>
                  </w:tcBorders>
                  <w:vAlign w:val="center"/>
                </w:tcPr>
                <w:p w14:paraId="3EA34536">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设计意图</w:t>
                  </w:r>
                </w:p>
              </w:tc>
            </w:tr>
            <w:tr w14:paraId="246CD495">
              <w:trPr>
                <w:cantSplit/>
                <w:jc w:val="center"/>
              </w:trPr>
              <w:tc>
                <w:tcPr>
                  <w:tcW w:w="1928" w:type="dxa"/>
                  <w:tcBorders>
                    <w:top w:val="nil"/>
                    <w:left w:val="nil"/>
                    <w:bottom w:val="nil"/>
                    <w:right w:val="nil"/>
                    <w:insideH w:val="nil"/>
                    <w:insideV w:val="nil"/>
                  </w:tcBorders>
                  <w:vAlign w:val="center"/>
                </w:tcPr>
                <w:p w14:paraId="349A418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学生接受作者结论</w:t>
                  </w:r>
                </w:p>
              </w:tc>
              <w:tc>
                <w:tcPr>
                  <w:tcW w:w="3685" w:type="dxa"/>
                  <w:tcBorders>
                    <w:top w:val="nil"/>
                    <w:left w:val="nil"/>
                    <w:bottom w:val="nil"/>
                    <w:right w:val="nil"/>
                    <w:insideH w:val="nil"/>
                    <w:insideV w:val="nil"/>
                  </w:tcBorders>
                  <w:vAlign w:val="center"/>
                </w:tcPr>
                <w:p w14:paraId="30CD0EE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学生：“培训组分数更高，说明培训有效。”</w:t>
                  </w:r>
                </w:p>
              </w:tc>
              <w:tc>
                <w:tcPr>
                  <w:tcW w:w="4309" w:type="dxa"/>
                  <w:tcBorders>
                    <w:top w:val="nil"/>
                    <w:left w:val="nil"/>
                    <w:bottom w:val="nil"/>
                    <w:right w:val="nil"/>
                    <w:insideH w:val="nil"/>
                    <w:insideV w:val="nil"/>
                  </w:tcBorders>
                  <w:vAlign w:val="center"/>
                </w:tcPr>
                <w:p w14:paraId="1A5196D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确认学生已经形成判断</w:t>
                  </w:r>
                </w:p>
              </w:tc>
            </w:tr>
            <w:tr w14:paraId="361E0E99">
              <w:trPr>
                <w:cantSplit/>
                <w:jc w:val="center"/>
              </w:trPr>
              <w:tc>
                <w:tcPr>
                  <w:tcW w:w="1928" w:type="dxa"/>
                  <w:tcBorders>
                    <w:top w:val="nil"/>
                    <w:left w:val="nil"/>
                    <w:bottom w:val="nil"/>
                    <w:right w:val="nil"/>
                    <w:insideH w:val="nil"/>
                    <w:insideV w:val="nil"/>
                  </w:tcBorders>
                  <w:vAlign w:val="center"/>
                </w:tcPr>
                <w:p w14:paraId="77B802D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Agent核对依据</w:t>
                  </w:r>
                </w:p>
              </w:tc>
              <w:tc>
                <w:tcPr>
                  <w:tcW w:w="3685" w:type="dxa"/>
                  <w:tcBorders>
                    <w:top w:val="nil"/>
                    <w:left w:val="nil"/>
                    <w:bottom w:val="nil"/>
                    <w:right w:val="nil"/>
                    <w:insideH w:val="nil"/>
                    <w:insideV w:val="nil"/>
                  </w:tcBorders>
                  <w:vAlign w:val="center"/>
                </w:tcPr>
                <w:p w14:paraId="260AD62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“文章中的两组是怎样形成的？这与你刚才的判断有什么关系？”</w:t>
                  </w:r>
                </w:p>
              </w:tc>
              <w:tc>
                <w:tcPr>
                  <w:tcW w:w="4309" w:type="dxa"/>
                  <w:tcBorders>
                    <w:top w:val="nil"/>
                    <w:left w:val="nil"/>
                    <w:bottom w:val="nil"/>
                    <w:right w:val="nil"/>
                    <w:insideH w:val="nil"/>
                    <w:insideV w:val="nil"/>
                  </w:tcBorders>
                  <w:vAlign w:val="center"/>
                </w:tcPr>
                <w:p w14:paraId="5944932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引导关注与因果判断有关的方法信息</w:t>
                  </w:r>
                </w:p>
              </w:tc>
            </w:tr>
            <w:tr w14:paraId="0DD7E75B">
              <w:trPr>
                <w:cantSplit/>
                <w:jc w:val="center"/>
              </w:trPr>
              <w:tc>
                <w:tcPr>
                  <w:tcW w:w="1928" w:type="dxa"/>
                  <w:tcBorders>
                    <w:top w:val="nil"/>
                    <w:left w:val="nil"/>
                    <w:bottom w:val="nil"/>
                    <w:right w:val="nil"/>
                    <w:insideH w:val="nil"/>
                    <w:insideV w:val="nil"/>
                  </w:tcBorders>
                  <w:vAlign w:val="center"/>
                </w:tcPr>
                <w:p w14:paraId="0AFE137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学生找到分组信息</w:t>
                  </w:r>
                </w:p>
              </w:tc>
              <w:tc>
                <w:tcPr>
                  <w:tcW w:w="3685" w:type="dxa"/>
                  <w:tcBorders>
                    <w:top w:val="nil"/>
                    <w:left w:val="nil"/>
                    <w:bottom w:val="nil"/>
                    <w:right w:val="nil"/>
                    <w:insideH w:val="nil"/>
                    <w:insideV w:val="nil"/>
                  </w:tcBorders>
                  <w:vAlign w:val="center"/>
                </w:tcPr>
                <w:p w14:paraId="128BA73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学生：“是学生自己决定是否参加，但我不知道这有什么影响。”</w:t>
                  </w:r>
                </w:p>
              </w:tc>
              <w:tc>
                <w:tcPr>
                  <w:tcW w:w="4309" w:type="dxa"/>
                  <w:tcBorders>
                    <w:top w:val="nil"/>
                    <w:left w:val="nil"/>
                    <w:bottom w:val="nil"/>
                    <w:right w:val="nil"/>
                    <w:insideH w:val="nil"/>
                    <w:insideV w:val="nil"/>
                  </w:tcBorders>
                  <w:vAlign w:val="center"/>
                </w:tcPr>
                <w:p w14:paraId="000D2D2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识别其已有依据而缺少推理联系</w:t>
                  </w:r>
                </w:p>
              </w:tc>
            </w:tr>
            <w:tr w14:paraId="61E2D64C">
              <w:trPr>
                <w:cantSplit/>
                <w:jc w:val="center"/>
              </w:trPr>
              <w:tc>
                <w:tcPr>
                  <w:tcW w:w="1928" w:type="dxa"/>
                  <w:tcBorders>
                    <w:top w:val="nil"/>
                    <w:left w:val="nil"/>
                    <w:bottom w:val="nil"/>
                    <w:right w:val="nil"/>
                    <w:insideH w:val="nil"/>
                    <w:insideV w:val="nil"/>
                  </w:tcBorders>
                  <w:vAlign w:val="center"/>
                </w:tcPr>
                <w:p w14:paraId="3E3D2C4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Agent给方向提示</w:t>
                  </w:r>
                </w:p>
              </w:tc>
              <w:tc>
                <w:tcPr>
                  <w:tcW w:w="3685" w:type="dxa"/>
                  <w:tcBorders>
                    <w:top w:val="nil"/>
                    <w:left w:val="nil"/>
                    <w:bottom w:val="nil"/>
                    <w:right w:val="nil"/>
                    <w:insideH w:val="nil"/>
                    <w:insideV w:val="nil"/>
                  </w:tcBorders>
                  <w:vAlign w:val="center"/>
                </w:tcPr>
                <w:p w14:paraId="2F366DC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“参加之前，两组可能在哪些方面就不一样？这些差异会影响考试成绩吗？”</w:t>
                  </w:r>
                </w:p>
              </w:tc>
              <w:tc>
                <w:tcPr>
                  <w:tcW w:w="4309" w:type="dxa"/>
                  <w:tcBorders>
                    <w:top w:val="nil"/>
                    <w:left w:val="nil"/>
                    <w:bottom w:val="nil"/>
                    <w:right w:val="nil"/>
                    <w:insideH w:val="nil"/>
                    <w:insideV w:val="nil"/>
                  </w:tcBorders>
                  <w:vAlign w:val="center"/>
                </w:tcPr>
                <w:p w14:paraId="5DF5BE2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缩小范围，保留替代解释让学生生成</w:t>
                  </w:r>
                </w:p>
              </w:tc>
            </w:tr>
            <w:tr w14:paraId="5AA0D539">
              <w:trPr>
                <w:cantSplit/>
                <w:jc w:val="center"/>
              </w:trPr>
              <w:tc>
                <w:tcPr>
                  <w:tcW w:w="1928" w:type="dxa"/>
                  <w:tcBorders>
                    <w:top w:val="nil"/>
                    <w:left w:val="nil"/>
                    <w:bottom w:val="nil"/>
                    <w:right w:val="nil"/>
                    <w:insideH w:val="nil"/>
                    <w:insideV w:val="nil"/>
                  </w:tcBorders>
                  <w:vAlign w:val="center"/>
                </w:tcPr>
                <w:p w14:paraId="21B5B0D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学生生成解释</w:t>
                  </w:r>
                </w:p>
              </w:tc>
              <w:tc>
                <w:tcPr>
                  <w:tcW w:w="3685" w:type="dxa"/>
                  <w:tcBorders>
                    <w:top w:val="nil"/>
                    <w:left w:val="nil"/>
                    <w:bottom w:val="nil"/>
                    <w:right w:val="nil"/>
                    <w:insideH w:val="nil"/>
                    <w:insideV w:val="nil"/>
                  </w:tcBorders>
                  <w:vAlign w:val="center"/>
                </w:tcPr>
                <w:p w14:paraId="2CE8EAA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学生：“愿意参加的人可能本来就更有动力，动力也可能让成绩更高。”</w:t>
                  </w:r>
                </w:p>
              </w:tc>
              <w:tc>
                <w:tcPr>
                  <w:tcW w:w="4309" w:type="dxa"/>
                  <w:tcBorders>
                    <w:top w:val="nil"/>
                    <w:left w:val="nil"/>
                    <w:bottom w:val="nil"/>
                    <w:right w:val="nil"/>
                    <w:insideH w:val="nil"/>
                    <w:insideV w:val="nil"/>
                  </w:tcBorders>
                  <w:vAlign w:val="center"/>
                </w:tcPr>
                <w:p w14:paraId="715D591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把分组方式、第三变量与结果联系起来</w:t>
                  </w:r>
                </w:p>
              </w:tc>
            </w:tr>
            <w:tr w14:paraId="29515D81">
              <w:trPr>
                <w:cantSplit/>
                <w:jc w:val="center"/>
              </w:trPr>
              <w:tc>
                <w:tcPr>
                  <w:tcW w:w="1928" w:type="dxa"/>
                  <w:tcBorders>
                    <w:top w:val="nil"/>
                    <w:left w:val="nil"/>
                    <w:bottom w:val="nil"/>
                    <w:right w:val="nil"/>
                    <w:insideH w:val="nil"/>
                    <w:insideV w:val="nil"/>
                  </w:tcBorders>
                  <w:vAlign w:val="center"/>
                </w:tcPr>
                <w:p w14:paraId="7235376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Agent追问判断边界</w:t>
                  </w:r>
                </w:p>
              </w:tc>
              <w:tc>
                <w:tcPr>
                  <w:tcW w:w="3685" w:type="dxa"/>
                  <w:tcBorders>
                    <w:top w:val="nil"/>
                    <w:left w:val="nil"/>
                    <w:bottom w:val="nil"/>
                    <w:right w:val="nil"/>
                    <w:insideH w:val="nil"/>
                    <w:insideV w:val="nil"/>
                  </w:tcBorders>
                  <w:vAlign w:val="center"/>
                </w:tcPr>
                <w:p w14:paraId="1B9FF01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“如果存在这种可能，你会怎样修改‘培训提高了成绩’这个说法？”</w:t>
                  </w:r>
                </w:p>
              </w:tc>
              <w:tc>
                <w:tcPr>
                  <w:tcW w:w="4309" w:type="dxa"/>
                  <w:tcBorders>
                    <w:top w:val="nil"/>
                    <w:left w:val="nil"/>
                    <w:bottom w:val="nil"/>
                    <w:right w:val="nil"/>
                    <w:insideH w:val="nil"/>
                    <w:insideV w:val="nil"/>
                  </w:tcBorders>
                  <w:vAlign w:val="center"/>
                </w:tcPr>
                <w:p w14:paraId="57FBB09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引导区分观察差异与因果结论</w:t>
                  </w:r>
                </w:p>
              </w:tc>
            </w:tr>
            <w:tr w14:paraId="30B4BC9B">
              <w:trPr>
                <w:cantSplit/>
                <w:jc w:val="center"/>
              </w:trPr>
              <w:tc>
                <w:tcPr>
                  <w:tcW w:w="1928" w:type="dxa"/>
                  <w:tcBorders>
                    <w:top w:val="nil"/>
                    <w:left w:val="nil"/>
                    <w:bottom w:val="single" w:color="000000" w:sz="8" w:space="0"/>
                    <w:right w:val="nil"/>
                    <w:insideH w:val="nil"/>
                    <w:insideV w:val="nil"/>
                  </w:tcBorders>
                  <w:vAlign w:val="center"/>
                </w:tcPr>
                <w:p w14:paraId="2B0AB0E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学生修正判断</w:t>
                  </w:r>
                </w:p>
              </w:tc>
              <w:tc>
                <w:tcPr>
                  <w:tcW w:w="3685" w:type="dxa"/>
                  <w:tcBorders>
                    <w:top w:val="nil"/>
                    <w:left w:val="nil"/>
                    <w:bottom w:val="single" w:color="000000" w:sz="8" w:space="0"/>
                    <w:right w:val="nil"/>
                    <w:insideH w:val="nil"/>
                    <w:insideV w:val="nil"/>
                  </w:tcBorders>
                  <w:vAlign w:val="center"/>
                </w:tcPr>
                <w:p w14:paraId="528A7FD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学生：“现在只能说明参加者成绩更高，还不能确定差异来自培训。”</w:t>
                  </w:r>
                </w:p>
              </w:tc>
              <w:tc>
                <w:tcPr>
                  <w:tcW w:w="4309" w:type="dxa"/>
                  <w:tcBorders>
                    <w:top w:val="nil"/>
                    <w:left w:val="nil"/>
                    <w:bottom w:val="single" w:color="000000" w:sz="8" w:space="0"/>
                    <w:right w:val="nil"/>
                    <w:insideH w:val="nil"/>
                    <w:insideV w:val="nil"/>
                  </w:tcBorders>
                  <w:vAlign w:val="center"/>
                </w:tcPr>
                <w:p w14:paraId="001C3BD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形成有理由且有限定的评价</w:t>
                  </w:r>
                </w:p>
              </w:tc>
            </w:tr>
          </w:tbl>
          <w:p w14:paraId="3BC172AD">
            <w:pPr>
              <w:spacing w:before="0" w:after="40" w:line="40" w:lineRule="exact"/>
            </w:pPr>
          </w:p>
        </w:tc>
      </w:tr>
      <w:tr w14:paraId="692BD0D6">
        <w:trPr>
          <w:jc w:val="center"/>
        </w:trPr>
        <w:tc>
          <w:tcPr>
            <w:tcW w:w="10440" w:type="dxa"/>
            <w:tcMar>
              <w:top w:w="0" w:type="dxa"/>
              <w:left w:w="160" w:type="dxa"/>
              <w:bottom w:w="0" w:type="dxa"/>
              <w:right w:w="160" w:type="dxa"/>
            </w:tcMar>
            <w:vAlign w:val="top"/>
          </w:tcPr>
          <w:p w14:paraId="7B88BD1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如果学生在上述过程中无法理解混淆变量，系统可以先作必要讲解，再请其结合文章说明影响；如果学生已经完整指出选择差异及因果限制，系统则确认后结束当前话题。对话结束记录包括学生最终判断、依据及仍有疑问的部分。</w:t>
            </w:r>
          </w:p>
        </w:tc>
      </w:tr>
      <w:tr w14:paraId="175E14EE">
        <w:trPr>
          <w:jc w:val="center"/>
        </w:trPr>
        <w:tc>
          <w:tcPr>
            <w:tcW w:w="10440" w:type="dxa"/>
            <w:tcMar>
              <w:top w:w="0" w:type="dxa"/>
              <w:left w:w="160" w:type="dxa"/>
              <w:bottom w:w="0" w:type="dxa"/>
              <w:right w:w="160" w:type="dxa"/>
            </w:tcMar>
            <w:vAlign w:val="top"/>
          </w:tcPr>
          <w:p w14:paraId="7594A23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开发检查围绕输入理解、事实准确性、策略执行及跨轮连续性展开。研究者准备包括术语求助、理由不足、错误批评、完整解释和主动结束在内的测试情境，检查Agent能否采用相应动作。对原文不存在的信息、误解图表、无依据赞同、连续重复及用户已结束仍追问等情况，记录触发输入和修改结果。</w:t>
            </w:r>
          </w:p>
        </w:tc>
      </w:tr>
      <w:tr w14:paraId="20DDDFCB">
        <w:trPr>
          <w:jc w:val="center"/>
        </w:trPr>
        <w:tc>
          <w:tcPr>
            <w:tcW w:w="10440" w:type="dxa"/>
            <w:tcMar>
              <w:top w:w="0" w:type="dxa"/>
              <w:left w:w="160" w:type="dxa"/>
              <w:bottom w:w="0" w:type="dxa"/>
              <w:right w:w="160" w:type="dxa"/>
            </w:tcMar>
            <w:vAlign w:val="top"/>
          </w:tcPr>
          <w:p w14:paraId="131EC43D">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表18  开发检查情境与预期表现</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378E79C3">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14D6E3B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检查情境</w:t>
                  </w:r>
                </w:p>
              </w:tc>
              <w:tc>
                <w:tcPr>
                  <w:tcW w:w="3685" w:type="dxa"/>
                  <w:tcBorders>
                    <w:top w:val="single" w:color="000000" w:sz="8" w:space="0"/>
                    <w:left w:val="nil"/>
                    <w:bottom w:val="single" w:color="000000" w:sz="4" w:space="0"/>
                    <w:right w:val="nil"/>
                    <w:insideH w:val="nil"/>
                    <w:insideV w:val="nil"/>
                  </w:tcBorders>
                  <w:vAlign w:val="center"/>
                </w:tcPr>
                <w:p w14:paraId="2F69AC6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预期表现</w:t>
                  </w:r>
                </w:p>
              </w:tc>
              <w:tc>
                <w:tcPr>
                  <w:tcW w:w="4309" w:type="dxa"/>
                  <w:tcBorders>
                    <w:top w:val="single" w:color="000000" w:sz="8" w:space="0"/>
                    <w:left w:val="nil"/>
                    <w:bottom w:val="single" w:color="000000" w:sz="4" w:space="0"/>
                    <w:right w:val="nil"/>
                    <w:insideH w:val="nil"/>
                    <w:insideV w:val="nil"/>
                  </w:tcBorders>
                  <w:vAlign w:val="center"/>
                </w:tcPr>
                <w:p w14:paraId="1FA2851A">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调整方向</w:t>
                  </w:r>
                </w:p>
              </w:tc>
            </w:tr>
            <w:tr w14:paraId="5715D747">
              <w:trPr>
                <w:cantSplit/>
                <w:jc w:val="center"/>
              </w:trPr>
              <w:tc>
                <w:tcPr>
                  <w:tcW w:w="1928" w:type="dxa"/>
                  <w:tcBorders>
                    <w:top w:val="nil"/>
                    <w:left w:val="nil"/>
                    <w:bottom w:val="nil"/>
                    <w:right w:val="nil"/>
                    <w:insideH w:val="nil"/>
                    <w:insideV w:val="nil"/>
                  </w:tcBorders>
                  <w:vAlign w:val="center"/>
                </w:tcPr>
                <w:p w14:paraId="22EAB3C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用户请求基础概念解释</w:t>
                  </w:r>
                </w:p>
              </w:tc>
              <w:tc>
                <w:tcPr>
                  <w:tcW w:w="3685" w:type="dxa"/>
                  <w:tcBorders>
                    <w:top w:val="nil"/>
                    <w:left w:val="nil"/>
                    <w:bottom w:val="nil"/>
                    <w:right w:val="nil"/>
                    <w:insideH w:val="nil"/>
                    <w:insideV w:val="nil"/>
                  </w:tcBorders>
                  <w:vAlign w:val="center"/>
                </w:tcPr>
                <w:p w14:paraId="1431AE6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给出与原文有关、便于理解的说明</w:t>
                  </w:r>
                </w:p>
              </w:tc>
              <w:tc>
                <w:tcPr>
                  <w:tcW w:w="4309" w:type="dxa"/>
                  <w:tcBorders>
                    <w:top w:val="nil"/>
                    <w:left w:val="nil"/>
                    <w:bottom w:val="nil"/>
                    <w:right w:val="nil"/>
                    <w:insideH w:val="nil"/>
                    <w:insideV w:val="nil"/>
                  </w:tcBorders>
                  <w:vAlign w:val="center"/>
                </w:tcPr>
                <w:p w14:paraId="3DE1B02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修改入口识别与概念解释规则</w:t>
                  </w:r>
                </w:p>
              </w:tc>
            </w:tr>
            <w:tr w14:paraId="0F10F0FF">
              <w:trPr>
                <w:cantSplit/>
                <w:jc w:val="center"/>
              </w:trPr>
              <w:tc>
                <w:tcPr>
                  <w:tcW w:w="1928" w:type="dxa"/>
                  <w:tcBorders>
                    <w:top w:val="nil"/>
                    <w:left w:val="nil"/>
                    <w:bottom w:val="nil"/>
                    <w:right w:val="nil"/>
                    <w:insideH w:val="nil"/>
                    <w:insideV w:val="nil"/>
                  </w:tcBorders>
                  <w:vAlign w:val="center"/>
                </w:tcPr>
                <w:p w14:paraId="1FB3FF0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用户判断正确但理由不足</w:t>
                  </w:r>
                </w:p>
              </w:tc>
              <w:tc>
                <w:tcPr>
                  <w:tcW w:w="3685" w:type="dxa"/>
                  <w:tcBorders>
                    <w:top w:val="nil"/>
                    <w:left w:val="nil"/>
                    <w:bottom w:val="nil"/>
                    <w:right w:val="nil"/>
                    <w:insideH w:val="nil"/>
                    <w:insideV w:val="nil"/>
                  </w:tcBorders>
                  <w:vAlign w:val="center"/>
                </w:tcPr>
                <w:p w14:paraId="7A99C45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围绕缺失关系继续追问</w:t>
                  </w:r>
                </w:p>
              </w:tc>
              <w:tc>
                <w:tcPr>
                  <w:tcW w:w="4309" w:type="dxa"/>
                  <w:tcBorders>
                    <w:top w:val="nil"/>
                    <w:left w:val="nil"/>
                    <w:bottom w:val="nil"/>
                    <w:right w:val="nil"/>
                    <w:insideH w:val="nil"/>
                    <w:insideV w:val="nil"/>
                  </w:tcBorders>
                  <w:vAlign w:val="center"/>
                </w:tcPr>
                <w:p w14:paraId="1B961E9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明确当前推理目标，减少泛泛提问</w:t>
                  </w:r>
                </w:p>
              </w:tc>
            </w:tr>
            <w:tr w14:paraId="21027C4A">
              <w:trPr>
                <w:cantSplit/>
                <w:jc w:val="center"/>
              </w:trPr>
              <w:tc>
                <w:tcPr>
                  <w:tcW w:w="1928" w:type="dxa"/>
                  <w:tcBorders>
                    <w:top w:val="nil"/>
                    <w:left w:val="nil"/>
                    <w:bottom w:val="nil"/>
                    <w:right w:val="nil"/>
                    <w:insideH w:val="nil"/>
                    <w:insideV w:val="nil"/>
                  </w:tcBorders>
                  <w:vAlign w:val="center"/>
                </w:tcPr>
                <w:p w14:paraId="7A843A7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用户提出不成立的批评</w:t>
                  </w:r>
                </w:p>
              </w:tc>
              <w:tc>
                <w:tcPr>
                  <w:tcW w:w="3685" w:type="dxa"/>
                  <w:tcBorders>
                    <w:top w:val="nil"/>
                    <w:left w:val="nil"/>
                    <w:bottom w:val="nil"/>
                    <w:right w:val="nil"/>
                    <w:insideH w:val="nil"/>
                    <w:insideV w:val="nil"/>
                  </w:tcBorders>
                  <w:vAlign w:val="center"/>
                </w:tcPr>
                <w:p w14:paraId="106BB3A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回到原文检验依据及方法原则</w:t>
                  </w:r>
                </w:p>
              </w:tc>
              <w:tc>
                <w:tcPr>
                  <w:tcW w:w="4309" w:type="dxa"/>
                  <w:tcBorders>
                    <w:top w:val="nil"/>
                    <w:left w:val="nil"/>
                    <w:bottom w:val="nil"/>
                    <w:right w:val="nil"/>
                    <w:insideH w:val="nil"/>
                    <w:insideV w:val="nil"/>
                  </w:tcBorders>
                  <w:vAlign w:val="center"/>
                </w:tcPr>
                <w:p w14:paraId="51FC2AD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改善事实核对，避免直接附和</w:t>
                  </w:r>
                </w:p>
              </w:tc>
            </w:tr>
            <w:tr w14:paraId="6C44B4EC">
              <w:trPr>
                <w:cantSplit/>
                <w:jc w:val="center"/>
              </w:trPr>
              <w:tc>
                <w:tcPr>
                  <w:tcW w:w="1928" w:type="dxa"/>
                  <w:tcBorders>
                    <w:top w:val="nil"/>
                    <w:left w:val="nil"/>
                    <w:bottom w:val="nil"/>
                    <w:right w:val="nil"/>
                    <w:insideH w:val="nil"/>
                    <w:insideV w:val="nil"/>
                  </w:tcBorders>
                  <w:vAlign w:val="center"/>
                </w:tcPr>
                <w:p w14:paraId="692237D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用户已经充分解释</w:t>
                  </w:r>
                </w:p>
              </w:tc>
              <w:tc>
                <w:tcPr>
                  <w:tcW w:w="3685" w:type="dxa"/>
                  <w:tcBorders>
                    <w:top w:val="nil"/>
                    <w:left w:val="nil"/>
                    <w:bottom w:val="nil"/>
                    <w:right w:val="nil"/>
                    <w:insideH w:val="nil"/>
                    <w:insideV w:val="nil"/>
                  </w:tcBorders>
                  <w:vAlign w:val="center"/>
                </w:tcPr>
                <w:p w14:paraId="379D46A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确认并允许转向下一问题</w:t>
                  </w:r>
                </w:p>
              </w:tc>
              <w:tc>
                <w:tcPr>
                  <w:tcW w:w="4309" w:type="dxa"/>
                  <w:tcBorders>
                    <w:top w:val="nil"/>
                    <w:left w:val="nil"/>
                    <w:bottom w:val="nil"/>
                    <w:right w:val="nil"/>
                    <w:insideH w:val="nil"/>
                    <w:insideV w:val="nil"/>
                  </w:tcBorders>
                  <w:vAlign w:val="center"/>
                </w:tcPr>
                <w:p w14:paraId="2B4FDD3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完善结束条件与记忆更新</w:t>
                  </w:r>
                </w:p>
              </w:tc>
            </w:tr>
            <w:tr w14:paraId="45F37570">
              <w:trPr>
                <w:cantSplit/>
                <w:jc w:val="center"/>
              </w:trPr>
              <w:tc>
                <w:tcPr>
                  <w:tcW w:w="1928" w:type="dxa"/>
                  <w:tcBorders>
                    <w:top w:val="nil"/>
                    <w:left w:val="nil"/>
                    <w:bottom w:val="nil"/>
                    <w:right w:val="nil"/>
                    <w:insideH w:val="nil"/>
                    <w:insideV w:val="nil"/>
                  </w:tcBorders>
                  <w:vAlign w:val="center"/>
                </w:tcPr>
                <w:p w14:paraId="36814E8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用户多次求助</w:t>
                  </w:r>
                </w:p>
              </w:tc>
              <w:tc>
                <w:tcPr>
                  <w:tcW w:w="3685" w:type="dxa"/>
                  <w:tcBorders>
                    <w:top w:val="nil"/>
                    <w:left w:val="nil"/>
                    <w:bottom w:val="nil"/>
                    <w:right w:val="nil"/>
                    <w:insideH w:val="nil"/>
                    <w:insideV w:val="nil"/>
                  </w:tcBorders>
                  <w:vAlign w:val="center"/>
                </w:tcPr>
                <w:p w14:paraId="6AFE335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提供更具体线索或必要讲解</w:t>
                  </w:r>
                </w:p>
              </w:tc>
              <w:tc>
                <w:tcPr>
                  <w:tcW w:w="4309" w:type="dxa"/>
                  <w:tcBorders>
                    <w:top w:val="nil"/>
                    <w:left w:val="nil"/>
                    <w:bottom w:val="nil"/>
                    <w:right w:val="nil"/>
                    <w:insideH w:val="nil"/>
                    <w:insideV w:val="nil"/>
                  </w:tcBorders>
                  <w:vAlign w:val="center"/>
                </w:tcPr>
                <w:p w14:paraId="6FF42D1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调整帮助层级的选择</w:t>
                  </w:r>
                </w:p>
              </w:tc>
            </w:tr>
            <w:tr w14:paraId="3D09DE45">
              <w:trPr>
                <w:cantSplit/>
                <w:jc w:val="center"/>
              </w:trPr>
              <w:tc>
                <w:tcPr>
                  <w:tcW w:w="1928" w:type="dxa"/>
                  <w:tcBorders>
                    <w:top w:val="nil"/>
                    <w:left w:val="nil"/>
                    <w:bottom w:val="single" w:color="000000" w:sz="8" w:space="0"/>
                    <w:right w:val="nil"/>
                    <w:insideH w:val="nil"/>
                    <w:insideV w:val="nil"/>
                  </w:tcBorders>
                  <w:vAlign w:val="center"/>
                </w:tcPr>
                <w:p w14:paraId="28DF7B8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用户切换或停止讨论</w:t>
                  </w:r>
                </w:p>
              </w:tc>
              <w:tc>
                <w:tcPr>
                  <w:tcW w:w="3685" w:type="dxa"/>
                  <w:tcBorders>
                    <w:top w:val="nil"/>
                    <w:left w:val="nil"/>
                    <w:bottom w:val="single" w:color="000000" w:sz="8" w:space="0"/>
                    <w:right w:val="nil"/>
                    <w:insideH w:val="nil"/>
                    <w:insideV w:val="nil"/>
                  </w:tcBorders>
                  <w:vAlign w:val="center"/>
                </w:tcPr>
                <w:p w14:paraId="05E7E62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执行其选择并保留已有记录</w:t>
                  </w:r>
                </w:p>
              </w:tc>
              <w:tc>
                <w:tcPr>
                  <w:tcW w:w="4309" w:type="dxa"/>
                  <w:tcBorders>
                    <w:top w:val="nil"/>
                    <w:left w:val="nil"/>
                    <w:bottom w:val="single" w:color="000000" w:sz="8" w:space="0"/>
                    <w:right w:val="nil"/>
                    <w:insideH w:val="nil"/>
                    <w:insideV w:val="nil"/>
                  </w:tcBorders>
                  <w:vAlign w:val="center"/>
                </w:tcPr>
                <w:p w14:paraId="7D6CC2E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完善用户控制与状态切换</w:t>
                  </w:r>
                </w:p>
              </w:tc>
            </w:tr>
          </w:tbl>
          <w:p w14:paraId="2EF495A0">
            <w:pPr>
              <w:spacing w:before="0" w:after="40" w:line="40" w:lineRule="exact"/>
            </w:pPr>
          </w:p>
        </w:tc>
      </w:tr>
      <w:tr w14:paraId="0F1BE4EC">
        <w:trPr>
          <w:jc w:val="center"/>
        </w:trPr>
        <w:tc>
          <w:tcPr>
            <w:tcW w:w="10440" w:type="dxa"/>
            <w:tcMar>
              <w:top w:w="0" w:type="dxa"/>
              <w:left w:w="160" w:type="dxa"/>
              <w:bottom w:w="0" w:type="dxa"/>
              <w:right w:w="160" w:type="dxa"/>
            </w:tcMar>
            <w:vAlign w:val="top"/>
          </w:tcPr>
          <w:p w14:paraId="3F32CA8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完成上述检查后进入可用性测试，根据真实使用进一步修订交互。正式实验前固定两个Agent的版本、系统提示及共同信息条件，保存配置与变更记录。</w:t>
            </w:r>
          </w:p>
        </w:tc>
      </w:tr>
      <w:tr w14:paraId="3BA56F58">
        <w:trPr>
          <w:jc w:val="center"/>
        </w:trPr>
        <w:tc>
          <w:tcPr>
            <w:tcW w:w="10440" w:type="dxa"/>
            <w:tcMar>
              <w:top w:w="0" w:type="dxa"/>
              <w:left w:w="160" w:type="dxa"/>
              <w:bottom w:w="0" w:type="dxa"/>
              <w:right w:w="160" w:type="dxa"/>
            </w:tcMar>
            <w:vAlign w:val="top"/>
          </w:tcPr>
          <w:p w14:paraId="585BF445">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2.3.5 可用性测试</w:t>
            </w:r>
          </w:p>
          <w:p w14:paraId="5149326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拟开展两轮可用性测试，每轮招募5—6名符合目标用户特征的参与者，第二轮优先邀请新参与者。第一轮发现理解、操作和互动中的问题，修改后由第二轮复查。测试每人约45—55分钟，包括说明与背景了解5分钟、操作熟悉3—5分钟、阅读与讨论25—30分钟、系统可用性量表（SUS）约3分钟及回顾访谈10—12分钟。</w:t>
            </w:r>
          </w:p>
        </w:tc>
      </w:tr>
      <w:tr w14:paraId="18D7B198">
        <w:trPr>
          <w:jc w:val="center"/>
        </w:trPr>
        <w:tc>
          <w:tcPr>
            <w:tcW w:w="10440" w:type="dxa"/>
            <w:tcMar>
              <w:top w:w="0" w:type="dxa"/>
              <w:left w:w="160" w:type="dxa"/>
              <w:bottom w:w="0" w:type="dxa"/>
              <w:right w:w="160" w:type="dxa"/>
            </w:tcMar>
            <w:vAlign w:val="top"/>
          </w:tcPr>
          <w:p w14:paraId="63E89A4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参与者阅读适合其基础的实证论文，自由使用Agent理解内容、讨论判断和核对依据。研究者记录操作成功、错误与求助，重点观察追问是否清楚、是否匹配当前困难、提示是否合适、跨轮讨论是否连贯，以及用户是否能够控制节奏。结束后结合操作和对话片段访谈，并使用SUS评价总体可用性。SUS采用10项标准计分方法，汇总为0—100分（Brooke, 1996）。</w:t>
            </w:r>
          </w:p>
        </w:tc>
      </w:tr>
      <w:tr w14:paraId="5837E9DA">
        <w:trPr>
          <w:jc w:val="center"/>
        </w:trPr>
        <w:tc>
          <w:tcPr>
            <w:tcW w:w="10440" w:type="dxa"/>
            <w:tcMar>
              <w:top w:w="0" w:type="dxa"/>
              <w:left w:w="160" w:type="dxa"/>
              <w:bottom w:w="0" w:type="dxa"/>
              <w:right w:w="160" w:type="dxa"/>
            </w:tcMar>
            <w:vAlign w:val="top"/>
          </w:tcPr>
          <w:p w14:paraId="370431FB">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表19  可用性测试观察内容</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7E4132B1">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3CAEB766">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测试方面</w:t>
                  </w:r>
                </w:p>
              </w:tc>
              <w:tc>
                <w:tcPr>
                  <w:tcW w:w="3685" w:type="dxa"/>
                  <w:tcBorders>
                    <w:top w:val="single" w:color="000000" w:sz="8" w:space="0"/>
                    <w:left w:val="nil"/>
                    <w:bottom w:val="single" w:color="000000" w:sz="4" w:space="0"/>
                    <w:right w:val="nil"/>
                    <w:insideH w:val="nil"/>
                    <w:insideV w:val="nil"/>
                  </w:tcBorders>
                  <w:vAlign w:val="center"/>
                </w:tcPr>
                <w:p w14:paraId="395B83D0">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重点观察</w:t>
                  </w:r>
                </w:p>
              </w:tc>
              <w:tc>
                <w:tcPr>
                  <w:tcW w:w="4309" w:type="dxa"/>
                  <w:tcBorders>
                    <w:top w:val="single" w:color="000000" w:sz="8" w:space="0"/>
                    <w:left w:val="nil"/>
                    <w:bottom w:val="single" w:color="000000" w:sz="4" w:space="0"/>
                    <w:right w:val="nil"/>
                    <w:insideH w:val="nil"/>
                    <w:insideV w:val="nil"/>
                  </w:tcBorders>
                  <w:vAlign w:val="center"/>
                </w:tcPr>
                <w:p w14:paraId="14BF45D5">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主要资料</w:t>
                  </w:r>
                </w:p>
              </w:tc>
            </w:tr>
            <w:tr w14:paraId="4F163245">
              <w:trPr>
                <w:cantSplit/>
                <w:jc w:val="center"/>
              </w:trPr>
              <w:tc>
                <w:tcPr>
                  <w:tcW w:w="1928" w:type="dxa"/>
                  <w:tcBorders>
                    <w:top w:val="nil"/>
                    <w:left w:val="nil"/>
                    <w:bottom w:val="nil"/>
                    <w:right w:val="nil"/>
                    <w:insideH w:val="nil"/>
                    <w:insideV w:val="nil"/>
                  </w:tcBorders>
                  <w:vAlign w:val="center"/>
                </w:tcPr>
                <w:p w14:paraId="52B1AF0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阅读与对话操作</w:t>
                  </w:r>
                </w:p>
              </w:tc>
              <w:tc>
                <w:tcPr>
                  <w:tcW w:w="3685" w:type="dxa"/>
                  <w:tcBorders>
                    <w:top w:val="nil"/>
                    <w:left w:val="nil"/>
                    <w:bottom w:val="nil"/>
                    <w:right w:val="nil"/>
                    <w:insideH w:val="nil"/>
                    <w:insideV w:val="nil"/>
                  </w:tcBorders>
                  <w:vAlign w:val="center"/>
                </w:tcPr>
                <w:p w14:paraId="6DDCD91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能否找到段落、发送选中文本、查看回复并返回原文</w:t>
                  </w:r>
                </w:p>
              </w:tc>
              <w:tc>
                <w:tcPr>
                  <w:tcW w:w="4309" w:type="dxa"/>
                  <w:tcBorders>
                    <w:top w:val="nil"/>
                    <w:left w:val="nil"/>
                    <w:bottom w:val="nil"/>
                    <w:right w:val="nil"/>
                    <w:insideH w:val="nil"/>
                    <w:insideV w:val="nil"/>
                  </w:tcBorders>
                  <w:vAlign w:val="center"/>
                </w:tcPr>
                <w:p w14:paraId="5A852F1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操作成功、错误、求助及录屏</w:t>
                  </w:r>
                </w:p>
              </w:tc>
            </w:tr>
            <w:tr w14:paraId="31011301">
              <w:trPr>
                <w:cantSplit/>
                <w:jc w:val="center"/>
              </w:trPr>
              <w:tc>
                <w:tcPr>
                  <w:tcW w:w="1928" w:type="dxa"/>
                  <w:tcBorders>
                    <w:top w:val="nil"/>
                    <w:left w:val="nil"/>
                    <w:bottom w:val="nil"/>
                    <w:right w:val="nil"/>
                    <w:insideH w:val="nil"/>
                    <w:insideV w:val="nil"/>
                  </w:tcBorders>
                  <w:vAlign w:val="center"/>
                </w:tcPr>
                <w:p w14:paraId="74B3B06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追问可理解性</w:t>
                  </w:r>
                </w:p>
              </w:tc>
              <w:tc>
                <w:tcPr>
                  <w:tcW w:w="3685" w:type="dxa"/>
                  <w:tcBorders>
                    <w:top w:val="nil"/>
                    <w:left w:val="nil"/>
                    <w:bottom w:val="nil"/>
                    <w:right w:val="nil"/>
                    <w:insideH w:val="nil"/>
                    <w:insideV w:val="nil"/>
                  </w:tcBorders>
                  <w:vAlign w:val="center"/>
                </w:tcPr>
                <w:p w14:paraId="0EF1194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是否明白问题并知道怎样回应</w:t>
                  </w:r>
                </w:p>
              </w:tc>
              <w:tc>
                <w:tcPr>
                  <w:tcW w:w="4309" w:type="dxa"/>
                  <w:tcBorders>
                    <w:top w:val="nil"/>
                    <w:left w:val="nil"/>
                    <w:bottom w:val="nil"/>
                    <w:right w:val="nil"/>
                    <w:insideH w:val="nil"/>
                    <w:insideV w:val="nil"/>
                  </w:tcBorders>
                  <w:vAlign w:val="center"/>
                </w:tcPr>
                <w:p w14:paraId="78EDB32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澄清请求、答非所问与回顾说明</w:t>
                  </w:r>
                </w:p>
              </w:tc>
            </w:tr>
            <w:tr w14:paraId="691278EF">
              <w:trPr>
                <w:cantSplit/>
                <w:jc w:val="center"/>
              </w:trPr>
              <w:tc>
                <w:tcPr>
                  <w:tcW w:w="1928" w:type="dxa"/>
                  <w:tcBorders>
                    <w:top w:val="nil"/>
                    <w:left w:val="nil"/>
                    <w:bottom w:val="nil"/>
                    <w:right w:val="nil"/>
                    <w:insideH w:val="nil"/>
                    <w:insideV w:val="nil"/>
                  </w:tcBorders>
                  <w:vAlign w:val="center"/>
                </w:tcPr>
                <w:p w14:paraId="09D08A5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追问与困难的匹配</w:t>
                  </w:r>
                </w:p>
              </w:tc>
              <w:tc>
                <w:tcPr>
                  <w:tcW w:w="3685" w:type="dxa"/>
                  <w:tcBorders>
                    <w:top w:val="nil"/>
                    <w:left w:val="nil"/>
                    <w:bottom w:val="nil"/>
                    <w:right w:val="nil"/>
                    <w:insideH w:val="nil"/>
                    <w:insideV w:val="nil"/>
                  </w:tcBorders>
                  <w:vAlign w:val="center"/>
                </w:tcPr>
                <w:p w14:paraId="4E753A5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需要解释时是否得到解释，有判断时是否围绕依据讨论</w:t>
                  </w:r>
                </w:p>
              </w:tc>
              <w:tc>
                <w:tcPr>
                  <w:tcW w:w="4309" w:type="dxa"/>
                  <w:tcBorders>
                    <w:top w:val="nil"/>
                    <w:left w:val="nil"/>
                    <w:bottom w:val="nil"/>
                    <w:right w:val="nil"/>
                    <w:insideH w:val="nil"/>
                    <w:insideV w:val="nil"/>
                  </w:tcBorders>
                  <w:vAlign w:val="center"/>
                </w:tcPr>
                <w:p w14:paraId="21AFB64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对话片段与访谈</w:t>
                  </w:r>
                </w:p>
              </w:tc>
            </w:tr>
            <w:tr w14:paraId="6C83269F">
              <w:trPr>
                <w:cantSplit/>
                <w:jc w:val="center"/>
              </w:trPr>
              <w:tc>
                <w:tcPr>
                  <w:tcW w:w="1928" w:type="dxa"/>
                  <w:tcBorders>
                    <w:top w:val="nil"/>
                    <w:left w:val="nil"/>
                    <w:bottom w:val="nil"/>
                    <w:right w:val="nil"/>
                    <w:insideH w:val="nil"/>
                    <w:insideV w:val="nil"/>
                  </w:tcBorders>
                  <w:vAlign w:val="center"/>
                </w:tcPr>
                <w:p w14:paraId="44D7BC5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帮助程度适切性</w:t>
                  </w:r>
                </w:p>
              </w:tc>
              <w:tc>
                <w:tcPr>
                  <w:tcW w:w="3685" w:type="dxa"/>
                  <w:tcBorders>
                    <w:top w:val="nil"/>
                    <w:left w:val="nil"/>
                    <w:bottom w:val="nil"/>
                    <w:right w:val="nil"/>
                    <w:insideH w:val="nil"/>
                    <w:insideV w:val="nil"/>
                  </w:tcBorders>
                  <w:vAlign w:val="center"/>
                </w:tcPr>
                <w:p w14:paraId="77CF9D0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提示是否过于笼统、直接或冗长，卡住时是否得到支持</w:t>
                  </w:r>
                </w:p>
              </w:tc>
              <w:tc>
                <w:tcPr>
                  <w:tcW w:w="4309" w:type="dxa"/>
                  <w:tcBorders>
                    <w:top w:val="nil"/>
                    <w:left w:val="nil"/>
                    <w:bottom w:val="nil"/>
                    <w:right w:val="nil"/>
                    <w:insideH w:val="nil"/>
                    <w:insideV w:val="nil"/>
                  </w:tcBorders>
                  <w:vAlign w:val="center"/>
                </w:tcPr>
                <w:p w14:paraId="359AD1F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停滞、重复提问、请求讲解</w:t>
                  </w:r>
                </w:p>
              </w:tc>
            </w:tr>
            <w:tr w14:paraId="5DEB3185">
              <w:trPr>
                <w:cantSplit/>
                <w:jc w:val="center"/>
              </w:trPr>
              <w:tc>
                <w:tcPr>
                  <w:tcW w:w="1928" w:type="dxa"/>
                  <w:tcBorders>
                    <w:top w:val="nil"/>
                    <w:left w:val="nil"/>
                    <w:bottom w:val="nil"/>
                    <w:right w:val="nil"/>
                    <w:insideH w:val="nil"/>
                    <w:insideV w:val="nil"/>
                  </w:tcBorders>
                  <w:vAlign w:val="center"/>
                </w:tcPr>
                <w:p w14:paraId="59870EC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对话连续性</w:t>
                  </w:r>
                </w:p>
              </w:tc>
              <w:tc>
                <w:tcPr>
                  <w:tcW w:w="3685" w:type="dxa"/>
                  <w:tcBorders>
                    <w:top w:val="nil"/>
                    <w:left w:val="nil"/>
                    <w:bottom w:val="nil"/>
                    <w:right w:val="nil"/>
                    <w:insideH w:val="nil"/>
                    <w:insideV w:val="nil"/>
                  </w:tcBorders>
                  <w:vAlign w:val="center"/>
                </w:tcPr>
                <w:p w14:paraId="54678C7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是否联系已经表达的判断，避免重复追问</w:t>
                  </w:r>
                </w:p>
              </w:tc>
              <w:tc>
                <w:tcPr>
                  <w:tcW w:w="4309" w:type="dxa"/>
                  <w:tcBorders>
                    <w:top w:val="nil"/>
                    <w:left w:val="nil"/>
                    <w:bottom w:val="nil"/>
                    <w:right w:val="nil"/>
                    <w:insideH w:val="nil"/>
                    <w:insideV w:val="nil"/>
                  </w:tcBorders>
                  <w:vAlign w:val="center"/>
                </w:tcPr>
                <w:p w14:paraId="360AFE1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跨轮记录与用户反馈</w:t>
                  </w:r>
                </w:p>
              </w:tc>
            </w:tr>
            <w:tr w14:paraId="03684070">
              <w:trPr>
                <w:cantSplit/>
                <w:jc w:val="center"/>
              </w:trPr>
              <w:tc>
                <w:tcPr>
                  <w:tcW w:w="1928" w:type="dxa"/>
                  <w:tcBorders>
                    <w:top w:val="nil"/>
                    <w:left w:val="nil"/>
                    <w:bottom w:val="nil"/>
                    <w:right w:val="nil"/>
                    <w:insideH w:val="nil"/>
                    <w:insideV w:val="nil"/>
                  </w:tcBorders>
                  <w:vAlign w:val="center"/>
                </w:tcPr>
                <w:p w14:paraId="395543F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节奏与控制</w:t>
                  </w:r>
                </w:p>
              </w:tc>
              <w:tc>
                <w:tcPr>
                  <w:tcW w:w="3685" w:type="dxa"/>
                  <w:tcBorders>
                    <w:top w:val="nil"/>
                    <w:left w:val="nil"/>
                    <w:bottom w:val="nil"/>
                    <w:right w:val="nil"/>
                    <w:insideH w:val="nil"/>
                    <w:insideV w:val="nil"/>
                  </w:tcBorders>
                  <w:vAlign w:val="center"/>
                </w:tcPr>
                <w:p w14:paraId="05A50E8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能否请求提示、讲解、切换或结束</w:t>
                  </w:r>
                </w:p>
              </w:tc>
              <w:tc>
                <w:tcPr>
                  <w:tcW w:w="4309" w:type="dxa"/>
                  <w:tcBorders>
                    <w:top w:val="nil"/>
                    <w:left w:val="nil"/>
                    <w:bottom w:val="nil"/>
                    <w:right w:val="nil"/>
                    <w:insideH w:val="nil"/>
                    <w:insideV w:val="nil"/>
                  </w:tcBorders>
                  <w:vAlign w:val="center"/>
                </w:tcPr>
                <w:p w14:paraId="0282123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操作记录与回顾访谈</w:t>
                  </w:r>
                </w:p>
              </w:tc>
            </w:tr>
            <w:tr w14:paraId="7336EB81">
              <w:trPr>
                <w:cantSplit/>
                <w:jc w:val="center"/>
              </w:trPr>
              <w:tc>
                <w:tcPr>
                  <w:tcW w:w="1928" w:type="dxa"/>
                  <w:tcBorders>
                    <w:top w:val="nil"/>
                    <w:left w:val="nil"/>
                    <w:bottom w:val="single" w:color="000000" w:sz="8" w:space="0"/>
                    <w:right w:val="nil"/>
                    <w:insideH w:val="nil"/>
                    <w:insideV w:val="nil"/>
                  </w:tcBorders>
                  <w:vAlign w:val="center"/>
                </w:tcPr>
                <w:p w14:paraId="61936D0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总体可用性</w:t>
                  </w:r>
                </w:p>
              </w:tc>
              <w:tc>
                <w:tcPr>
                  <w:tcW w:w="3685" w:type="dxa"/>
                  <w:tcBorders>
                    <w:top w:val="nil"/>
                    <w:left w:val="nil"/>
                    <w:bottom w:val="single" w:color="000000" w:sz="8" w:space="0"/>
                    <w:right w:val="nil"/>
                    <w:insideH w:val="nil"/>
                    <w:insideV w:val="nil"/>
                  </w:tcBorders>
                  <w:vAlign w:val="center"/>
                </w:tcPr>
                <w:p w14:paraId="305F191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系统是否易于学习和使用</w:t>
                  </w:r>
                </w:p>
              </w:tc>
              <w:tc>
                <w:tcPr>
                  <w:tcW w:w="4309" w:type="dxa"/>
                  <w:tcBorders>
                    <w:top w:val="nil"/>
                    <w:left w:val="nil"/>
                    <w:bottom w:val="single" w:color="000000" w:sz="8" w:space="0"/>
                    <w:right w:val="nil"/>
                    <w:insideH w:val="nil"/>
                    <w:insideV w:val="nil"/>
                  </w:tcBorders>
                  <w:vAlign w:val="center"/>
                </w:tcPr>
                <w:p w14:paraId="44FD75C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SUS及开放意见</w:t>
                  </w:r>
                </w:p>
              </w:tc>
            </w:tr>
          </w:tbl>
          <w:p w14:paraId="707F6349">
            <w:pPr>
              <w:spacing w:before="0" w:after="40" w:line="40" w:lineRule="exact"/>
            </w:pPr>
          </w:p>
        </w:tc>
      </w:tr>
      <w:tr w14:paraId="0487ED13">
        <w:trPr>
          <w:jc w:val="center"/>
        </w:trPr>
        <w:tc>
          <w:tcPr>
            <w:tcW w:w="10440" w:type="dxa"/>
            <w:tcMar>
              <w:top w:w="0" w:type="dxa"/>
              <w:left w:w="160" w:type="dxa"/>
              <w:bottom w:w="0" w:type="dxa"/>
              <w:right w:w="160" w:type="dxa"/>
            </w:tcMar>
            <w:vAlign w:val="top"/>
          </w:tcPr>
          <w:p w14:paraId="34BB535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回顾访谈结合刚才的具体片段进行，如“看到这个问题时，你认为需要回答什么”“这里为什么想让Agent直接解释”“这轮回复有没有帮助你继续看原文”。研究者将主观评价与实际操作联系起来，判断问题来自界面、话语表达还是教学策略。</w:t>
            </w:r>
          </w:p>
        </w:tc>
      </w:tr>
      <w:tr w14:paraId="50968910">
        <w:trPr>
          <w:jc w:val="center"/>
        </w:trPr>
        <w:tc>
          <w:tcPr>
            <w:tcW w:w="10440" w:type="dxa"/>
            <w:tcMar>
              <w:top w:w="0" w:type="dxa"/>
              <w:left w:w="160" w:type="dxa"/>
              <w:bottom w:w="0" w:type="dxa"/>
              <w:right w:w="160" w:type="dxa"/>
            </w:tcMar>
            <w:vAlign w:val="top"/>
          </w:tcPr>
          <w:p w14:paraId="108697F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分析时将问题整理为“发生情境—行为或原话证据—修改方案—复查结果”，按其对阅读与思考的影响确定优先级。比较两轮问题是否解决，报告SUS描述结果与访谈主题，形成可进入效果实验的系统版本。</w:t>
            </w:r>
          </w:p>
        </w:tc>
      </w:tr>
      <w:tr w14:paraId="6472481E">
        <w:trPr>
          <w:jc w:val="center"/>
        </w:trPr>
        <w:tc>
          <w:tcPr>
            <w:tcW w:w="10440" w:type="dxa"/>
            <w:tcMar>
              <w:top w:w="0" w:type="dxa"/>
              <w:left w:w="160" w:type="dxa"/>
              <w:bottom w:w="0" w:type="dxa"/>
              <w:right w:w="160" w:type="dxa"/>
            </w:tcMar>
            <w:vAlign w:val="top"/>
          </w:tcPr>
          <w:p w14:paraId="2A184411">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 研究三 效果实验</w:t>
            </w:r>
          </w:p>
          <w:p w14:paraId="150090F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考察不同Agent辅助方式对科研新手独立阅读表现的影响。自变量为Agent辅助方式；因变量为论文内容概括表现和批判性评价表现；初始批判性思维倾向为探索性调节变量。通过统一参与者资格、材料与任务、时间、工具及评分程序控制无关因素，并在统计分析中调整对应前测得分和材料顺序。各变量的定义、操纵与测量方法分别说明如下。</w:t>
            </w:r>
          </w:p>
        </w:tc>
      </w:tr>
      <w:tr w14:paraId="51BF111C">
        <w:trPr>
          <w:jc w:val="center"/>
        </w:trPr>
        <w:tc>
          <w:tcPr>
            <w:tcW w:w="10440" w:type="dxa"/>
            <w:tcMar>
              <w:top w:w="0" w:type="dxa"/>
              <w:left w:w="160" w:type="dxa"/>
              <w:bottom w:w="0" w:type="dxa"/>
              <w:right w:w="160" w:type="dxa"/>
            </w:tcMar>
            <w:vAlign w:val="top"/>
          </w:tcPr>
          <w:p w14:paraId="467C2EF4">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2.4.1 设计与参与者</w:t>
            </w:r>
          </w:p>
          <w:p w14:paraId="403B494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采用三组随机分配、前后测的实验设计。自变量为Agent辅助方式，包含无AI独立阅读、通用Agent辅助阅读和苏格拉底式Agent辅助阅读三个水平。计划通过校园及院系渠道招募100名参与者，目标获得90名有效参与者，每组30人，其余10名作为未完成或无效数据的招募余量。采用随机分配，使三组人数尽量均衡；以每组30名有效参与者为目标，各组内A→C和C→A两种前后测材料顺序各安排15人。全部符合标准的有效数据均纳入分析。</w:t>
            </w:r>
          </w:p>
        </w:tc>
      </w:tr>
      <w:tr w14:paraId="72AACD5B">
        <w:trPr>
          <w:jc w:val="center"/>
        </w:trPr>
        <w:tc>
          <w:tcPr>
            <w:tcW w:w="10440" w:type="dxa"/>
            <w:tcMar>
              <w:top w:w="0" w:type="dxa"/>
              <w:left w:w="160" w:type="dxa"/>
              <w:bottom w:w="0" w:type="dxa"/>
              <w:right w:w="160" w:type="dxa"/>
            </w:tcMar>
            <w:vAlign w:val="top"/>
          </w:tcPr>
          <w:p w14:paraId="00D67A2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参与者为心理学或应用心理学专业大学二年级及以上本科生和硕士一年级学生，年满18周岁，能够熟练阅读中文，已修读并通过心理统计、实验心理学或研究方法、心理测量等相关课程或内容相当课程。除常规课程练习外，参与者尚未实质承担研究方案设计、数据分析或研究报告撰写等核心科研工作；仅从事招募、录入等辅助工作者可纳入并记录经历。排除已阅读实验文章或其评析、参加过本研究预实验者。</w:t>
            </w:r>
          </w:p>
        </w:tc>
      </w:tr>
      <w:tr w14:paraId="7BB8B426">
        <w:trPr>
          <w:jc w:val="center"/>
        </w:trPr>
        <w:tc>
          <w:tcPr>
            <w:tcW w:w="10440" w:type="dxa"/>
            <w:tcMar>
              <w:top w:w="0" w:type="dxa"/>
              <w:left w:w="160" w:type="dxa"/>
              <w:bottom w:w="0" w:type="dxa"/>
              <w:right w:w="160" w:type="dxa"/>
            </w:tcMar>
            <w:vAlign w:val="top"/>
          </w:tcPr>
          <w:p w14:paraId="585E25E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样本量围绕四项主要比较进行规划。参考回归模型中增量效应的功效分析方法（Faul et al., 2009），设预期组间标准化差异d＝0.80、前后测相关r＝0.50、统计功效为0.80，并按四项比较采用α＝0.0125进行保守规划，估算需84名有效参与者。在该估算基础上，将目标有效样本量取整为90人，每组30人；考虑约10%的无效或未完成情况，计划招募100人。该规划针对较大效应，正式分析采用Holm校正并报告效应量及置信区间；初始倾向的调节作用作为探索性问题。</w:t>
            </w:r>
          </w:p>
        </w:tc>
      </w:tr>
      <w:tr w14:paraId="57CD0A58">
        <w:trPr>
          <w:jc w:val="center"/>
        </w:trPr>
        <w:tc>
          <w:tcPr>
            <w:tcW w:w="10440" w:type="dxa"/>
            <w:tcMar>
              <w:top w:w="0" w:type="dxa"/>
              <w:left w:w="160" w:type="dxa"/>
              <w:bottom w:w="0" w:type="dxa"/>
              <w:right w:w="160" w:type="dxa"/>
            </w:tcMar>
            <w:vAlign w:val="top"/>
          </w:tcPr>
          <w:p w14:paraId="56DD1B80">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招募通过院系通知、学生社群及校园渠道进行，预约前使用筛选表核对课程与科研经历。筛选内容包括是否接触过候选论文、是否读过配套评析，以及是否能够完成提前测量和训练当天两个场次。符合条件者进入随机分配，保留分配记录与实际完成情况。</w:t>
            </w:r>
          </w:p>
        </w:tc>
      </w:tr>
      <w:tr w14:paraId="1A7CC278">
        <w:trPr>
          <w:jc w:val="center"/>
        </w:trPr>
        <w:tc>
          <w:tcPr>
            <w:tcW w:w="10440" w:type="dxa"/>
            <w:tcMar>
              <w:top w:w="0" w:type="dxa"/>
              <w:left w:w="160" w:type="dxa"/>
              <w:bottom w:w="0" w:type="dxa"/>
              <w:right w:w="160" w:type="dxa"/>
            </w:tcMar>
            <w:vAlign w:val="top"/>
          </w:tcPr>
          <w:p w14:paraId="1733541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每组内同时安排两种测验材料顺序：一部分前测A、训练B、后测C，另一部分前测C、训练B、后测A。这样，A和C在各组都同时承担前测和后测材料，避免某一组固定遇到较容易的后测文章。分析中纳入材料顺序，并报告各组实际分布。</w:t>
            </w:r>
          </w:p>
        </w:tc>
      </w:tr>
      <w:tr w14:paraId="2D89662A">
        <w:trPr>
          <w:jc w:val="center"/>
        </w:trPr>
        <w:tc>
          <w:tcPr>
            <w:tcW w:w="10440" w:type="dxa"/>
            <w:tcMar>
              <w:top w:w="0" w:type="dxa"/>
              <w:left w:w="160" w:type="dxa"/>
              <w:bottom w:w="0" w:type="dxa"/>
              <w:right w:w="160" w:type="dxa"/>
            </w:tcMar>
            <w:vAlign w:val="top"/>
          </w:tcPr>
          <w:p w14:paraId="4ED4A65C">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表20  随机分组与材料顺序</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757"/>
              <w:gridCol w:w="1417"/>
              <w:gridCol w:w="1417"/>
              <w:gridCol w:w="2494"/>
              <w:gridCol w:w="2835"/>
            </w:tblGrid>
            <w:tr w14:paraId="0DABFCD1">
              <w:trPr>
                <w:cantSplit/>
                <w:tblHeader/>
                <w:jc w:val="center"/>
              </w:trPr>
              <w:tc>
                <w:tcPr>
                  <w:tcW w:w="1757" w:type="dxa"/>
                  <w:tcBorders>
                    <w:top w:val="single" w:color="000000" w:sz="8" w:space="0"/>
                    <w:left w:val="nil"/>
                    <w:bottom w:val="single" w:color="000000" w:sz="4" w:space="0"/>
                    <w:right w:val="nil"/>
                    <w:insideH w:val="nil"/>
                    <w:insideV w:val="nil"/>
                  </w:tcBorders>
                  <w:vAlign w:val="center"/>
                </w:tcPr>
                <w:p w14:paraId="13E0E1F6">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组别</w:t>
                  </w:r>
                </w:p>
              </w:tc>
              <w:tc>
                <w:tcPr>
                  <w:tcW w:w="1417" w:type="dxa"/>
                  <w:tcBorders>
                    <w:top w:val="single" w:color="000000" w:sz="8" w:space="0"/>
                    <w:left w:val="nil"/>
                    <w:bottom w:val="single" w:color="000000" w:sz="4" w:space="0"/>
                    <w:right w:val="nil"/>
                    <w:insideH w:val="nil"/>
                    <w:insideV w:val="nil"/>
                  </w:tcBorders>
                  <w:vAlign w:val="center"/>
                </w:tcPr>
                <w:p w14:paraId="06C6286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前测顺序一</w:t>
                  </w:r>
                </w:p>
              </w:tc>
              <w:tc>
                <w:tcPr>
                  <w:tcW w:w="1417" w:type="dxa"/>
                  <w:tcBorders>
                    <w:top w:val="single" w:color="000000" w:sz="8" w:space="0"/>
                    <w:left w:val="nil"/>
                    <w:bottom w:val="single" w:color="000000" w:sz="4" w:space="0"/>
                    <w:right w:val="nil"/>
                    <w:insideH w:val="nil"/>
                    <w:insideV w:val="nil"/>
                  </w:tcBorders>
                  <w:vAlign w:val="center"/>
                </w:tcPr>
                <w:p w14:paraId="4641731A">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前测顺序二</w:t>
                  </w:r>
                </w:p>
              </w:tc>
              <w:tc>
                <w:tcPr>
                  <w:tcW w:w="2494" w:type="dxa"/>
                  <w:tcBorders>
                    <w:top w:val="single" w:color="000000" w:sz="8" w:space="0"/>
                    <w:left w:val="nil"/>
                    <w:bottom w:val="single" w:color="000000" w:sz="4" w:space="0"/>
                    <w:right w:val="nil"/>
                    <w:insideH w:val="nil"/>
                    <w:insideV w:val="nil"/>
                  </w:tcBorders>
                  <w:vAlign w:val="center"/>
                </w:tcPr>
                <w:p w14:paraId="52371C7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训练材料及支持</w:t>
                  </w:r>
                </w:p>
              </w:tc>
              <w:tc>
                <w:tcPr>
                  <w:tcW w:w="2835" w:type="dxa"/>
                  <w:tcBorders>
                    <w:top w:val="single" w:color="000000" w:sz="8" w:space="0"/>
                    <w:left w:val="nil"/>
                    <w:bottom w:val="single" w:color="000000" w:sz="4" w:space="0"/>
                    <w:right w:val="nil"/>
                    <w:insideH w:val="nil"/>
                    <w:insideV w:val="nil"/>
                  </w:tcBorders>
                  <w:vAlign w:val="center"/>
                </w:tcPr>
                <w:p w14:paraId="0F67967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后测</w:t>
                  </w:r>
                </w:p>
              </w:tc>
            </w:tr>
            <w:tr w14:paraId="77674CEF">
              <w:trPr>
                <w:cantSplit/>
                <w:jc w:val="center"/>
              </w:trPr>
              <w:tc>
                <w:tcPr>
                  <w:tcW w:w="1757" w:type="dxa"/>
                  <w:tcBorders>
                    <w:top w:val="nil"/>
                    <w:left w:val="nil"/>
                    <w:bottom w:val="nil"/>
                    <w:right w:val="nil"/>
                    <w:insideH w:val="nil"/>
                    <w:insideV w:val="nil"/>
                  </w:tcBorders>
                  <w:vAlign w:val="center"/>
                </w:tcPr>
                <w:p w14:paraId="32D284E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无AI组，目标有效30人</w:t>
                  </w:r>
                </w:p>
              </w:tc>
              <w:tc>
                <w:tcPr>
                  <w:tcW w:w="1417" w:type="dxa"/>
                  <w:tcBorders>
                    <w:top w:val="nil"/>
                    <w:left w:val="nil"/>
                    <w:bottom w:val="nil"/>
                    <w:right w:val="nil"/>
                    <w:insideH w:val="nil"/>
                    <w:insideV w:val="nil"/>
                  </w:tcBorders>
                  <w:vAlign w:val="center"/>
                </w:tcPr>
                <w:p w14:paraId="73BFDB4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A，目标15人</w:t>
                  </w:r>
                </w:p>
              </w:tc>
              <w:tc>
                <w:tcPr>
                  <w:tcW w:w="1417" w:type="dxa"/>
                  <w:tcBorders>
                    <w:top w:val="nil"/>
                    <w:left w:val="nil"/>
                    <w:bottom w:val="nil"/>
                    <w:right w:val="nil"/>
                    <w:insideH w:val="nil"/>
                    <w:insideV w:val="nil"/>
                  </w:tcBorders>
                  <w:vAlign w:val="center"/>
                </w:tcPr>
                <w:p w14:paraId="5F41345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C，目标15人</w:t>
                  </w:r>
                </w:p>
              </w:tc>
              <w:tc>
                <w:tcPr>
                  <w:tcW w:w="2494" w:type="dxa"/>
                  <w:tcBorders>
                    <w:top w:val="nil"/>
                    <w:left w:val="nil"/>
                    <w:bottom w:val="nil"/>
                    <w:right w:val="nil"/>
                    <w:insideH w:val="nil"/>
                    <w:insideV w:val="nil"/>
                  </w:tcBorders>
                  <w:vAlign w:val="center"/>
                </w:tcPr>
                <w:p w14:paraId="5B8800A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B，独立阅读</w:t>
                  </w:r>
                </w:p>
              </w:tc>
              <w:tc>
                <w:tcPr>
                  <w:tcW w:w="2835" w:type="dxa"/>
                  <w:tcBorders>
                    <w:top w:val="nil"/>
                    <w:left w:val="nil"/>
                    <w:bottom w:val="nil"/>
                    <w:right w:val="nil"/>
                    <w:insideH w:val="nil"/>
                    <w:insideV w:val="nil"/>
                  </w:tcBorders>
                  <w:vAlign w:val="center"/>
                </w:tcPr>
                <w:p w14:paraId="4A44603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分别为C或A，独立完成</w:t>
                  </w:r>
                </w:p>
              </w:tc>
            </w:tr>
            <w:tr w14:paraId="3DEDDDF1">
              <w:trPr>
                <w:cantSplit/>
                <w:jc w:val="center"/>
              </w:trPr>
              <w:tc>
                <w:tcPr>
                  <w:tcW w:w="1757" w:type="dxa"/>
                  <w:tcBorders>
                    <w:top w:val="nil"/>
                    <w:left w:val="nil"/>
                    <w:bottom w:val="nil"/>
                    <w:right w:val="nil"/>
                    <w:insideH w:val="nil"/>
                    <w:insideV w:val="nil"/>
                  </w:tcBorders>
                  <w:vAlign w:val="center"/>
                </w:tcPr>
                <w:p w14:paraId="286EB98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通用Agent组，目标有效30人</w:t>
                  </w:r>
                </w:p>
              </w:tc>
              <w:tc>
                <w:tcPr>
                  <w:tcW w:w="1417" w:type="dxa"/>
                  <w:tcBorders>
                    <w:top w:val="nil"/>
                    <w:left w:val="nil"/>
                    <w:bottom w:val="nil"/>
                    <w:right w:val="nil"/>
                    <w:insideH w:val="nil"/>
                    <w:insideV w:val="nil"/>
                  </w:tcBorders>
                  <w:vAlign w:val="center"/>
                </w:tcPr>
                <w:p w14:paraId="13EE833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A，目标15人</w:t>
                  </w:r>
                </w:p>
              </w:tc>
              <w:tc>
                <w:tcPr>
                  <w:tcW w:w="1417" w:type="dxa"/>
                  <w:tcBorders>
                    <w:top w:val="nil"/>
                    <w:left w:val="nil"/>
                    <w:bottom w:val="nil"/>
                    <w:right w:val="nil"/>
                    <w:insideH w:val="nil"/>
                    <w:insideV w:val="nil"/>
                  </w:tcBorders>
                  <w:vAlign w:val="center"/>
                </w:tcPr>
                <w:p w14:paraId="13ACEE2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C，目标15人</w:t>
                  </w:r>
                </w:p>
              </w:tc>
              <w:tc>
                <w:tcPr>
                  <w:tcW w:w="2494" w:type="dxa"/>
                  <w:tcBorders>
                    <w:top w:val="nil"/>
                    <w:left w:val="nil"/>
                    <w:bottom w:val="nil"/>
                    <w:right w:val="nil"/>
                    <w:insideH w:val="nil"/>
                    <w:insideV w:val="nil"/>
                  </w:tcBorders>
                  <w:vAlign w:val="center"/>
                </w:tcPr>
                <w:p w14:paraId="06946CD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B，通用Agent辅助</w:t>
                  </w:r>
                </w:p>
              </w:tc>
              <w:tc>
                <w:tcPr>
                  <w:tcW w:w="2835" w:type="dxa"/>
                  <w:tcBorders>
                    <w:top w:val="nil"/>
                    <w:left w:val="nil"/>
                    <w:bottom w:val="nil"/>
                    <w:right w:val="nil"/>
                    <w:insideH w:val="nil"/>
                    <w:insideV w:val="nil"/>
                  </w:tcBorders>
                  <w:vAlign w:val="center"/>
                </w:tcPr>
                <w:p w14:paraId="2B02DD7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分别为C或A，独立完成</w:t>
                  </w:r>
                </w:p>
              </w:tc>
            </w:tr>
            <w:tr w14:paraId="77B57579">
              <w:trPr>
                <w:cantSplit/>
                <w:jc w:val="center"/>
              </w:trPr>
              <w:tc>
                <w:tcPr>
                  <w:tcW w:w="1757" w:type="dxa"/>
                  <w:tcBorders>
                    <w:top w:val="nil"/>
                    <w:left w:val="nil"/>
                    <w:bottom w:val="single" w:color="000000" w:sz="8" w:space="0"/>
                    <w:right w:val="nil"/>
                    <w:insideH w:val="nil"/>
                    <w:insideV w:val="nil"/>
                  </w:tcBorders>
                  <w:vAlign w:val="center"/>
                </w:tcPr>
                <w:p w14:paraId="7AE074A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苏格拉底式Agent组，目标有效30人</w:t>
                  </w:r>
                </w:p>
              </w:tc>
              <w:tc>
                <w:tcPr>
                  <w:tcW w:w="1417" w:type="dxa"/>
                  <w:tcBorders>
                    <w:top w:val="nil"/>
                    <w:left w:val="nil"/>
                    <w:bottom w:val="single" w:color="000000" w:sz="8" w:space="0"/>
                    <w:right w:val="nil"/>
                    <w:insideH w:val="nil"/>
                    <w:insideV w:val="nil"/>
                  </w:tcBorders>
                  <w:vAlign w:val="center"/>
                </w:tcPr>
                <w:p w14:paraId="0B0D847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A，目标15人</w:t>
                  </w:r>
                </w:p>
              </w:tc>
              <w:tc>
                <w:tcPr>
                  <w:tcW w:w="1417" w:type="dxa"/>
                  <w:tcBorders>
                    <w:top w:val="nil"/>
                    <w:left w:val="nil"/>
                    <w:bottom w:val="single" w:color="000000" w:sz="8" w:space="0"/>
                    <w:right w:val="nil"/>
                    <w:insideH w:val="nil"/>
                    <w:insideV w:val="nil"/>
                  </w:tcBorders>
                  <w:vAlign w:val="center"/>
                </w:tcPr>
                <w:p w14:paraId="6326026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C，目标15人</w:t>
                  </w:r>
                </w:p>
              </w:tc>
              <w:tc>
                <w:tcPr>
                  <w:tcW w:w="2494" w:type="dxa"/>
                  <w:tcBorders>
                    <w:top w:val="nil"/>
                    <w:left w:val="nil"/>
                    <w:bottom w:val="single" w:color="000000" w:sz="8" w:space="0"/>
                    <w:right w:val="nil"/>
                    <w:insideH w:val="nil"/>
                    <w:insideV w:val="nil"/>
                  </w:tcBorders>
                  <w:vAlign w:val="center"/>
                </w:tcPr>
                <w:p w14:paraId="76BC340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B，苏格拉底式Agent辅助</w:t>
                  </w:r>
                </w:p>
              </w:tc>
              <w:tc>
                <w:tcPr>
                  <w:tcW w:w="2835" w:type="dxa"/>
                  <w:tcBorders>
                    <w:top w:val="nil"/>
                    <w:left w:val="nil"/>
                    <w:bottom w:val="single" w:color="000000" w:sz="8" w:space="0"/>
                    <w:right w:val="nil"/>
                    <w:insideH w:val="nil"/>
                    <w:insideV w:val="nil"/>
                  </w:tcBorders>
                  <w:vAlign w:val="center"/>
                </w:tcPr>
                <w:p w14:paraId="3570909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分别为C或A，独立完成</w:t>
                  </w:r>
                </w:p>
              </w:tc>
            </w:tr>
          </w:tbl>
          <w:p w14:paraId="449D6696">
            <w:pPr>
              <w:spacing w:before="0" w:after="40" w:line="40" w:lineRule="exact"/>
            </w:pPr>
          </w:p>
        </w:tc>
      </w:tr>
      <w:tr w14:paraId="775617AD">
        <w:trPr>
          <w:jc w:val="center"/>
        </w:trPr>
        <w:tc>
          <w:tcPr>
            <w:tcW w:w="10440" w:type="dxa"/>
            <w:tcMar>
              <w:top w:w="0" w:type="dxa"/>
              <w:left w:w="160" w:type="dxa"/>
              <w:bottom w:w="0" w:type="dxa"/>
              <w:right w:w="160" w:type="dxa"/>
            </w:tcMar>
            <w:vAlign w:val="top"/>
          </w:tcPr>
          <w:p w14:paraId="030C710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样本量规划对训练效应大小较为敏感。在相同的前后测相关、功效和四项比较规划下，若预期d＝0.50，需要约204名有效参与者；d＝0.60需要约144人；当前d＝0.80的估算需84名有效参与者，本研究按90名有效参与者规划。研究将同时报告实际差异与区间，结合预实验检查测量是否能够区分不同水平的表现。100人为计划招募数，90人为目标有效数，符合预定要求的数据均纳入分析。</w:t>
            </w:r>
          </w:p>
        </w:tc>
      </w:tr>
      <w:tr w14:paraId="7479C313">
        <w:trPr>
          <w:jc w:val="center"/>
        </w:trPr>
        <w:tc>
          <w:tcPr>
            <w:tcW w:w="10440" w:type="dxa"/>
            <w:tcMar>
              <w:top w:w="0" w:type="dxa"/>
              <w:left w:w="160" w:type="dxa"/>
              <w:bottom w:w="0" w:type="dxa"/>
              <w:right w:w="160" w:type="dxa"/>
            </w:tcMar>
            <w:vAlign w:val="top"/>
          </w:tcPr>
          <w:p w14:paraId="5F1CF444">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2.4.2 材料准备与预实验</w:t>
            </w:r>
          </w:p>
          <w:p w14:paraId="5955D990">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从Meltzoff和Cooper（2018）的模拟研究文章中选择候选A、B、C：B用于训练，A和C用于前后测。材料匹配考虑篇幅、研究方法知识要求、研究结构、缺陷类型及数量。文章均提供统一译文、排版和图表；由具备相关方法学背景的专家核对内容、译文与评价难度，并依据配套评析形成候选缺陷清单，经拆分、去重和审查后确定各材料的预设有效缺陷总数。</w:t>
            </w:r>
          </w:p>
        </w:tc>
      </w:tr>
      <w:tr w14:paraId="54C48ADD">
        <w:trPr>
          <w:jc w:val="center"/>
        </w:trPr>
        <w:tc>
          <w:tcPr>
            <w:tcW w:w="10440" w:type="dxa"/>
            <w:tcMar>
              <w:top w:w="0" w:type="dxa"/>
              <w:left w:w="160" w:type="dxa"/>
              <w:bottom w:w="0" w:type="dxa"/>
              <w:right w:w="160" w:type="dxa"/>
            </w:tcMar>
            <w:vAlign w:val="top"/>
          </w:tcPr>
          <w:p w14:paraId="3ACD582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材料准备分为文章适配和评分依据整理两部分。文章适配包括译文核对、术语统一、图表说明、段落编号及页面排版。评分依据整理从配套专家评析提取候选问题，再返回文章核查其事实基础和推断影响。对重复问题合并，对包含多个独立问题的表述拆分，并区分“明确成立的缺陷”和“信息不足或条件性建议”。</w:t>
            </w:r>
          </w:p>
        </w:tc>
      </w:tr>
      <w:tr w14:paraId="6C25B3CE">
        <w:trPr>
          <w:jc w:val="center"/>
        </w:trPr>
        <w:tc>
          <w:tcPr>
            <w:tcW w:w="10440" w:type="dxa"/>
            <w:tcMar>
              <w:top w:w="0" w:type="dxa"/>
              <w:left w:w="160" w:type="dxa"/>
              <w:bottom w:w="0" w:type="dxa"/>
              <w:right w:w="160" w:type="dxa"/>
            </w:tcMar>
            <w:vAlign w:val="top"/>
          </w:tcPr>
          <w:p w14:paraId="30AC5202">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表21  实验材料准备</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070A09DD">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1E9A96C5">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材料准备项目</w:t>
                  </w:r>
                </w:p>
              </w:tc>
              <w:tc>
                <w:tcPr>
                  <w:tcW w:w="3685" w:type="dxa"/>
                  <w:tcBorders>
                    <w:top w:val="single" w:color="000000" w:sz="8" w:space="0"/>
                    <w:left w:val="nil"/>
                    <w:bottom w:val="single" w:color="000000" w:sz="4" w:space="0"/>
                    <w:right w:val="nil"/>
                    <w:insideH w:val="nil"/>
                    <w:insideV w:val="nil"/>
                  </w:tcBorders>
                  <w:vAlign w:val="center"/>
                </w:tcPr>
                <w:p w14:paraId="6385578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具体检查</w:t>
                  </w:r>
                </w:p>
              </w:tc>
              <w:tc>
                <w:tcPr>
                  <w:tcW w:w="4309" w:type="dxa"/>
                  <w:tcBorders>
                    <w:top w:val="single" w:color="000000" w:sz="8" w:space="0"/>
                    <w:left w:val="nil"/>
                    <w:bottom w:val="single" w:color="000000" w:sz="4" w:space="0"/>
                    <w:right w:val="nil"/>
                    <w:insideH w:val="nil"/>
                    <w:insideV w:val="nil"/>
                  </w:tcBorders>
                  <w:vAlign w:val="center"/>
                </w:tcPr>
                <w:p w14:paraId="7F108693">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形成的文件或记录</w:t>
                  </w:r>
                </w:p>
              </w:tc>
            </w:tr>
            <w:tr w14:paraId="0AE0FD7C">
              <w:trPr>
                <w:cantSplit/>
                <w:jc w:val="center"/>
              </w:trPr>
              <w:tc>
                <w:tcPr>
                  <w:tcW w:w="1928" w:type="dxa"/>
                  <w:tcBorders>
                    <w:top w:val="nil"/>
                    <w:left w:val="nil"/>
                    <w:bottom w:val="nil"/>
                    <w:right w:val="nil"/>
                    <w:insideH w:val="nil"/>
                    <w:insideV w:val="nil"/>
                  </w:tcBorders>
                  <w:vAlign w:val="center"/>
                </w:tcPr>
                <w:p w14:paraId="588DE2A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文章A、B、C选择</w:t>
                  </w:r>
                </w:p>
              </w:tc>
              <w:tc>
                <w:tcPr>
                  <w:tcW w:w="3685" w:type="dxa"/>
                  <w:tcBorders>
                    <w:top w:val="nil"/>
                    <w:left w:val="nil"/>
                    <w:bottom w:val="nil"/>
                    <w:right w:val="nil"/>
                    <w:insideH w:val="nil"/>
                    <w:insideV w:val="nil"/>
                  </w:tcBorders>
                  <w:vAlign w:val="center"/>
                </w:tcPr>
                <w:p w14:paraId="25506A4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篇幅、方法知识、结构及评价难度</w:t>
                  </w:r>
                </w:p>
              </w:tc>
              <w:tc>
                <w:tcPr>
                  <w:tcW w:w="4309" w:type="dxa"/>
                  <w:tcBorders>
                    <w:top w:val="nil"/>
                    <w:left w:val="nil"/>
                    <w:bottom w:val="nil"/>
                    <w:right w:val="nil"/>
                    <w:insideH w:val="nil"/>
                    <w:insideV w:val="nil"/>
                  </w:tcBorders>
                  <w:vAlign w:val="center"/>
                </w:tcPr>
                <w:p w14:paraId="03C843C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材料匹配说明</w:t>
                  </w:r>
                </w:p>
              </w:tc>
            </w:tr>
            <w:tr w14:paraId="6C1222DC">
              <w:trPr>
                <w:cantSplit/>
                <w:jc w:val="center"/>
              </w:trPr>
              <w:tc>
                <w:tcPr>
                  <w:tcW w:w="1928" w:type="dxa"/>
                  <w:tcBorders>
                    <w:top w:val="nil"/>
                    <w:left w:val="nil"/>
                    <w:bottom w:val="nil"/>
                    <w:right w:val="nil"/>
                    <w:insideH w:val="nil"/>
                    <w:insideV w:val="nil"/>
                  </w:tcBorders>
                  <w:vAlign w:val="center"/>
                </w:tcPr>
                <w:p w14:paraId="523A31D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统一译文与图表</w:t>
                  </w:r>
                </w:p>
              </w:tc>
              <w:tc>
                <w:tcPr>
                  <w:tcW w:w="3685" w:type="dxa"/>
                  <w:tcBorders>
                    <w:top w:val="nil"/>
                    <w:left w:val="nil"/>
                    <w:bottom w:val="nil"/>
                    <w:right w:val="nil"/>
                    <w:insideH w:val="nil"/>
                    <w:insideV w:val="nil"/>
                  </w:tcBorders>
                  <w:vAlign w:val="center"/>
                </w:tcPr>
                <w:p w14:paraId="2F2D4E4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术语、数值、统计表述和上下文一致</w:t>
                  </w:r>
                </w:p>
              </w:tc>
              <w:tc>
                <w:tcPr>
                  <w:tcW w:w="4309" w:type="dxa"/>
                  <w:tcBorders>
                    <w:top w:val="nil"/>
                    <w:left w:val="nil"/>
                    <w:bottom w:val="nil"/>
                    <w:right w:val="nil"/>
                    <w:insideH w:val="nil"/>
                    <w:insideV w:val="nil"/>
                  </w:tcBorders>
                  <w:vAlign w:val="center"/>
                </w:tcPr>
                <w:p w14:paraId="25198C7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参与者阅读版</w:t>
                  </w:r>
                </w:p>
              </w:tc>
            </w:tr>
            <w:tr w14:paraId="35E584E4">
              <w:trPr>
                <w:cantSplit/>
                <w:jc w:val="center"/>
              </w:trPr>
              <w:tc>
                <w:tcPr>
                  <w:tcW w:w="1928" w:type="dxa"/>
                  <w:tcBorders>
                    <w:top w:val="nil"/>
                    <w:left w:val="nil"/>
                    <w:bottom w:val="nil"/>
                    <w:right w:val="nil"/>
                    <w:insideH w:val="nil"/>
                    <w:insideV w:val="nil"/>
                  </w:tcBorders>
                  <w:vAlign w:val="center"/>
                </w:tcPr>
                <w:p w14:paraId="1FB0AED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原文定位</w:t>
                  </w:r>
                </w:p>
              </w:tc>
              <w:tc>
                <w:tcPr>
                  <w:tcW w:w="3685" w:type="dxa"/>
                  <w:tcBorders>
                    <w:top w:val="nil"/>
                    <w:left w:val="nil"/>
                    <w:bottom w:val="nil"/>
                    <w:right w:val="nil"/>
                    <w:insideH w:val="nil"/>
                    <w:insideV w:val="nil"/>
                  </w:tcBorders>
                  <w:vAlign w:val="center"/>
                </w:tcPr>
                <w:p w14:paraId="7AAA828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段落编号、表格标识与引用对应</w:t>
                  </w:r>
                </w:p>
              </w:tc>
              <w:tc>
                <w:tcPr>
                  <w:tcW w:w="4309" w:type="dxa"/>
                  <w:tcBorders>
                    <w:top w:val="nil"/>
                    <w:left w:val="nil"/>
                    <w:bottom w:val="nil"/>
                    <w:right w:val="nil"/>
                    <w:insideH w:val="nil"/>
                    <w:insideV w:val="nil"/>
                  </w:tcBorders>
                  <w:vAlign w:val="center"/>
                </w:tcPr>
                <w:p w14:paraId="44BDEB9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两个Agent共享的材料版</w:t>
                  </w:r>
                </w:p>
              </w:tc>
            </w:tr>
            <w:tr w14:paraId="6F974C2D">
              <w:trPr>
                <w:cantSplit/>
                <w:jc w:val="center"/>
              </w:trPr>
              <w:tc>
                <w:tcPr>
                  <w:tcW w:w="1928" w:type="dxa"/>
                  <w:tcBorders>
                    <w:top w:val="nil"/>
                    <w:left w:val="nil"/>
                    <w:bottom w:val="nil"/>
                    <w:right w:val="nil"/>
                    <w:insideH w:val="nil"/>
                    <w:insideV w:val="nil"/>
                  </w:tcBorders>
                  <w:vAlign w:val="center"/>
                </w:tcPr>
                <w:p w14:paraId="1DC9149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候选缺陷整理</w:t>
                  </w:r>
                </w:p>
              </w:tc>
              <w:tc>
                <w:tcPr>
                  <w:tcW w:w="3685" w:type="dxa"/>
                  <w:tcBorders>
                    <w:top w:val="nil"/>
                    <w:left w:val="nil"/>
                    <w:bottom w:val="nil"/>
                    <w:right w:val="nil"/>
                    <w:insideH w:val="nil"/>
                    <w:insideV w:val="nil"/>
                  </w:tcBorders>
                  <w:vAlign w:val="center"/>
                </w:tcPr>
                <w:p w14:paraId="27D24ED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依据、成立理由、相互重复及独立性</w:t>
                  </w:r>
                </w:p>
              </w:tc>
              <w:tc>
                <w:tcPr>
                  <w:tcW w:w="4309" w:type="dxa"/>
                  <w:tcBorders>
                    <w:top w:val="nil"/>
                    <w:left w:val="nil"/>
                    <w:bottom w:val="nil"/>
                    <w:right w:val="nil"/>
                    <w:insideH w:val="nil"/>
                    <w:insideV w:val="nil"/>
                  </w:tcBorders>
                  <w:vAlign w:val="center"/>
                </w:tcPr>
                <w:p w14:paraId="6A50788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每篇文章的候选缺陷表</w:t>
                  </w:r>
                </w:p>
              </w:tc>
            </w:tr>
            <w:tr w14:paraId="4018B002">
              <w:trPr>
                <w:cantSplit/>
                <w:jc w:val="center"/>
              </w:trPr>
              <w:tc>
                <w:tcPr>
                  <w:tcW w:w="1928" w:type="dxa"/>
                  <w:tcBorders>
                    <w:top w:val="nil"/>
                    <w:left w:val="nil"/>
                    <w:bottom w:val="nil"/>
                    <w:right w:val="nil"/>
                    <w:insideH w:val="nil"/>
                    <w:insideV w:val="nil"/>
                  </w:tcBorders>
                  <w:vAlign w:val="center"/>
                </w:tcPr>
                <w:p w14:paraId="01FF51A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专家审查</w:t>
                  </w:r>
                </w:p>
              </w:tc>
              <w:tc>
                <w:tcPr>
                  <w:tcW w:w="3685" w:type="dxa"/>
                  <w:tcBorders>
                    <w:top w:val="nil"/>
                    <w:left w:val="nil"/>
                    <w:bottom w:val="nil"/>
                    <w:right w:val="nil"/>
                    <w:insideH w:val="nil"/>
                    <w:insideV w:val="nil"/>
                  </w:tcBorders>
                  <w:vAlign w:val="center"/>
                </w:tcPr>
                <w:p w14:paraId="69585B5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缺陷是否成立、边界是否清楚、难度是否适合</w:t>
                  </w:r>
                </w:p>
              </w:tc>
              <w:tc>
                <w:tcPr>
                  <w:tcW w:w="4309" w:type="dxa"/>
                  <w:tcBorders>
                    <w:top w:val="nil"/>
                    <w:left w:val="nil"/>
                    <w:bottom w:val="nil"/>
                    <w:right w:val="nil"/>
                    <w:insideH w:val="nil"/>
                    <w:insideV w:val="nil"/>
                  </w:tcBorders>
                  <w:vAlign w:val="center"/>
                </w:tcPr>
                <w:p w14:paraId="0715951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修订后的缺陷清单和评分依据</w:t>
                  </w:r>
                </w:p>
              </w:tc>
            </w:tr>
            <w:tr w14:paraId="22224595">
              <w:trPr>
                <w:cantSplit/>
                <w:jc w:val="center"/>
              </w:trPr>
              <w:tc>
                <w:tcPr>
                  <w:tcW w:w="1928" w:type="dxa"/>
                  <w:tcBorders>
                    <w:top w:val="nil"/>
                    <w:left w:val="nil"/>
                    <w:bottom w:val="single" w:color="000000" w:sz="8" w:space="0"/>
                    <w:right w:val="nil"/>
                    <w:insideH w:val="nil"/>
                    <w:insideV w:val="nil"/>
                  </w:tcBorders>
                  <w:vAlign w:val="center"/>
                </w:tcPr>
                <w:p w14:paraId="1FC85CF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代表性答案</w:t>
                  </w:r>
                </w:p>
              </w:tc>
              <w:tc>
                <w:tcPr>
                  <w:tcW w:w="3685" w:type="dxa"/>
                  <w:tcBorders>
                    <w:top w:val="nil"/>
                    <w:left w:val="nil"/>
                    <w:bottom w:val="single" w:color="000000" w:sz="8" w:space="0"/>
                    <w:right w:val="nil"/>
                    <w:insideH w:val="nil"/>
                    <w:insideV w:val="nil"/>
                  </w:tcBorders>
                  <w:vAlign w:val="center"/>
                </w:tcPr>
                <w:p w14:paraId="074AAEC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概括及解释不同分档的典型特征</w:t>
                  </w:r>
                </w:p>
              </w:tc>
              <w:tc>
                <w:tcPr>
                  <w:tcW w:w="4309" w:type="dxa"/>
                  <w:tcBorders>
                    <w:top w:val="nil"/>
                    <w:left w:val="nil"/>
                    <w:bottom w:val="single" w:color="000000" w:sz="8" w:space="0"/>
                    <w:right w:val="nil"/>
                    <w:insideH w:val="nil"/>
                    <w:insideV w:val="nil"/>
                  </w:tcBorders>
                  <w:vAlign w:val="center"/>
                </w:tcPr>
                <w:p w14:paraId="0AD7EB6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评分训练材料</w:t>
                  </w:r>
                </w:p>
              </w:tc>
            </w:tr>
          </w:tbl>
          <w:p w14:paraId="43E9FEDF">
            <w:pPr>
              <w:spacing w:before="0" w:after="40" w:line="40" w:lineRule="exact"/>
            </w:pPr>
          </w:p>
        </w:tc>
      </w:tr>
      <w:tr w14:paraId="2C5DC5D4">
        <w:trPr>
          <w:jc w:val="center"/>
        </w:trPr>
        <w:tc>
          <w:tcPr>
            <w:tcW w:w="10440" w:type="dxa"/>
            <w:tcMar>
              <w:top w:w="0" w:type="dxa"/>
              <w:left w:w="160" w:type="dxa"/>
              <w:bottom w:w="0" w:type="dxa"/>
              <w:right w:w="160" w:type="dxa"/>
            </w:tcMar>
            <w:vAlign w:val="top"/>
          </w:tcPr>
          <w:p w14:paraId="6654150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评分材料单独管理，并与参与者阅读版、Agent材料版分开保存。各材料的有效缺陷总数在专家核对和试评后固定，前后测采用相同的判定与计分原则。</w:t>
            </w:r>
          </w:p>
        </w:tc>
      </w:tr>
      <w:tr w14:paraId="699ACA6D">
        <w:trPr>
          <w:jc w:val="center"/>
        </w:trPr>
        <w:tc>
          <w:tcPr>
            <w:tcW w:w="10440" w:type="dxa"/>
            <w:tcMar>
              <w:top w:w="0" w:type="dxa"/>
              <w:left w:w="160" w:type="dxa"/>
              <w:bottom w:w="0" w:type="dxa"/>
              <w:right w:w="160" w:type="dxa"/>
            </w:tcMar>
            <w:vAlign w:val="top"/>
          </w:tcPr>
          <w:p w14:paraId="2D48A9A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预实验前准备材料包、统一指导语、评分手册初稿、四位评分者试评方案、两个可运行Agent、实验界面及数据记录方案。招募4名符合条件的学生试测正式流程，检查任务可理解性、文章难度、回答质量、疲劳与时限，特别关注论文B能否支持三组在训练阶段持续研读，以及无AI组是否过早结束任务。</w:t>
            </w:r>
          </w:p>
        </w:tc>
      </w:tr>
      <w:tr w14:paraId="10F4AE07">
        <w:trPr>
          <w:jc w:val="center"/>
        </w:trPr>
        <w:tc>
          <w:tcPr>
            <w:tcW w:w="10440" w:type="dxa"/>
            <w:tcMar>
              <w:top w:w="0" w:type="dxa"/>
              <w:left w:w="160" w:type="dxa"/>
              <w:bottom w:w="0" w:type="dxa"/>
              <w:right w:w="160" w:type="dxa"/>
            </w:tcMar>
            <w:vAlign w:val="top"/>
          </w:tcPr>
          <w:p w14:paraId="423006E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同时检查Agent的原文理解、提示程度和对话重复，验证回答、日志、时间及评分能否完整记录。四位评分者使用各档代表性回答练习，讨论分歧并修订评分手册。预实验完成后固定正式材料、流程、时间、交互规则与评分标准，预实验参与者不进入正式样本。</w:t>
            </w:r>
          </w:p>
        </w:tc>
      </w:tr>
      <w:tr w14:paraId="2F081477">
        <w:trPr>
          <w:jc w:val="center"/>
        </w:trPr>
        <w:tc>
          <w:tcPr>
            <w:tcW w:w="10440" w:type="dxa"/>
            <w:tcMar>
              <w:top w:w="0" w:type="dxa"/>
              <w:left w:w="160" w:type="dxa"/>
              <w:bottom w:w="0" w:type="dxa"/>
              <w:right w:w="160" w:type="dxa"/>
            </w:tcMar>
            <w:vAlign w:val="top"/>
          </w:tcPr>
          <w:p w14:paraId="165EE56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预实验围绕流程可执行性与测量可用性展开。研究者记录参与者在哪个环节停顿、需要多少操作帮助、能否在时限内形成有依据的评价，以及训练中是否持续进行阅读、核对或讨论。测验后访谈参与者对任务理解与疲劳的感受，评分者则反馈标准是否足以处理实际回答。</w:t>
            </w:r>
          </w:p>
        </w:tc>
      </w:tr>
      <w:tr w14:paraId="2BF555F6">
        <w:trPr>
          <w:jc w:val="center"/>
        </w:trPr>
        <w:tc>
          <w:tcPr>
            <w:tcW w:w="10440" w:type="dxa"/>
            <w:tcMar>
              <w:top w:w="0" w:type="dxa"/>
              <w:left w:w="160" w:type="dxa"/>
              <w:bottom w:w="0" w:type="dxa"/>
              <w:right w:w="160" w:type="dxa"/>
            </w:tcMar>
            <w:vAlign w:val="top"/>
          </w:tcPr>
          <w:p w14:paraId="65D27F85">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表22  预实验检查与调整</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1B50F28C">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675E1EF0">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预实验重点</w:t>
                  </w:r>
                </w:p>
              </w:tc>
              <w:tc>
                <w:tcPr>
                  <w:tcW w:w="3685" w:type="dxa"/>
                  <w:tcBorders>
                    <w:top w:val="single" w:color="000000" w:sz="8" w:space="0"/>
                    <w:left w:val="nil"/>
                    <w:bottom w:val="single" w:color="000000" w:sz="4" w:space="0"/>
                    <w:right w:val="nil"/>
                    <w:insideH w:val="nil"/>
                    <w:insideV w:val="nil"/>
                  </w:tcBorders>
                  <w:vAlign w:val="center"/>
                </w:tcPr>
                <w:p w14:paraId="1B982D3B">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观察与检查</w:t>
                  </w:r>
                </w:p>
              </w:tc>
              <w:tc>
                <w:tcPr>
                  <w:tcW w:w="4309" w:type="dxa"/>
                  <w:tcBorders>
                    <w:top w:val="single" w:color="000000" w:sz="8" w:space="0"/>
                    <w:left w:val="nil"/>
                    <w:bottom w:val="single" w:color="000000" w:sz="4" w:space="0"/>
                    <w:right w:val="nil"/>
                    <w:insideH w:val="nil"/>
                    <w:insideV w:val="nil"/>
                  </w:tcBorders>
                  <w:vAlign w:val="center"/>
                </w:tcPr>
                <w:p w14:paraId="4479064B">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可能的调整</w:t>
                  </w:r>
                </w:p>
              </w:tc>
            </w:tr>
            <w:tr w14:paraId="6080DBA7">
              <w:trPr>
                <w:cantSplit/>
                <w:jc w:val="center"/>
              </w:trPr>
              <w:tc>
                <w:tcPr>
                  <w:tcW w:w="1928" w:type="dxa"/>
                  <w:tcBorders>
                    <w:top w:val="nil"/>
                    <w:left w:val="nil"/>
                    <w:bottom w:val="nil"/>
                    <w:right w:val="nil"/>
                    <w:insideH w:val="nil"/>
                    <w:insideV w:val="nil"/>
                  </w:tcBorders>
                  <w:vAlign w:val="center"/>
                </w:tcPr>
                <w:p w14:paraId="6AC1098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任务理解</w:t>
                  </w:r>
                </w:p>
              </w:tc>
              <w:tc>
                <w:tcPr>
                  <w:tcW w:w="3685" w:type="dxa"/>
                  <w:tcBorders>
                    <w:top w:val="nil"/>
                    <w:left w:val="nil"/>
                    <w:bottom w:val="nil"/>
                    <w:right w:val="nil"/>
                    <w:insideH w:val="nil"/>
                    <w:insideV w:val="nil"/>
                  </w:tcBorders>
                  <w:vAlign w:val="center"/>
                </w:tcPr>
                <w:p w14:paraId="7993CBB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能否区分概括与评价，是否知道需要结合原文说明理由</w:t>
                  </w:r>
                </w:p>
              </w:tc>
              <w:tc>
                <w:tcPr>
                  <w:tcW w:w="4309" w:type="dxa"/>
                  <w:tcBorders>
                    <w:top w:val="nil"/>
                    <w:left w:val="nil"/>
                    <w:bottom w:val="nil"/>
                    <w:right w:val="nil"/>
                    <w:insideH w:val="nil"/>
                    <w:insideV w:val="nil"/>
                  </w:tcBorders>
                  <w:vAlign w:val="center"/>
                </w:tcPr>
                <w:p w14:paraId="14BEB1B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修改指导语和界面提示</w:t>
                  </w:r>
                </w:p>
              </w:tc>
            </w:tr>
            <w:tr w14:paraId="10C544A8">
              <w:trPr>
                <w:cantSplit/>
                <w:jc w:val="center"/>
              </w:trPr>
              <w:tc>
                <w:tcPr>
                  <w:tcW w:w="1928" w:type="dxa"/>
                  <w:tcBorders>
                    <w:top w:val="nil"/>
                    <w:left w:val="nil"/>
                    <w:bottom w:val="nil"/>
                    <w:right w:val="nil"/>
                    <w:insideH w:val="nil"/>
                    <w:insideV w:val="nil"/>
                  </w:tcBorders>
                  <w:vAlign w:val="center"/>
                </w:tcPr>
                <w:p w14:paraId="13C0CB2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材料难度</w:t>
                  </w:r>
                </w:p>
              </w:tc>
              <w:tc>
                <w:tcPr>
                  <w:tcW w:w="3685" w:type="dxa"/>
                  <w:tcBorders>
                    <w:top w:val="nil"/>
                    <w:left w:val="nil"/>
                    <w:bottom w:val="nil"/>
                    <w:right w:val="nil"/>
                    <w:insideH w:val="nil"/>
                    <w:insideV w:val="nil"/>
                  </w:tcBorders>
                  <w:vAlign w:val="center"/>
                </w:tcPr>
                <w:p w14:paraId="4B592AB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术语是否超出基础，回答是否过度集中于最低或最高水平</w:t>
                  </w:r>
                </w:p>
              </w:tc>
              <w:tc>
                <w:tcPr>
                  <w:tcW w:w="4309" w:type="dxa"/>
                  <w:tcBorders>
                    <w:top w:val="nil"/>
                    <w:left w:val="nil"/>
                    <w:bottom w:val="nil"/>
                    <w:right w:val="nil"/>
                    <w:insideH w:val="nil"/>
                    <w:insideV w:val="nil"/>
                  </w:tcBorders>
                  <w:vAlign w:val="center"/>
                </w:tcPr>
                <w:p w14:paraId="6E5902B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调整候选材料及译文</w:t>
                  </w:r>
                </w:p>
              </w:tc>
            </w:tr>
            <w:tr w14:paraId="1625053B">
              <w:trPr>
                <w:cantSplit/>
                <w:jc w:val="center"/>
              </w:trPr>
              <w:tc>
                <w:tcPr>
                  <w:tcW w:w="1928" w:type="dxa"/>
                  <w:tcBorders>
                    <w:top w:val="nil"/>
                    <w:left w:val="nil"/>
                    <w:bottom w:val="nil"/>
                    <w:right w:val="nil"/>
                    <w:insideH w:val="nil"/>
                    <w:insideV w:val="nil"/>
                  </w:tcBorders>
                  <w:vAlign w:val="center"/>
                </w:tcPr>
                <w:p w14:paraId="089CB44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时间与疲劳</w:t>
                  </w:r>
                </w:p>
              </w:tc>
              <w:tc>
                <w:tcPr>
                  <w:tcW w:w="3685" w:type="dxa"/>
                  <w:tcBorders>
                    <w:top w:val="nil"/>
                    <w:left w:val="nil"/>
                    <w:bottom w:val="nil"/>
                    <w:right w:val="nil"/>
                    <w:insideH w:val="nil"/>
                    <w:insideV w:val="nil"/>
                  </w:tcBorders>
                  <w:vAlign w:val="center"/>
                </w:tcPr>
                <w:p w14:paraId="4113742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各阶段完成进度、休息需要及后半程状态</w:t>
                  </w:r>
                </w:p>
              </w:tc>
              <w:tc>
                <w:tcPr>
                  <w:tcW w:w="4309" w:type="dxa"/>
                  <w:tcBorders>
                    <w:top w:val="nil"/>
                    <w:left w:val="nil"/>
                    <w:bottom w:val="nil"/>
                    <w:right w:val="nil"/>
                    <w:insideH w:val="nil"/>
                    <w:insideV w:val="nil"/>
                  </w:tcBorders>
                  <w:vAlign w:val="center"/>
                </w:tcPr>
                <w:p w14:paraId="181990E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固定适合的时限和休息安排</w:t>
                  </w:r>
                </w:p>
              </w:tc>
            </w:tr>
            <w:tr w14:paraId="0B2EC6AA">
              <w:trPr>
                <w:cantSplit/>
                <w:jc w:val="center"/>
              </w:trPr>
              <w:tc>
                <w:tcPr>
                  <w:tcW w:w="1928" w:type="dxa"/>
                  <w:tcBorders>
                    <w:top w:val="nil"/>
                    <w:left w:val="nil"/>
                    <w:bottom w:val="nil"/>
                    <w:right w:val="nil"/>
                    <w:insideH w:val="nil"/>
                    <w:insideV w:val="nil"/>
                  </w:tcBorders>
                  <w:vAlign w:val="center"/>
                </w:tcPr>
                <w:p w14:paraId="78F8741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三组训练活动</w:t>
                  </w:r>
                </w:p>
              </w:tc>
              <w:tc>
                <w:tcPr>
                  <w:tcW w:w="3685" w:type="dxa"/>
                  <w:tcBorders>
                    <w:top w:val="nil"/>
                    <w:left w:val="nil"/>
                    <w:bottom w:val="nil"/>
                    <w:right w:val="nil"/>
                    <w:insideH w:val="nil"/>
                    <w:insideV w:val="nil"/>
                  </w:tcBorders>
                  <w:vAlign w:val="center"/>
                </w:tcPr>
                <w:p w14:paraId="194EC6C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无AI组是否有可持续的研读任务，AI是否帮助或打断讨论</w:t>
                  </w:r>
                </w:p>
              </w:tc>
              <w:tc>
                <w:tcPr>
                  <w:tcW w:w="4309" w:type="dxa"/>
                  <w:tcBorders>
                    <w:top w:val="nil"/>
                    <w:left w:val="nil"/>
                    <w:bottom w:val="nil"/>
                    <w:right w:val="nil"/>
                    <w:insideH w:val="nil"/>
                    <w:insideV w:val="nil"/>
                  </w:tcBorders>
                  <w:vAlign w:val="center"/>
                </w:tcPr>
                <w:p w14:paraId="2431293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调整任务说明、材料和交互</w:t>
                  </w:r>
                </w:p>
              </w:tc>
            </w:tr>
            <w:tr w14:paraId="0D54025E">
              <w:trPr>
                <w:cantSplit/>
                <w:jc w:val="center"/>
              </w:trPr>
              <w:tc>
                <w:tcPr>
                  <w:tcW w:w="1928" w:type="dxa"/>
                  <w:tcBorders>
                    <w:top w:val="nil"/>
                    <w:left w:val="nil"/>
                    <w:bottom w:val="nil"/>
                    <w:right w:val="nil"/>
                    <w:insideH w:val="nil"/>
                    <w:insideV w:val="nil"/>
                  </w:tcBorders>
                  <w:vAlign w:val="center"/>
                </w:tcPr>
                <w:p w14:paraId="18A4197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Agent表现</w:t>
                  </w:r>
                </w:p>
              </w:tc>
              <w:tc>
                <w:tcPr>
                  <w:tcW w:w="3685" w:type="dxa"/>
                  <w:tcBorders>
                    <w:top w:val="nil"/>
                    <w:left w:val="nil"/>
                    <w:bottom w:val="nil"/>
                    <w:right w:val="nil"/>
                    <w:insideH w:val="nil"/>
                    <w:insideV w:val="nil"/>
                  </w:tcBorders>
                  <w:vAlign w:val="center"/>
                </w:tcPr>
                <w:p w14:paraId="7CA4070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原文理解、回复准确性、帮助程度和重复追问</w:t>
                  </w:r>
                </w:p>
              </w:tc>
              <w:tc>
                <w:tcPr>
                  <w:tcW w:w="4309" w:type="dxa"/>
                  <w:tcBorders>
                    <w:top w:val="nil"/>
                    <w:left w:val="nil"/>
                    <w:bottom w:val="nil"/>
                    <w:right w:val="nil"/>
                    <w:insideH w:val="nil"/>
                    <w:insideV w:val="nil"/>
                  </w:tcBorders>
                  <w:vAlign w:val="center"/>
                </w:tcPr>
                <w:p w14:paraId="6451420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修订提示和对话规则</w:t>
                  </w:r>
                </w:p>
              </w:tc>
            </w:tr>
            <w:tr w14:paraId="77EB911B">
              <w:trPr>
                <w:cantSplit/>
                <w:jc w:val="center"/>
              </w:trPr>
              <w:tc>
                <w:tcPr>
                  <w:tcW w:w="1928" w:type="dxa"/>
                  <w:tcBorders>
                    <w:top w:val="nil"/>
                    <w:left w:val="nil"/>
                    <w:bottom w:val="nil"/>
                    <w:right w:val="nil"/>
                    <w:insideH w:val="nil"/>
                    <w:insideV w:val="nil"/>
                  </w:tcBorders>
                  <w:vAlign w:val="center"/>
                </w:tcPr>
                <w:p w14:paraId="6E2515B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评分可执行性</w:t>
                  </w:r>
                </w:p>
              </w:tc>
              <w:tc>
                <w:tcPr>
                  <w:tcW w:w="3685" w:type="dxa"/>
                  <w:tcBorders>
                    <w:top w:val="nil"/>
                    <w:left w:val="nil"/>
                    <w:bottom w:val="nil"/>
                    <w:right w:val="nil"/>
                    <w:insideH w:val="nil"/>
                    <w:insideV w:val="nil"/>
                  </w:tcBorders>
                  <w:vAlign w:val="center"/>
                </w:tcPr>
                <w:p w14:paraId="38B3F22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缺陷能否划分，分档是否清楚，评分耗时是否可行</w:t>
                  </w:r>
                </w:p>
              </w:tc>
              <w:tc>
                <w:tcPr>
                  <w:tcW w:w="4309" w:type="dxa"/>
                  <w:tcBorders>
                    <w:top w:val="nil"/>
                    <w:left w:val="nil"/>
                    <w:bottom w:val="nil"/>
                    <w:right w:val="nil"/>
                    <w:insideH w:val="nil"/>
                    <w:insideV w:val="nil"/>
                  </w:tcBorders>
                  <w:vAlign w:val="center"/>
                </w:tcPr>
                <w:p w14:paraId="2D3ACD6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补充示例并修订评分手册</w:t>
                  </w:r>
                </w:p>
              </w:tc>
            </w:tr>
            <w:tr w14:paraId="2D4D18CD">
              <w:trPr>
                <w:cantSplit/>
                <w:jc w:val="center"/>
              </w:trPr>
              <w:tc>
                <w:tcPr>
                  <w:tcW w:w="1928" w:type="dxa"/>
                  <w:tcBorders>
                    <w:top w:val="nil"/>
                    <w:left w:val="nil"/>
                    <w:bottom w:val="single" w:color="000000" w:sz="8" w:space="0"/>
                    <w:right w:val="nil"/>
                    <w:insideH w:val="nil"/>
                    <w:insideV w:val="nil"/>
                  </w:tcBorders>
                  <w:vAlign w:val="center"/>
                </w:tcPr>
                <w:p w14:paraId="1CE9C49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数据完整性</w:t>
                  </w:r>
                </w:p>
              </w:tc>
              <w:tc>
                <w:tcPr>
                  <w:tcW w:w="3685" w:type="dxa"/>
                  <w:tcBorders>
                    <w:top w:val="nil"/>
                    <w:left w:val="nil"/>
                    <w:bottom w:val="single" w:color="000000" w:sz="8" w:space="0"/>
                    <w:right w:val="nil"/>
                    <w:insideH w:val="nil"/>
                    <w:insideV w:val="nil"/>
                  </w:tcBorders>
                  <w:vAlign w:val="center"/>
                </w:tcPr>
                <w:p w14:paraId="7F5FB9F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文本、笔记、问卷、日志与阶段权限是否正确保存</w:t>
                  </w:r>
                </w:p>
              </w:tc>
              <w:tc>
                <w:tcPr>
                  <w:tcW w:w="4309" w:type="dxa"/>
                  <w:tcBorders>
                    <w:top w:val="nil"/>
                    <w:left w:val="nil"/>
                    <w:bottom w:val="single" w:color="000000" w:sz="8" w:space="0"/>
                    <w:right w:val="nil"/>
                    <w:insideH w:val="nil"/>
                    <w:insideV w:val="nil"/>
                  </w:tcBorders>
                  <w:vAlign w:val="center"/>
                </w:tcPr>
                <w:p w14:paraId="2D4F883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修复记录与权限问题</w:t>
                  </w:r>
                </w:p>
              </w:tc>
            </w:tr>
          </w:tbl>
          <w:p w14:paraId="67C22848">
            <w:pPr>
              <w:spacing w:before="0" w:after="40" w:line="40" w:lineRule="exact"/>
            </w:pPr>
          </w:p>
        </w:tc>
      </w:tr>
      <w:tr w14:paraId="5B306FB2">
        <w:trPr>
          <w:jc w:val="center"/>
        </w:trPr>
        <w:tc>
          <w:tcPr>
            <w:tcW w:w="10440" w:type="dxa"/>
            <w:tcMar>
              <w:top w:w="0" w:type="dxa"/>
              <w:left w:w="160" w:type="dxa"/>
              <w:bottom w:w="0" w:type="dxa"/>
              <w:right w:w="160" w:type="dxa"/>
            </w:tcMar>
            <w:vAlign w:val="top"/>
          </w:tcPr>
          <w:p w14:paraId="36E3633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预实验的4名参与者用于发现流程问题和调整材料，不用于估计稳定的训练效应。预实验修改完成后，保留版本记录，确定正式实验的材料、时间、评分手册及Agent配置。</w:t>
            </w:r>
          </w:p>
        </w:tc>
      </w:tr>
      <w:tr w14:paraId="48645BA9">
        <w:trPr>
          <w:jc w:val="center"/>
        </w:trPr>
        <w:tc>
          <w:tcPr>
            <w:tcW w:w="10440" w:type="dxa"/>
            <w:tcMar>
              <w:top w:w="0" w:type="dxa"/>
              <w:left w:w="160" w:type="dxa"/>
              <w:bottom w:w="0" w:type="dxa"/>
              <w:right w:w="160" w:type="dxa"/>
            </w:tcMar>
            <w:vAlign w:val="top"/>
          </w:tcPr>
          <w:p w14:paraId="410A27F8">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2.4.3 自变量与控制变量</w:t>
            </w:r>
          </w:p>
          <w:p w14:paraId="21E24A58">
            <w:pPr>
              <w:keepNext/>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（1）自变量</w:t>
            </w:r>
          </w:p>
        </w:tc>
      </w:tr>
      <w:tr w14:paraId="4796B857">
        <w:trPr>
          <w:jc w:val="center"/>
        </w:trPr>
        <w:tc>
          <w:tcPr>
            <w:tcW w:w="10440" w:type="dxa"/>
            <w:tcMar>
              <w:top w:w="0" w:type="dxa"/>
              <w:left w:w="160" w:type="dxa"/>
              <w:bottom w:w="0" w:type="dxa"/>
              <w:right w:w="160" w:type="dxa"/>
            </w:tcMar>
            <w:vAlign w:val="top"/>
          </w:tcPr>
          <w:p w14:paraId="4FD1165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的自变量为Agent辅助方式，是一个包含三个水平的组间变量，分别为无AI独立阅读、通用Agent辅助阅读和苏格拉底式Agent辅助阅读。通过随机分组，使参与者在训练阶段接受其中一种支持方式。两个AI组使用相同的底层模型与信息条件，区别在于是否配置持续追问与自适应支架的教学互动策略。各水平的操作性定义如下。</w:t>
            </w:r>
          </w:p>
        </w:tc>
      </w:tr>
      <w:tr w14:paraId="06C1E724">
        <w:trPr>
          <w:jc w:val="center"/>
        </w:trPr>
        <w:tc>
          <w:tcPr>
            <w:tcW w:w="10440" w:type="dxa"/>
            <w:tcMar>
              <w:top w:w="0" w:type="dxa"/>
              <w:left w:w="160" w:type="dxa"/>
              <w:bottom w:w="0" w:type="dxa"/>
              <w:right w:w="160" w:type="dxa"/>
            </w:tcMar>
            <w:vAlign w:val="top"/>
          </w:tcPr>
          <w:p w14:paraId="6A878473">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表23  三组训练条件</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0498877F">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74496EBB">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组别</w:t>
                  </w:r>
                </w:p>
              </w:tc>
              <w:tc>
                <w:tcPr>
                  <w:tcW w:w="3685" w:type="dxa"/>
                  <w:tcBorders>
                    <w:top w:val="single" w:color="000000" w:sz="8" w:space="0"/>
                    <w:left w:val="nil"/>
                    <w:bottom w:val="single" w:color="000000" w:sz="4" w:space="0"/>
                    <w:right w:val="nil"/>
                    <w:insideH w:val="nil"/>
                    <w:insideV w:val="nil"/>
                  </w:tcBorders>
                  <w:vAlign w:val="center"/>
                </w:tcPr>
                <w:p w14:paraId="1170D70A">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训练阶段的支持</w:t>
                  </w:r>
                </w:p>
              </w:tc>
              <w:tc>
                <w:tcPr>
                  <w:tcW w:w="4309" w:type="dxa"/>
                  <w:tcBorders>
                    <w:top w:val="single" w:color="000000" w:sz="8" w:space="0"/>
                    <w:left w:val="nil"/>
                    <w:bottom w:val="single" w:color="000000" w:sz="4" w:space="0"/>
                    <w:right w:val="nil"/>
                    <w:insideH w:val="nil"/>
                    <w:insideV w:val="nil"/>
                  </w:tcBorders>
                  <w:vAlign w:val="center"/>
                </w:tcPr>
                <w:p w14:paraId="1FEA1F45">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参与者开展的活动</w:t>
                  </w:r>
                </w:p>
              </w:tc>
            </w:tr>
            <w:tr w14:paraId="01ACF706">
              <w:trPr>
                <w:cantSplit/>
                <w:jc w:val="center"/>
              </w:trPr>
              <w:tc>
                <w:tcPr>
                  <w:tcW w:w="1928" w:type="dxa"/>
                  <w:tcBorders>
                    <w:top w:val="nil"/>
                    <w:left w:val="nil"/>
                    <w:bottom w:val="nil"/>
                    <w:right w:val="nil"/>
                    <w:insideH w:val="nil"/>
                    <w:insideV w:val="nil"/>
                  </w:tcBorders>
                  <w:vAlign w:val="center"/>
                </w:tcPr>
                <w:p w14:paraId="525FCD7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无AI组</w:t>
                  </w:r>
                </w:p>
              </w:tc>
              <w:tc>
                <w:tcPr>
                  <w:tcW w:w="3685" w:type="dxa"/>
                  <w:tcBorders>
                    <w:top w:val="nil"/>
                    <w:left w:val="nil"/>
                    <w:bottom w:val="nil"/>
                    <w:right w:val="nil"/>
                    <w:insideH w:val="nil"/>
                    <w:insideV w:val="nil"/>
                  </w:tcBorders>
                  <w:vAlign w:val="center"/>
                </w:tcPr>
                <w:p w14:paraId="6E7BA2A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论文、统一译文、基础阅读、标注和笔记工具</w:t>
                  </w:r>
                </w:p>
              </w:tc>
              <w:tc>
                <w:tcPr>
                  <w:tcW w:w="4309" w:type="dxa"/>
                  <w:tcBorders>
                    <w:top w:val="nil"/>
                    <w:left w:val="nil"/>
                    <w:bottom w:val="nil"/>
                    <w:right w:val="nil"/>
                    <w:insideH w:val="nil"/>
                    <w:insideV w:val="nil"/>
                  </w:tcBorders>
                  <w:vAlign w:val="center"/>
                </w:tcPr>
                <w:p w14:paraId="686BB4B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独立阅读、回看、核对依据并记录判断与疑问</w:t>
                  </w:r>
                </w:p>
              </w:tc>
            </w:tr>
            <w:tr w14:paraId="475C411F">
              <w:trPr>
                <w:cantSplit/>
                <w:jc w:val="center"/>
              </w:trPr>
              <w:tc>
                <w:tcPr>
                  <w:tcW w:w="1928" w:type="dxa"/>
                  <w:tcBorders>
                    <w:top w:val="nil"/>
                    <w:left w:val="nil"/>
                    <w:bottom w:val="nil"/>
                    <w:right w:val="nil"/>
                    <w:insideH w:val="nil"/>
                    <w:insideV w:val="nil"/>
                  </w:tcBorders>
                  <w:vAlign w:val="center"/>
                </w:tcPr>
                <w:p w14:paraId="6FE9115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通用Agent组</w:t>
                  </w:r>
                </w:p>
              </w:tc>
              <w:tc>
                <w:tcPr>
                  <w:tcW w:w="3685" w:type="dxa"/>
                  <w:tcBorders>
                    <w:top w:val="nil"/>
                    <w:left w:val="nil"/>
                    <w:bottom w:val="nil"/>
                    <w:right w:val="nil"/>
                    <w:insideH w:val="nil"/>
                    <w:insideV w:val="nil"/>
                  </w:tcBorders>
                  <w:vAlign w:val="center"/>
                </w:tcPr>
                <w:p w14:paraId="114AECC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相同基础工具，加通用Agent</w:t>
                  </w:r>
                </w:p>
              </w:tc>
              <w:tc>
                <w:tcPr>
                  <w:tcW w:w="4309" w:type="dxa"/>
                  <w:tcBorders>
                    <w:top w:val="nil"/>
                    <w:left w:val="nil"/>
                    <w:bottom w:val="nil"/>
                    <w:right w:val="nil"/>
                    <w:insideH w:val="nil"/>
                    <w:insideV w:val="nil"/>
                  </w:tcBorders>
                  <w:vAlign w:val="center"/>
                </w:tcPr>
                <w:p w14:paraId="632C955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可请AI解释、总结、答疑和分析，并围绕论文讨论</w:t>
                  </w:r>
                </w:p>
              </w:tc>
            </w:tr>
            <w:tr w14:paraId="122673A1">
              <w:trPr>
                <w:cantSplit/>
                <w:jc w:val="center"/>
              </w:trPr>
              <w:tc>
                <w:tcPr>
                  <w:tcW w:w="1928" w:type="dxa"/>
                  <w:tcBorders>
                    <w:top w:val="nil"/>
                    <w:left w:val="nil"/>
                    <w:bottom w:val="single" w:color="000000" w:sz="8" w:space="0"/>
                    <w:right w:val="nil"/>
                    <w:insideH w:val="nil"/>
                    <w:insideV w:val="nil"/>
                  </w:tcBorders>
                  <w:vAlign w:val="center"/>
                </w:tcPr>
                <w:p w14:paraId="3BEC266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苏格拉底式Agent组</w:t>
                  </w:r>
                </w:p>
              </w:tc>
              <w:tc>
                <w:tcPr>
                  <w:tcW w:w="3685" w:type="dxa"/>
                  <w:tcBorders>
                    <w:top w:val="nil"/>
                    <w:left w:val="nil"/>
                    <w:bottom w:val="single" w:color="000000" w:sz="8" w:space="0"/>
                    <w:right w:val="nil"/>
                    <w:insideH w:val="nil"/>
                    <w:insideV w:val="nil"/>
                  </w:tcBorders>
                  <w:vAlign w:val="center"/>
                </w:tcPr>
                <w:p w14:paraId="3DBBA2A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相同基础工具与底层模型，加自适应追问规则</w:t>
                  </w:r>
                </w:p>
              </w:tc>
              <w:tc>
                <w:tcPr>
                  <w:tcW w:w="4309" w:type="dxa"/>
                  <w:tcBorders>
                    <w:top w:val="nil"/>
                    <w:left w:val="nil"/>
                    <w:bottom w:val="single" w:color="000000" w:sz="8" w:space="0"/>
                    <w:right w:val="nil"/>
                    <w:insideH w:val="nil"/>
                    <w:insideV w:val="nil"/>
                  </w:tcBorders>
                  <w:vAlign w:val="center"/>
                </w:tcPr>
                <w:p w14:paraId="63909A9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与AI讨论判断，通过追问和必要提示检查、完善理由</w:t>
                  </w:r>
                </w:p>
              </w:tc>
            </w:tr>
          </w:tbl>
          <w:p w14:paraId="660CC6EF">
            <w:pPr>
              <w:spacing w:before="0" w:after="40" w:line="40" w:lineRule="exact"/>
            </w:pPr>
          </w:p>
        </w:tc>
      </w:tr>
      <w:tr w14:paraId="5227013C">
        <w:trPr>
          <w:jc w:val="center"/>
        </w:trPr>
        <w:tc>
          <w:tcPr>
            <w:tcW w:w="10440" w:type="dxa"/>
            <w:tcMar>
              <w:top w:w="0" w:type="dxa"/>
              <w:left w:w="160" w:type="dxa"/>
              <w:bottom w:w="0" w:type="dxa"/>
              <w:right w:w="160" w:type="dxa"/>
            </w:tcMar>
            <w:vAlign w:val="top"/>
          </w:tcPr>
          <w:p w14:paraId="2A307734">
            <w:pPr>
              <w:keepNext/>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（2）控制变量</w:t>
            </w:r>
          </w:p>
        </w:tc>
      </w:tr>
      <w:tr w14:paraId="37325B1D">
        <w:trPr>
          <w:jc w:val="center"/>
        </w:trPr>
        <w:tc>
          <w:tcPr>
            <w:tcW w:w="10440" w:type="dxa"/>
            <w:tcMar>
              <w:top w:w="0" w:type="dxa"/>
              <w:left w:w="160" w:type="dxa"/>
              <w:bottom w:w="0" w:type="dxa"/>
              <w:right w:w="160" w:type="dxa"/>
            </w:tcMar>
            <w:vAlign w:val="top"/>
          </w:tcPr>
          <w:p w14:paraId="2478538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三组使用相同训练论文B和任务目标，时限、休息安排、电脑规格及基础阅读界面一致。两个AI组使用相同模型版本、生成参数、材料与方法学参考、检索工具及权限、上下文保留规则，不提供文章专属评析或评分答案。两组均可在整个训练阶段使用Agent，采用同等便利的讨论入口。</w:t>
            </w:r>
          </w:p>
        </w:tc>
      </w:tr>
      <w:tr w14:paraId="30379A72">
        <w:trPr>
          <w:jc w:val="center"/>
        </w:trPr>
        <w:tc>
          <w:tcPr>
            <w:tcW w:w="10440" w:type="dxa"/>
            <w:tcMar>
              <w:top w:w="0" w:type="dxa"/>
              <w:left w:w="160" w:type="dxa"/>
              <w:bottom w:w="0" w:type="dxa"/>
              <w:right w:w="160" w:type="dxa"/>
            </w:tcMar>
            <w:vAlign w:val="top"/>
          </w:tcPr>
          <w:p w14:paraId="497B6D9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操作培训时长一致。实验员仅处理操作问题，不提供论文内容或研究评价指导。前后测均独立完成，不使用AI、外部搜索、训练笔记或聊天记录，不相互讨论，允许查看当前测验文章。四位评分者在不知道组别和训练日志的情况下独立评分。</w:t>
            </w:r>
          </w:p>
        </w:tc>
      </w:tr>
      <w:tr w14:paraId="717BEF5A">
        <w:trPr>
          <w:jc w:val="center"/>
        </w:trPr>
        <w:tc>
          <w:tcPr>
            <w:tcW w:w="10440" w:type="dxa"/>
            <w:tcMar>
              <w:top w:w="0" w:type="dxa"/>
              <w:left w:w="160" w:type="dxa"/>
              <w:bottom w:w="0" w:type="dxa"/>
              <w:right w:w="160" w:type="dxa"/>
            </w:tcMar>
            <w:vAlign w:val="top"/>
          </w:tcPr>
          <w:p w14:paraId="2879DDCF">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表24  实验控制安排</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154"/>
              <w:gridCol w:w="7767"/>
            </w:tblGrid>
            <w:tr w14:paraId="0AF596E5">
              <w:trPr>
                <w:cantSplit/>
                <w:tblHeader/>
                <w:jc w:val="center"/>
              </w:trPr>
              <w:tc>
                <w:tcPr>
                  <w:tcW w:w="2154" w:type="dxa"/>
                  <w:tcBorders>
                    <w:top w:val="single" w:color="000000" w:sz="8" w:space="0"/>
                    <w:left w:val="nil"/>
                    <w:bottom w:val="single" w:color="000000" w:sz="4" w:space="0"/>
                    <w:right w:val="nil"/>
                    <w:insideH w:val="nil"/>
                    <w:insideV w:val="nil"/>
                  </w:tcBorders>
                  <w:vAlign w:val="center"/>
                </w:tcPr>
                <w:p w14:paraId="45FAA6BE">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控制方面</w:t>
                  </w:r>
                </w:p>
              </w:tc>
              <w:tc>
                <w:tcPr>
                  <w:tcW w:w="7767" w:type="dxa"/>
                  <w:tcBorders>
                    <w:top w:val="single" w:color="000000" w:sz="8" w:space="0"/>
                    <w:left w:val="nil"/>
                    <w:bottom w:val="single" w:color="000000" w:sz="4" w:space="0"/>
                    <w:right w:val="nil"/>
                    <w:insideH w:val="nil"/>
                    <w:insideV w:val="nil"/>
                  </w:tcBorders>
                  <w:vAlign w:val="center"/>
                </w:tcPr>
                <w:p w14:paraId="63A0F61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具体安排</w:t>
                  </w:r>
                </w:p>
              </w:tc>
            </w:tr>
            <w:tr w14:paraId="1B96E4E6">
              <w:trPr>
                <w:cantSplit/>
                <w:jc w:val="center"/>
              </w:trPr>
              <w:tc>
                <w:tcPr>
                  <w:tcW w:w="2154" w:type="dxa"/>
                  <w:tcBorders>
                    <w:top w:val="nil"/>
                    <w:left w:val="nil"/>
                    <w:bottom w:val="nil"/>
                    <w:right w:val="nil"/>
                    <w:insideH w:val="nil"/>
                    <w:insideV w:val="nil"/>
                  </w:tcBorders>
                  <w:vAlign w:val="center"/>
                </w:tcPr>
                <w:p w14:paraId="1B5C0F8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参与者资格与分组</w:t>
                  </w:r>
                </w:p>
              </w:tc>
              <w:tc>
                <w:tcPr>
                  <w:tcW w:w="7767" w:type="dxa"/>
                  <w:tcBorders>
                    <w:top w:val="nil"/>
                    <w:left w:val="nil"/>
                    <w:bottom w:val="nil"/>
                    <w:right w:val="nil"/>
                    <w:insideH w:val="nil"/>
                    <w:insideV w:val="nil"/>
                  </w:tcBorders>
                  <w:vAlign w:val="center"/>
                </w:tcPr>
                <w:p w14:paraId="718A307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采用统一的纳入标准，要求具备相关方法课程基础、科研实践经验有限且未接触实验材料；计划招募100人，符合条件者按1∶1∶1的比例随机分配，使三组人数尽量均衡；目标有效样本90人、每组30人；不设置性别配额。</w:t>
                  </w:r>
                </w:p>
              </w:tc>
            </w:tr>
            <w:tr w14:paraId="30402CE4">
              <w:trPr>
                <w:cantSplit/>
                <w:jc w:val="center"/>
              </w:trPr>
              <w:tc>
                <w:tcPr>
                  <w:tcW w:w="2154" w:type="dxa"/>
                  <w:tcBorders>
                    <w:top w:val="nil"/>
                    <w:left w:val="nil"/>
                    <w:bottom w:val="nil"/>
                    <w:right w:val="nil"/>
                    <w:insideH w:val="nil"/>
                    <w:insideV w:val="nil"/>
                  </w:tcBorders>
                  <w:vAlign w:val="center"/>
                </w:tcPr>
                <w:p w14:paraId="3613687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材料与任务</w:t>
                  </w:r>
                </w:p>
              </w:tc>
              <w:tc>
                <w:tcPr>
                  <w:tcW w:w="7767" w:type="dxa"/>
                  <w:tcBorders>
                    <w:top w:val="nil"/>
                    <w:left w:val="nil"/>
                    <w:bottom w:val="nil"/>
                    <w:right w:val="nil"/>
                    <w:insideH w:val="nil"/>
                    <w:insideV w:val="nil"/>
                  </w:tcBorders>
                  <w:vAlign w:val="center"/>
                </w:tcPr>
                <w:p w14:paraId="0B480C2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三组使用相同的训练论文 B、统一译文及排版，接受相同的研读目标与笔记要求；前后测使用相同的任务指导语。训练不要求完成固定题单或提交完整报告。</w:t>
                  </w:r>
                </w:p>
              </w:tc>
            </w:tr>
            <w:tr w14:paraId="135C1D5E">
              <w:trPr>
                <w:cantSplit/>
                <w:jc w:val="center"/>
              </w:trPr>
              <w:tc>
                <w:tcPr>
                  <w:tcW w:w="2154" w:type="dxa"/>
                  <w:tcBorders>
                    <w:top w:val="nil"/>
                    <w:left w:val="nil"/>
                    <w:bottom w:val="nil"/>
                    <w:right w:val="nil"/>
                    <w:insideH w:val="nil"/>
                    <w:insideV w:val="nil"/>
                  </w:tcBorders>
                  <w:vAlign w:val="center"/>
                </w:tcPr>
                <w:p w14:paraId="2E19D19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材料顺序</w:t>
                  </w:r>
                </w:p>
              </w:tc>
              <w:tc>
                <w:tcPr>
                  <w:tcW w:w="7767" w:type="dxa"/>
                  <w:tcBorders>
                    <w:top w:val="nil"/>
                    <w:left w:val="nil"/>
                    <w:bottom w:val="nil"/>
                    <w:right w:val="nil"/>
                    <w:insideH w:val="nil"/>
                    <w:insideV w:val="nil"/>
                  </w:tcBorders>
                  <w:vAlign w:val="center"/>
                </w:tcPr>
                <w:p w14:paraId="2B7DA15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在各组内平衡安排A→C与C→A两种前后测顺序，以每组30名有效样本为目标，两种顺序各15人；招募与分配时尽量保持均衡，并记录实际分布，避免材料顺序与组别混淆。</w:t>
                  </w:r>
                </w:p>
              </w:tc>
            </w:tr>
            <w:tr w14:paraId="67BCFB1A">
              <w:trPr>
                <w:cantSplit/>
                <w:jc w:val="center"/>
              </w:trPr>
              <w:tc>
                <w:tcPr>
                  <w:tcW w:w="2154" w:type="dxa"/>
                  <w:tcBorders>
                    <w:top w:val="nil"/>
                    <w:left w:val="nil"/>
                    <w:bottom w:val="nil"/>
                    <w:right w:val="nil"/>
                    <w:insideH w:val="nil"/>
                    <w:insideV w:val="nil"/>
                  </w:tcBorders>
                  <w:vAlign w:val="center"/>
                </w:tcPr>
                <w:p w14:paraId="091A0E7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时间与施测环境</w:t>
                  </w:r>
                </w:p>
              </w:tc>
              <w:tc>
                <w:tcPr>
                  <w:tcW w:w="7767" w:type="dxa"/>
                  <w:tcBorders>
                    <w:top w:val="nil"/>
                    <w:left w:val="nil"/>
                    <w:bottom w:val="nil"/>
                    <w:right w:val="nil"/>
                    <w:insideH w:val="nil"/>
                    <w:insideV w:val="nil"/>
                  </w:tcBorders>
                  <w:vAlign w:val="center"/>
                </w:tcPr>
                <w:p w14:paraId="01043E1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三组采用相同的前测、训练和后测时限及休息安排，训练后完成任务负荷测量并休息约10分钟，再进行后测，记录实际间隔；若实施备选延迟后测，统一延迟天数并记录实际间隔；使用相同规格的电脑、基础阅读界面、标注与笔记功能。具体时限经预实验确定后固定。</w:t>
                  </w:r>
                </w:p>
              </w:tc>
            </w:tr>
            <w:tr w14:paraId="2A7CD489">
              <w:trPr>
                <w:cantSplit/>
                <w:jc w:val="center"/>
              </w:trPr>
              <w:tc>
                <w:tcPr>
                  <w:tcW w:w="2154" w:type="dxa"/>
                  <w:tcBorders>
                    <w:top w:val="nil"/>
                    <w:left w:val="nil"/>
                    <w:bottom w:val="nil"/>
                    <w:right w:val="nil"/>
                    <w:insideH w:val="nil"/>
                    <w:insideV w:val="nil"/>
                  </w:tcBorders>
                  <w:vAlign w:val="center"/>
                </w:tcPr>
                <w:p w14:paraId="3AE04B6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操作培训与实验员支持</w:t>
                  </w:r>
                </w:p>
              </w:tc>
              <w:tc>
                <w:tcPr>
                  <w:tcW w:w="7767" w:type="dxa"/>
                  <w:tcBorders>
                    <w:top w:val="nil"/>
                    <w:left w:val="nil"/>
                    <w:bottom w:val="nil"/>
                    <w:right w:val="nil"/>
                    <w:insideH w:val="nil"/>
                    <w:insideV w:val="nil"/>
                  </w:tcBorders>
                  <w:vAlign w:val="center"/>
                </w:tcPr>
                <w:p w14:paraId="29F15ED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三组操作说明时长一致，确保参与者会使用所属工具；两个 AI 组采用相同开场和同等便利的讨论入口。实验员仅处理操作问题，不提供论文内容或研究评价方面的指导。</w:t>
                  </w:r>
                </w:p>
              </w:tc>
            </w:tr>
            <w:tr w14:paraId="01E3AE78">
              <w:trPr>
                <w:cantSplit/>
                <w:jc w:val="center"/>
              </w:trPr>
              <w:tc>
                <w:tcPr>
                  <w:tcW w:w="2154" w:type="dxa"/>
                  <w:tcBorders>
                    <w:top w:val="nil"/>
                    <w:left w:val="nil"/>
                    <w:bottom w:val="nil"/>
                    <w:right w:val="nil"/>
                    <w:insideH w:val="nil"/>
                    <w:insideV w:val="nil"/>
                  </w:tcBorders>
                  <w:vAlign w:val="center"/>
                </w:tcPr>
                <w:p w14:paraId="03D1121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两个 AI 组的技术与信息条件</w:t>
                  </w:r>
                </w:p>
              </w:tc>
              <w:tc>
                <w:tcPr>
                  <w:tcW w:w="7767" w:type="dxa"/>
                  <w:tcBorders>
                    <w:top w:val="nil"/>
                    <w:left w:val="nil"/>
                    <w:bottom w:val="nil"/>
                    <w:right w:val="nil"/>
                    <w:insideH w:val="nil"/>
                    <w:insideV w:val="nil"/>
                  </w:tcBorders>
                  <w:vAlign w:val="center"/>
                </w:tcPr>
                <w:p w14:paraId="5FEB7DB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使用相同模型版本、共同的生成参数设置、搜索工具与权限、上下文保留规则；提供相同的论文内容及通用方法学参考原则。研究者不向任何一组额外输入文章专属评析、缺陷清单或评分答案。主要操纵为教学互动策略。</w:t>
                  </w:r>
                </w:p>
              </w:tc>
            </w:tr>
            <w:tr w14:paraId="4A7B4A26">
              <w:trPr>
                <w:cantSplit/>
                <w:jc w:val="center"/>
              </w:trPr>
              <w:tc>
                <w:tcPr>
                  <w:tcW w:w="2154" w:type="dxa"/>
                  <w:tcBorders>
                    <w:top w:val="nil"/>
                    <w:left w:val="nil"/>
                    <w:bottom w:val="nil"/>
                    <w:right w:val="nil"/>
                    <w:insideH w:val="nil"/>
                    <w:insideV w:val="nil"/>
                  </w:tcBorders>
                  <w:vAlign w:val="center"/>
                </w:tcPr>
                <w:p w14:paraId="550DBD5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测验期间的工具限制</w:t>
                  </w:r>
                </w:p>
              </w:tc>
              <w:tc>
                <w:tcPr>
                  <w:tcW w:w="7767" w:type="dxa"/>
                  <w:tcBorders>
                    <w:top w:val="nil"/>
                    <w:left w:val="nil"/>
                    <w:bottom w:val="nil"/>
                    <w:right w:val="nil"/>
                    <w:insideH w:val="nil"/>
                    <w:insideV w:val="nil"/>
                  </w:tcBorders>
                  <w:vAlign w:val="center"/>
                </w:tcPr>
                <w:p w14:paraId="288939B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前后测三组均独立完成，不使用 AI、外部搜索、训练阶段笔记或聊天记录，不相互讨论；允许查看当前测验文章。</w:t>
                  </w:r>
                </w:p>
              </w:tc>
            </w:tr>
            <w:tr w14:paraId="76A3DDE1">
              <w:trPr>
                <w:cantSplit/>
                <w:jc w:val="center"/>
              </w:trPr>
              <w:tc>
                <w:tcPr>
                  <w:tcW w:w="2154" w:type="dxa"/>
                  <w:tcBorders>
                    <w:top w:val="nil"/>
                    <w:left w:val="nil"/>
                    <w:bottom w:val="single" w:color="000000" w:sz="8" w:space="0"/>
                    <w:right w:val="nil"/>
                    <w:insideH w:val="nil"/>
                    <w:insideV w:val="nil"/>
                  </w:tcBorders>
                  <w:vAlign w:val="center"/>
                </w:tcPr>
                <w:p w14:paraId="245EC06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评分程序</w:t>
                  </w:r>
                </w:p>
              </w:tc>
              <w:tc>
                <w:tcPr>
                  <w:tcW w:w="7767" w:type="dxa"/>
                  <w:tcBorders>
                    <w:top w:val="nil"/>
                    <w:left w:val="nil"/>
                    <w:bottom w:val="single" w:color="000000" w:sz="8" w:space="0"/>
                    <w:right w:val="nil"/>
                    <w:insideH w:val="nil"/>
                    <w:insideV w:val="nil"/>
                  </w:tcBorders>
                  <w:vAlign w:val="center"/>
                </w:tcPr>
                <w:p w14:paraId="2B9C4A2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采用统一评分手册，由经过培训的评分者独立盲评，不向其提供参与者组别及训练日志；按预先规定的方式检验一致性并处理分歧。</w:t>
                  </w:r>
                </w:p>
              </w:tc>
            </w:tr>
          </w:tbl>
          <w:p w14:paraId="3AC2C441">
            <w:pPr>
              <w:spacing w:before="0" w:after="40" w:line="40" w:lineRule="exact"/>
            </w:pPr>
          </w:p>
        </w:tc>
      </w:tr>
      <w:tr w14:paraId="47867F62">
        <w:trPr>
          <w:jc w:val="center"/>
        </w:trPr>
        <w:tc>
          <w:tcPr>
            <w:tcW w:w="10440" w:type="dxa"/>
            <w:tcMar>
              <w:top w:w="0" w:type="dxa"/>
              <w:left w:w="160" w:type="dxa"/>
              <w:bottom w:w="0" w:type="dxa"/>
              <w:right w:w="160" w:type="dxa"/>
            </w:tcMar>
            <w:vAlign w:val="top"/>
          </w:tcPr>
          <w:p w14:paraId="1B6CF62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控制分为实验程序控制与统计调整。课程基础、科研经历及材料接触情况通过纳入标准控制；材料、任务、时长、工具、实验员支持和评分程序在组间保持一致。对应前测得分及材料顺序纳入主要统计模型。初始批判性思维倾向作为探索性调节变量，任务负荷和互动记录用于补充评价与过程分析。</w:t>
            </w:r>
          </w:p>
        </w:tc>
      </w:tr>
      <w:tr w14:paraId="561F70EA">
        <w:trPr>
          <w:jc w:val="center"/>
        </w:trPr>
        <w:tc>
          <w:tcPr>
            <w:tcW w:w="10440" w:type="dxa"/>
            <w:tcMar>
              <w:top w:w="0" w:type="dxa"/>
              <w:left w:w="160" w:type="dxa"/>
              <w:bottom w:w="0" w:type="dxa"/>
              <w:right w:w="160" w:type="dxa"/>
            </w:tcMar>
            <w:vAlign w:val="top"/>
          </w:tcPr>
          <w:p w14:paraId="45F1F48C">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2.4.4 实验流程</w:t>
            </w:r>
          </w:p>
          <w:p w14:paraId="66959B5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提前安排约35分钟完成知情同意、资格与背景登记及批判性思维倾向测量，其中CCTDI暂按30分钟安排。正式训练当天约171分钟，流程见下表。全部时限经预实验检验后固定。</w:t>
            </w:r>
          </w:p>
        </w:tc>
      </w:tr>
      <w:tr w14:paraId="54DCDBB9">
        <w:trPr>
          <w:jc w:val="center"/>
        </w:trPr>
        <w:tc>
          <w:tcPr>
            <w:tcW w:w="10440" w:type="dxa"/>
            <w:tcMar>
              <w:top w:w="0" w:type="dxa"/>
              <w:left w:w="160" w:type="dxa"/>
              <w:bottom w:w="0" w:type="dxa"/>
              <w:right w:w="160" w:type="dxa"/>
            </w:tcMar>
            <w:vAlign w:val="top"/>
          </w:tcPr>
          <w:p w14:paraId="27CAD66C">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表25  训练当天流程</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098"/>
              <w:gridCol w:w="1474"/>
              <w:gridCol w:w="6350"/>
            </w:tblGrid>
            <w:tr w14:paraId="6806C81A">
              <w:trPr>
                <w:cantSplit/>
                <w:tblHeader/>
                <w:jc w:val="center"/>
              </w:trPr>
              <w:tc>
                <w:tcPr>
                  <w:tcW w:w="2098" w:type="dxa"/>
                  <w:tcBorders>
                    <w:top w:val="single" w:color="000000" w:sz="8" w:space="0"/>
                    <w:left w:val="nil"/>
                    <w:bottom w:val="single" w:color="000000" w:sz="4" w:space="0"/>
                    <w:right w:val="nil"/>
                    <w:insideH w:val="nil"/>
                    <w:insideV w:val="nil"/>
                  </w:tcBorders>
                  <w:vAlign w:val="center"/>
                </w:tcPr>
                <w:p w14:paraId="0AF18CD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阶段</w:t>
                  </w:r>
                </w:p>
              </w:tc>
              <w:tc>
                <w:tcPr>
                  <w:tcW w:w="1474" w:type="dxa"/>
                  <w:tcBorders>
                    <w:top w:val="single" w:color="000000" w:sz="8" w:space="0"/>
                    <w:left w:val="nil"/>
                    <w:bottom w:val="single" w:color="000000" w:sz="4" w:space="0"/>
                    <w:right w:val="nil"/>
                    <w:insideH w:val="nil"/>
                    <w:insideV w:val="nil"/>
                  </w:tcBorders>
                  <w:vAlign w:val="center"/>
                </w:tcPr>
                <w:p w14:paraId="211BB4CA">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暂定时长</w:t>
                  </w:r>
                </w:p>
              </w:tc>
              <w:tc>
                <w:tcPr>
                  <w:tcW w:w="6350" w:type="dxa"/>
                  <w:tcBorders>
                    <w:top w:val="single" w:color="000000" w:sz="8" w:space="0"/>
                    <w:left w:val="nil"/>
                    <w:bottom w:val="single" w:color="000000" w:sz="4" w:space="0"/>
                    <w:right w:val="nil"/>
                    <w:insideH w:val="nil"/>
                    <w:insideV w:val="nil"/>
                  </w:tcBorders>
                  <w:vAlign w:val="center"/>
                </w:tcPr>
                <w:p w14:paraId="067F2C2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主要内容</w:t>
                  </w:r>
                </w:p>
              </w:tc>
            </w:tr>
            <w:tr w14:paraId="6D8D2DBC">
              <w:trPr>
                <w:cantSplit/>
                <w:jc w:val="center"/>
              </w:trPr>
              <w:tc>
                <w:tcPr>
                  <w:tcW w:w="2098" w:type="dxa"/>
                  <w:tcBorders>
                    <w:top w:val="nil"/>
                    <w:left w:val="nil"/>
                    <w:bottom w:val="nil"/>
                    <w:right w:val="nil"/>
                    <w:insideH w:val="nil"/>
                    <w:insideV w:val="nil"/>
                  </w:tcBorders>
                  <w:vAlign w:val="center"/>
                </w:tcPr>
                <w:p w14:paraId="14947DD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说明与界面熟悉</w:t>
                  </w:r>
                </w:p>
              </w:tc>
              <w:tc>
                <w:tcPr>
                  <w:tcW w:w="1474" w:type="dxa"/>
                  <w:tcBorders>
                    <w:top w:val="nil"/>
                    <w:left w:val="nil"/>
                    <w:bottom w:val="nil"/>
                    <w:right w:val="nil"/>
                    <w:insideH w:val="nil"/>
                    <w:insideV w:val="nil"/>
                  </w:tcBorders>
                  <w:vAlign w:val="center"/>
                </w:tcPr>
                <w:p w14:paraId="74756FE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5分钟</w:t>
                  </w:r>
                </w:p>
              </w:tc>
              <w:tc>
                <w:tcPr>
                  <w:tcW w:w="6350" w:type="dxa"/>
                  <w:tcBorders>
                    <w:top w:val="nil"/>
                    <w:left w:val="nil"/>
                    <w:bottom w:val="nil"/>
                    <w:right w:val="nil"/>
                    <w:insideH w:val="nil"/>
                    <w:insideV w:val="nil"/>
                  </w:tcBorders>
                  <w:vAlign w:val="center"/>
                </w:tcPr>
                <w:p w14:paraId="0962870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用不涉及正式材料的示例介绍操作</w:t>
                  </w:r>
                </w:p>
              </w:tc>
            </w:tr>
            <w:tr w14:paraId="0E0B40E5">
              <w:trPr>
                <w:cantSplit/>
                <w:jc w:val="center"/>
              </w:trPr>
              <w:tc>
                <w:tcPr>
                  <w:tcW w:w="2098" w:type="dxa"/>
                  <w:tcBorders>
                    <w:top w:val="nil"/>
                    <w:left w:val="nil"/>
                    <w:bottom w:val="nil"/>
                    <w:right w:val="nil"/>
                    <w:insideH w:val="nil"/>
                    <w:insideV w:val="nil"/>
                  </w:tcBorders>
                  <w:vAlign w:val="center"/>
                </w:tcPr>
                <w:p w14:paraId="67DBCFF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前测</w:t>
                  </w:r>
                </w:p>
              </w:tc>
              <w:tc>
                <w:tcPr>
                  <w:tcW w:w="1474" w:type="dxa"/>
                  <w:tcBorders>
                    <w:top w:val="nil"/>
                    <w:left w:val="nil"/>
                    <w:bottom w:val="nil"/>
                    <w:right w:val="nil"/>
                    <w:insideH w:val="nil"/>
                    <w:insideV w:val="nil"/>
                  </w:tcBorders>
                  <w:vAlign w:val="center"/>
                </w:tcPr>
                <w:p w14:paraId="637DAF5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40分钟</w:t>
                  </w:r>
                </w:p>
              </w:tc>
              <w:tc>
                <w:tcPr>
                  <w:tcW w:w="6350" w:type="dxa"/>
                  <w:tcBorders>
                    <w:top w:val="nil"/>
                    <w:left w:val="nil"/>
                    <w:bottom w:val="nil"/>
                    <w:right w:val="nil"/>
                    <w:insideH w:val="nil"/>
                    <w:insideV w:val="nil"/>
                  </w:tcBorders>
                  <w:vAlign w:val="center"/>
                </w:tcPr>
                <w:p w14:paraId="05BCDC0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独立阅读A或C，完成研究概括与研究评价</w:t>
                  </w:r>
                </w:p>
              </w:tc>
            </w:tr>
            <w:tr w14:paraId="075DFAE0">
              <w:trPr>
                <w:cantSplit/>
                <w:jc w:val="center"/>
              </w:trPr>
              <w:tc>
                <w:tcPr>
                  <w:tcW w:w="2098" w:type="dxa"/>
                  <w:tcBorders>
                    <w:top w:val="nil"/>
                    <w:left w:val="nil"/>
                    <w:bottom w:val="nil"/>
                    <w:right w:val="nil"/>
                    <w:insideH w:val="nil"/>
                    <w:insideV w:val="nil"/>
                  </w:tcBorders>
                  <w:vAlign w:val="center"/>
                </w:tcPr>
                <w:p w14:paraId="0A2764F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休息</w:t>
                  </w:r>
                </w:p>
              </w:tc>
              <w:tc>
                <w:tcPr>
                  <w:tcW w:w="1474" w:type="dxa"/>
                  <w:tcBorders>
                    <w:top w:val="nil"/>
                    <w:left w:val="nil"/>
                    <w:bottom w:val="nil"/>
                    <w:right w:val="nil"/>
                    <w:insideH w:val="nil"/>
                    <w:insideV w:val="nil"/>
                  </w:tcBorders>
                  <w:vAlign w:val="center"/>
                </w:tcPr>
                <w:p w14:paraId="2E60EE7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10分钟</w:t>
                  </w:r>
                </w:p>
              </w:tc>
              <w:tc>
                <w:tcPr>
                  <w:tcW w:w="6350" w:type="dxa"/>
                  <w:tcBorders>
                    <w:top w:val="nil"/>
                    <w:left w:val="nil"/>
                    <w:bottom w:val="nil"/>
                    <w:right w:val="nil"/>
                    <w:insideH w:val="nil"/>
                    <w:insideV w:val="nil"/>
                  </w:tcBorders>
                  <w:vAlign w:val="center"/>
                </w:tcPr>
                <w:p w14:paraId="146F39C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暂停任务，不讨论文章</w:t>
                  </w:r>
                </w:p>
              </w:tc>
            </w:tr>
            <w:tr w14:paraId="04D4ADE3">
              <w:trPr>
                <w:cantSplit/>
                <w:jc w:val="center"/>
              </w:trPr>
              <w:tc>
                <w:tcPr>
                  <w:tcW w:w="2098" w:type="dxa"/>
                  <w:tcBorders>
                    <w:top w:val="nil"/>
                    <w:left w:val="nil"/>
                    <w:bottom w:val="nil"/>
                    <w:right w:val="nil"/>
                    <w:insideH w:val="nil"/>
                    <w:insideV w:val="nil"/>
                  </w:tcBorders>
                  <w:vAlign w:val="center"/>
                </w:tcPr>
                <w:p w14:paraId="5D3BA1F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分组工具说明</w:t>
                  </w:r>
                </w:p>
              </w:tc>
              <w:tc>
                <w:tcPr>
                  <w:tcW w:w="1474" w:type="dxa"/>
                  <w:tcBorders>
                    <w:top w:val="nil"/>
                    <w:left w:val="nil"/>
                    <w:bottom w:val="nil"/>
                    <w:right w:val="nil"/>
                    <w:insideH w:val="nil"/>
                    <w:insideV w:val="nil"/>
                  </w:tcBorders>
                  <w:vAlign w:val="center"/>
                </w:tcPr>
                <w:p w14:paraId="59E3A6B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5分钟</w:t>
                  </w:r>
                </w:p>
              </w:tc>
              <w:tc>
                <w:tcPr>
                  <w:tcW w:w="6350" w:type="dxa"/>
                  <w:tcBorders>
                    <w:top w:val="nil"/>
                    <w:left w:val="nil"/>
                    <w:bottom w:val="nil"/>
                    <w:right w:val="nil"/>
                    <w:insideH w:val="nil"/>
                    <w:insideV w:val="nil"/>
                  </w:tcBorders>
                  <w:vAlign w:val="center"/>
                </w:tcPr>
                <w:p w14:paraId="4A111B3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熟悉所属阅读工具与Agent入口</w:t>
                  </w:r>
                </w:p>
              </w:tc>
            </w:tr>
            <w:tr w14:paraId="2E90D04E">
              <w:trPr>
                <w:cantSplit/>
                <w:jc w:val="center"/>
              </w:trPr>
              <w:tc>
                <w:tcPr>
                  <w:tcW w:w="2098" w:type="dxa"/>
                  <w:tcBorders>
                    <w:top w:val="nil"/>
                    <w:left w:val="nil"/>
                    <w:bottom w:val="nil"/>
                    <w:right w:val="nil"/>
                    <w:insideH w:val="nil"/>
                    <w:insideV w:val="nil"/>
                  </w:tcBorders>
                  <w:vAlign w:val="center"/>
                </w:tcPr>
                <w:p w14:paraId="6FD2173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训练</w:t>
                  </w:r>
                </w:p>
              </w:tc>
              <w:tc>
                <w:tcPr>
                  <w:tcW w:w="1474" w:type="dxa"/>
                  <w:tcBorders>
                    <w:top w:val="nil"/>
                    <w:left w:val="nil"/>
                    <w:bottom w:val="nil"/>
                    <w:right w:val="nil"/>
                    <w:insideH w:val="nil"/>
                    <w:insideV w:val="nil"/>
                  </w:tcBorders>
                  <w:vAlign w:val="center"/>
                </w:tcPr>
                <w:p w14:paraId="69C7FDD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50分钟</w:t>
                  </w:r>
                </w:p>
              </w:tc>
              <w:tc>
                <w:tcPr>
                  <w:tcW w:w="6350" w:type="dxa"/>
                  <w:tcBorders>
                    <w:top w:val="nil"/>
                    <w:left w:val="nil"/>
                    <w:bottom w:val="nil"/>
                    <w:right w:val="nil"/>
                    <w:insideH w:val="nil"/>
                    <w:insideV w:val="nil"/>
                  </w:tcBorders>
                  <w:vAlign w:val="center"/>
                </w:tcPr>
                <w:p w14:paraId="1ABA69C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三组研读论文B，按共同任务要求记录判断、依据或疑问</w:t>
                  </w:r>
                </w:p>
              </w:tc>
            </w:tr>
            <w:tr w14:paraId="2F1B9E53">
              <w:trPr>
                <w:cantSplit/>
                <w:jc w:val="center"/>
              </w:trPr>
              <w:tc>
                <w:tcPr>
                  <w:tcW w:w="2098" w:type="dxa"/>
                  <w:tcBorders>
                    <w:top w:val="nil"/>
                    <w:left w:val="nil"/>
                    <w:bottom w:val="nil"/>
                    <w:right w:val="nil"/>
                    <w:insideH w:val="nil"/>
                    <w:insideV w:val="nil"/>
                  </w:tcBorders>
                  <w:vAlign w:val="center"/>
                </w:tcPr>
                <w:p w14:paraId="3EF4B26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主观任务负荷</w:t>
                  </w:r>
                </w:p>
              </w:tc>
              <w:tc>
                <w:tcPr>
                  <w:tcW w:w="1474" w:type="dxa"/>
                  <w:tcBorders>
                    <w:top w:val="nil"/>
                    <w:left w:val="nil"/>
                    <w:bottom w:val="nil"/>
                    <w:right w:val="nil"/>
                    <w:insideH w:val="nil"/>
                    <w:insideV w:val="nil"/>
                  </w:tcBorders>
                  <w:vAlign w:val="center"/>
                </w:tcPr>
                <w:p w14:paraId="0EB8C9E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4分钟</w:t>
                  </w:r>
                </w:p>
              </w:tc>
              <w:tc>
                <w:tcPr>
                  <w:tcW w:w="6350" w:type="dxa"/>
                  <w:tcBorders>
                    <w:top w:val="nil"/>
                    <w:left w:val="nil"/>
                    <w:bottom w:val="nil"/>
                    <w:right w:val="nil"/>
                    <w:insideH w:val="nil"/>
                    <w:insideV w:val="nil"/>
                  </w:tcBorders>
                  <w:vAlign w:val="center"/>
                </w:tcPr>
                <w:p w14:paraId="253E9DC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完成NASA-TLX六个维度评分</w:t>
                  </w:r>
                </w:p>
              </w:tc>
            </w:tr>
            <w:tr w14:paraId="42EC6085">
              <w:trPr>
                <w:cantSplit/>
                <w:jc w:val="center"/>
              </w:trPr>
              <w:tc>
                <w:tcPr>
                  <w:tcW w:w="2098" w:type="dxa"/>
                  <w:tcBorders>
                    <w:top w:val="nil"/>
                    <w:left w:val="nil"/>
                    <w:bottom w:val="nil"/>
                    <w:right w:val="nil"/>
                    <w:insideH w:val="nil"/>
                    <w:insideV w:val="nil"/>
                  </w:tcBorders>
                  <w:vAlign w:val="center"/>
                </w:tcPr>
                <w:p w14:paraId="2734274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训练后休息</w:t>
                  </w:r>
                </w:p>
              </w:tc>
              <w:tc>
                <w:tcPr>
                  <w:tcW w:w="1474" w:type="dxa"/>
                  <w:tcBorders>
                    <w:top w:val="nil"/>
                    <w:left w:val="nil"/>
                    <w:bottom w:val="nil"/>
                    <w:right w:val="nil"/>
                    <w:insideH w:val="nil"/>
                    <w:insideV w:val="nil"/>
                  </w:tcBorders>
                  <w:vAlign w:val="center"/>
                </w:tcPr>
                <w:p w14:paraId="26EA07B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10分钟</w:t>
                  </w:r>
                </w:p>
              </w:tc>
              <w:tc>
                <w:tcPr>
                  <w:tcW w:w="6350" w:type="dxa"/>
                  <w:tcBorders>
                    <w:top w:val="nil"/>
                    <w:left w:val="nil"/>
                    <w:bottom w:val="nil"/>
                    <w:right w:val="nil"/>
                    <w:insideH w:val="nil"/>
                    <w:insideV w:val="nil"/>
                  </w:tcBorders>
                  <w:vAlign w:val="center"/>
                </w:tcPr>
                <w:p w14:paraId="1518493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暂停任务，不查看AI、笔记或评析</w:t>
                  </w:r>
                </w:p>
              </w:tc>
            </w:tr>
            <w:tr w14:paraId="570DCCFA">
              <w:trPr>
                <w:cantSplit/>
                <w:jc w:val="center"/>
              </w:trPr>
              <w:tc>
                <w:tcPr>
                  <w:tcW w:w="2098" w:type="dxa"/>
                  <w:tcBorders>
                    <w:top w:val="nil"/>
                    <w:left w:val="nil"/>
                    <w:bottom w:val="nil"/>
                    <w:right w:val="nil"/>
                    <w:insideH w:val="nil"/>
                    <w:insideV w:val="nil"/>
                  </w:tcBorders>
                  <w:vAlign w:val="center"/>
                </w:tcPr>
                <w:p w14:paraId="105744B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后测规则提醒</w:t>
                  </w:r>
                </w:p>
              </w:tc>
              <w:tc>
                <w:tcPr>
                  <w:tcW w:w="1474" w:type="dxa"/>
                  <w:tcBorders>
                    <w:top w:val="nil"/>
                    <w:left w:val="nil"/>
                    <w:bottom w:val="nil"/>
                    <w:right w:val="nil"/>
                    <w:insideH w:val="nil"/>
                    <w:insideV w:val="nil"/>
                  </w:tcBorders>
                  <w:vAlign w:val="center"/>
                </w:tcPr>
                <w:p w14:paraId="5B27F0E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2分钟</w:t>
                  </w:r>
                </w:p>
              </w:tc>
              <w:tc>
                <w:tcPr>
                  <w:tcW w:w="6350" w:type="dxa"/>
                  <w:tcBorders>
                    <w:top w:val="nil"/>
                    <w:left w:val="nil"/>
                    <w:bottom w:val="nil"/>
                    <w:right w:val="nil"/>
                    <w:insideH w:val="nil"/>
                    <w:insideV w:val="nil"/>
                  </w:tcBorders>
                  <w:vAlign w:val="center"/>
                </w:tcPr>
                <w:p w14:paraId="7718176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确认独立完成的要求</w:t>
                  </w:r>
                </w:p>
              </w:tc>
            </w:tr>
            <w:tr w14:paraId="769789E9">
              <w:trPr>
                <w:cantSplit/>
                <w:jc w:val="center"/>
              </w:trPr>
              <w:tc>
                <w:tcPr>
                  <w:tcW w:w="2098" w:type="dxa"/>
                  <w:tcBorders>
                    <w:top w:val="nil"/>
                    <w:left w:val="nil"/>
                    <w:bottom w:val="nil"/>
                    <w:right w:val="nil"/>
                    <w:insideH w:val="nil"/>
                    <w:insideV w:val="nil"/>
                  </w:tcBorders>
                  <w:vAlign w:val="center"/>
                </w:tcPr>
                <w:p w14:paraId="2E1C193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后测</w:t>
                  </w:r>
                </w:p>
              </w:tc>
              <w:tc>
                <w:tcPr>
                  <w:tcW w:w="1474" w:type="dxa"/>
                  <w:tcBorders>
                    <w:top w:val="nil"/>
                    <w:left w:val="nil"/>
                    <w:bottom w:val="nil"/>
                    <w:right w:val="nil"/>
                    <w:insideH w:val="nil"/>
                    <w:insideV w:val="nil"/>
                  </w:tcBorders>
                  <w:vAlign w:val="center"/>
                </w:tcPr>
                <w:p w14:paraId="0F7899F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40分钟</w:t>
                  </w:r>
                </w:p>
              </w:tc>
              <w:tc>
                <w:tcPr>
                  <w:tcW w:w="6350" w:type="dxa"/>
                  <w:tcBorders>
                    <w:top w:val="nil"/>
                    <w:left w:val="nil"/>
                    <w:bottom w:val="nil"/>
                    <w:right w:val="nil"/>
                    <w:insideH w:val="nil"/>
                    <w:insideV w:val="nil"/>
                  </w:tcBorders>
                  <w:vAlign w:val="center"/>
                </w:tcPr>
                <w:p w14:paraId="47C6D8C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独立阅读另一篇C或A，完成相同类型任务</w:t>
                  </w:r>
                </w:p>
              </w:tc>
            </w:tr>
            <w:tr w14:paraId="5051444D">
              <w:trPr>
                <w:cantSplit/>
                <w:jc w:val="center"/>
              </w:trPr>
              <w:tc>
                <w:tcPr>
                  <w:tcW w:w="2098" w:type="dxa"/>
                  <w:tcBorders>
                    <w:top w:val="nil"/>
                    <w:left w:val="nil"/>
                    <w:bottom w:val="single" w:color="000000" w:sz="8" w:space="0"/>
                    <w:right w:val="nil"/>
                    <w:insideH w:val="nil"/>
                    <w:insideV w:val="nil"/>
                  </w:tcBorders>
                  <w:vAlign w:val="center"/>
                </w:tcPr>
                <w:p w14:paraId="6D1B153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收尾</w:t>
                  </w:r>
                </w:p>
              </w:tc>
              <w:tc>
                <w:tcPr>
                  <w:tcW w:w="1474" w:type="dxa"/>
                  <w:tcBorders>
                    <w:top w:val="nil"/>
                    <w:left w:val="nil"/>
                    <w:bottom w:val="single" w:color="000000" w:sz="8" w:space="0"/>
                    <w:right w:val="nil"/>
                    <w:insideH w:val="nil"/>
                    <w:insideV w:val="nil"/>
                  </w:tcBorders>
                  <w:vAlign w:val="center"/>
                </w:tcPr>
                <w:p w14:paraId="078CFD4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5分钟</w:t>
                  </w:r>
                </w:p>
              </w:tc>
              <w:tc>
                <w:tcPr>
                  <w:tcW w:w="6350" w:type="dxa"/>
                  <w:tcBorders>
                    <w:top w:val="nil"/>
                    <w:left w:val="nil"/>
                    <w:bottom w:val="single" w:color="000000" w:sz="8" w:space="0"/>
                    <w:right w:val="nil"/>
                    <w:insideH w:val="nil"/>
                    <w:insideV w:val="nil"/>
                  </w:tcBorders>
                  <w:vAlign w:val="center"/>
                </w:tcPr>
                <w:p w14:paraId="51E19B4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确认完成情况并结束实验</w:t>
                  </w:r>
                </w:p>
              </w:tc>
            </w:tr>
          </w:tbl>
          <w:p w14:paraId="29BE6FF3">
            <w:pPr>
              <w:spacing w:before="0" w:after="40" w:line="40" w:lineRule="exact"/>
            </w:pPr>
          </w:p>
        </w:tc>
      </w:tr>
      <w:tr w14:paraId="153D8B3C">
        <w:trPr>
          <w:jc w:val="center"/>
        </w:trPr>
        <w:tc>
          <w:tcPr>
            <w:tcW w:w="10440" w:type="dxa"/>
            <w:tcMar>
              <w:top w:w="0" w:type="dxa"/>
              <w:left w:w="160" w:type="dxa"/>
              <w:bottom w:w="0" w:type="dxa"/>
              <w:right w:w="160" w:type="dxa"/>
            </w:tcMar>
            <w:vAlign w:val="top"/>
          </w:tcPr>
          <w:p w14:paraId="19EB400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前后测均包含两个任务。研究概括指导语为：“请简要概括本文的研究问题、研究方法、主要结果，以及作者据此得出的结论。”研究评价指导语为：“请评价这项研究及其结论是否得到充分支持。指出你认为存在的缺陷，并结合文中的具体信息解释理由。”每次测验暂定阅读15分钟、概括8分钟、识别缺陷6分钟、解释理由8分钟、检查提交3分钟，作答时可回看文章。</w:t>
            </w:r>
          </w:p>
        </w:tc>
      </w:tr>
      <w:tr w14:paraId="071E7B4F">
        <w:trPr>
          <w:jc w:val="center"/>
        </w:trPr>
        <w:tc>
          <w:tcPr>
            <w:tcW w:w="10440" w:type="dxa"/>
            <w:tcMar>
              <w:top w:w="0" w:type="dxa"/>
              <w:left w:w="160" w:type="dxa"/>
              <w:bottom w:w="0" w:type="dxa"/>
              <w:right w:w="160" w:type="dxa"/>
            </w:tcMar>
            <w:vAlign w:val="top"/>
          </w:tcPr>
          <w:p w14:paraId="3E36BB1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训练阶段三组使用相同任务指导语：“请研读论文B，理解其研究问题、方法、结果与结论，并判断研究方法和结果是否充分支持结论。阅读时，请用简短笔记或批注记录你的判断、依据或疑问，不限数量，无需提交完整报告。”随后分别说明独立阅读、通用AI帮助或追问式帮助的使用方式。该阶段保留自主研读与讨论空间，不要求完成固定题单。</w:t>
            </w:r>
          </w:p>
        </w:tc>
      </w:tr>
      <w:tr w14:paraId="4C53D3E4">
        <w:trPr>
          <w:jc w:val="center"/>
        </w:trPr>
        <w:tc>
          <w:tcPr>
            <w:tcW w:w="10440" w:type="dxa"/>
            <w:tcMar>
              <w:top w:w="0" w:type="dxa"/>
              <w:left w:w="160" w:type="dxa"/>
              <w:bottom w:w="0" w:type="dxa"/>
              <w:right w:w="160" w:type="dxa"/>
            </w:tcMar>
            <w:vAlign w:val="top"/>
          </w:tcPr>
          <w:p w14:paraId="71B71BC5">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表26  前后测内部流程</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56D04A8C">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3D39B30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测验内环节</w:t>
                  </w:r>
                </w:p>
              </w:tc>
              <w:tc>
                <w:tcPr>
                  <w:tcW w:w="3685" w:type="dxa"/>
                  <w:tcBorders>
                    <w:top w:val="single" w:color="000000" w:sz="8" w:space="0"/>
                    <w:left w:val="nil"/>
                    <w:bottom w:val="single" w:color="000000" w:sz="4" w:space="0"/>
                    <w:right w:val="nil"/>
                    <w:insideH w:val="nil"/>
                    <w:insideV w:val="nil"/>
                  </w:tcBorders>
                  <w:vAlign w:val="center"/>
                </w:tcPr>
                <w:p w14:paraId="79CE1DD3">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参考时长</w:t>
                  </w:r>
                </w:p>
              </w:tc>
              <w:tc>
                <w:tcPr>
                  <w:tcW w:w="4309" w:type="dxa"/>
                  <w:tcBorders>
                    <w:top w:val="single" w:color="000000" w:sz="8" w:space="0"/>
                    <w:left w:val="nil"/>
                    <w:bottom w:val="single" w:color="000000" w:sz="4" w:space="0"/>
                    <w:right w:val="nil"/>
                    <w:insideH w:val="nil"/>
                    <w:insideV w:val="nil"/>
                  </w:tcBorders>
                  <w:vAlign w:val="center"/>
                </w:tcPr>
                <w:p w14:paraId="32AF41C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任务与可使用的信息</w:t>
                  </w:r>
                </w:p>
              </w:tc>
            </w:tr>
            <w:tr w14:paraId="2ADE0645">
              <w:trPr>
                <w:cantSplit/>
                <w:jc w:val="center"/>
              </w:trPr>
              <w:tc>
                <w:tcPr>
                  <w:tcW w:w="1928" w:type="dxa"/>
                  <w:tcBorders>
                    <w:top w:val="nil"/>
                    <w:left w:val="nil"/>
                    <w:bottom w:val="nil"/>
                    <w:right w:val="nil"/>
                    <w:insideH w:val="nil"/>
                    <w:insideV w:val="nil"/>
                  </w:tcBorders>
                  <w:vAlign w:val="center"/>
                </w:tcPr>
                <w:p w14:paraId="2FF122D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浏览文章</w:t>
                  </w:r>
                </w:p>
              </w:tc>
              <w:tc>
                <w:tcPr>
                  <w:tcW w:w="3685" w:type="dxa"/>
                  <w:tcBorders>
                    <w:top w:val="nil"/>
                    <w:left w:val="nil"/>
                    <w:bottom w:val="nil"/>
                    <w:right w:val="nil"/>
                    <w:insideH w:val="nil"/>
                    <w:insideV w:val="nil"/>
                  </w:tcBorders>
                  <w:vAlign w:val="center"/>
                </w:tcPr>
                <w:p w14:paraId="55C69B9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3分钟</w:t>
                  </w:r>
                </w:p>
              </w:tc>
              <w:tc>
                <w:tcPr>
                  <w:tcW w:w="4309" w:type="dxa"/>
                  <w:tcBorders>
                    <w:top w:val="nil"/>
                    <w:left w:val="nil"/>
                    <w:bottom w:val="nil"/>
                    <w:right w:val="nil"/>
                    <w:insideH w:val="nil"/>
                    <w:insideV w:val="nil"/>
                  </w:tcBorders>
                  <w:vAlign w:val="center"/>
                </w:tcPr>
                <w:p w14:paraId="1D130CA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查看标题、摘要、章节与图表，了解结构</w:t>
                  </w:r>
                </w:p>
              </w:tc>
            </w:tr>
            <w:tr w14:paraId="05927AE0">
              <w:trPr>
                <w:cantSplit/>
                <w:jc w:val="center"/>
              </w:trPr>
              <w:tc>
                <w:tcPr>
                  <w:tcW w:w="1928" w:type="dxa"/>
                  <w:tcBorders>
                    <w:top w:val="nil"/>
                    <w:left w:val="nil"/>
                    <w:bottom w:val="nil"/>
                    <w:right w:val="nil"/>
                    <w:insideH w:val="nil"/>
                    <w:insideV w:val="nil"/>
                  </w:tcBorders>
                  <w:vAlign w:val="center"/>
                </w:tcPr>
                <w:p w14:paraId="594DB4F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通读文章</w:t>
                  </w:r>
                </w:p>
              </w:tc>
              <w:tc>
                <w:tcPr>
                  <w:tcW w:w="3685" w:type="dxa"/>
                  <w:tcBorders>
                    <w:top w:val="nil"/>
                    <w:left w:val="nil"/>
                    <w:bottom w:val="nil"/>
                    <w:right w:val="nil"/>
                    <w:insideH w:val="nil"/>
                    <w:insideV w:val="nil"/>
                  </w:tcBorders>
                  <w:vAlign w:val="center"/>
                </w:tcPr>
                <w:p w14:paraId="59044E8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7分钟</w:t>
                  </w:r>
                </w:p>
              </w:tc>
              <w:tc>
                <w:tcPr>
                  <w:tcW w:w="4309" w:type="dxa"/>
                  <w:tcBorders>
                    <w:top w:val="nil"/>
                    <w:left w:val="nil"/>
                    <w:bottom w:val="nil"/>
                    <w:right w:val="nil"/>
                    <w:insideH w:val="nil"/>
                    <w:insideV w:val="nil"/>
                  </w:tcBorders>
                  <w:vAlign w:val="center"/>
                </w:tcPr>
                <w:p w14:paraId="69B3B29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阅读研究问题、方法、结果和讨论，可标记与记笔记</w:t>
                  </w:r>
                </w:p>
              </w:tc>
            </w:tr>
            <w:tr w14:paraId="7E69AF65">
              <w:trPr>
                <w:cantSplit/>
                <w:jc w:val="center"/>
              </w:trPr>
              <w:tc>
                <w:tcPr>
                  <w:tcW w:w="1928" w:type="dxa"/>
                  <w:tcBorders>
                    <w:top w:val="nil"/>
                    <w:left w:val="nil"/>
                    <w:bottom w:val="nil"/>
                    <w:right w:val="nil"/>
                    <w:insideH w:val="nil"/>
                    <w:insideV w:val="nil"/>
                  </w:tcBorders>
                  <w:vAlign w:val="center"/>
                </w:tcPr>
                <w:p w14:paraId="1174B36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重点回看</w:t>
                  </w:r>
                </w:p>
              </w:tc>
              <w:tc>
                <w:tcPr>
                  <w:tcW w:w="3685" w:type="dxa"/>
                  <w:tcBorders>
                    <w:top w:val="nil"/>
                    <w:left w:val="nil"/>
                    <w:bottom w:val="nil"/>
                    <w:right w:val="nil"/>
                    <w:insideH w:val="nil"/>
                    <w:insideV w:val="nil"/>
                  </w:tcBorders>
                  <w:vAlign w:val="center"/>
                </w:tcPr>
                <w:p w14:paraId="273AAF8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5分钟</w:t>
                  </w:r>
                </w:p>
              </w:tc>
              <w:tc>
                <w:tcPr>
                  <w:tcW w:w="4309" w:type="dxa"/>
                  <w:tcBorders>
                    <w:top w:val="nil"/>
                    <w:left w:val="nil"/>
                    <w:bottom w:val="nil"/>
                    <w:right w:val="nil"/>
                    <w:insideH w:val="nil"/>
                    <w:insideV w:val="nil"/>
                  </w:tcBorders>
                  <w:vAlign w:val="center"/>
                </w:tcPr>
                <w:p w14:paraId="26619E2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回看不清楚的研究步骤、数据和结论</w:t>
                  </w:r>
                </w:p>
              </w:tc>
            </w:tr>
            <w:tr w14:paraId="20E27703">
              <w:trPr>
                <w:cantSplit/>
                <w:jc w:val="center"/>
              </w:trPr>
              <w:tc>
                <w:tcPr>
                  <w:tcW w:w="1928" w:type="dxa"/>
                  <w:tcBorders>
                    <w:top w:val="nil"/>
                    <w:left w:val="nil"/>
                    <w:bottom w:val="nil"/>
                    <w:right w:val="nil"/>
                    <w:insideH w:val="nil"/>
                    <w:insideV w:val="nil"/>
                  </w:tcBorders>
                  <w:vAlign w:val="center"/>
                </w:tcPr>
                <w:p w14:paraId="495C2C2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研究概括</w:t>
                  </w:r>
                </w:p>
              </w:tc>
              <w:tc>
                <w:tcPr>
                  <w:tcW w:w="3685" w:type="dxa"/>
                  <w:tcBorders>
                    <w:top w:val="nil"/>
                    <w:left w:val="nil"/>
                    <w:bottom w:val="nil"/>
                    <w:right w:val="nil"/>
                    <w:insideH w:val="nil"/>
                    <w:insideV w:val="nil"/>
                  </w:tcBorders>
                  <w:vAlign w:val="center"/>
                </w:tcPr>
                <w:p w14:paraId="4871BA8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8分钟</w:t>
                  </w:r>
                </w:p>
              </w:tc>
              <w:tc>
                <w:tcPr>
                  <w:tcW w:w="4309" w:type="dxa"/>
                  <w:tcBorders>
                    <w:top w:val="nil"/>
                    <w:left w:val="nil"/>
                    <w:bottom w:val="nil"/>
                    <w:right w:val="nil"/>
                    <w:insideH w:val="nil"/>
                    <w:insideV w:val="nil"/>
                  </w:tcBorders>
                  <w:vAlign w:val="center"/>
                </w:tcPr>
                <w:p w14:paraId="5F0EA71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说明研究问题、方法、结果和作者结论</w:t>
                  </w:r>
                </w:p>
              </w:tc>
            </w:tr>
            <w:tr w14:paraId="50DB5383">
              <w:trPr>
                <w:cantSplit/>
                <w:jc w:val="center"/>
              </w:trPr>
              <w:tc>
                <w:tcPr>
                  <w:tcW w:w="1928" w:type="dxa"/>
                  <w:tcBorders>
                    <w:top w:val="nil"/>
                    <w:left w:val="nil"/>
                    <w:bottom w:val="nil"/>
                    <w:right w:val="nil"/>
                    <w:insideH w:val="nil"/>
                    <w:insideV w:val="nil"/>
                  </w:tcBorders>
                  <w:vAlign w:val="center"/>
                </w:tcPr>
                <w:p w14:paraId="6837F05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识别研究缺陷</w:t>
                  </w:r>
                </w:p>
              </w:tc>
              <w:tc>
                <w:tcPr>
                  <w:tcW w:w="3685" w:type="dxa"/>
                  <w:tcBorders>
                    <w:top w:val="nil"/>
                    <w:left w:val="nil"/>
                    <w:bottom w:val="nil"/>
                    <w:right w:val="nil"/>
                    <w:insideH w:val="nil"/>
                    <w:insideV w:val="nil"/>
                  </w:tcBorders>
                  <w:vAlign w:val="center"/>
                </w:tcPr>
                <w:p w14:paraId="1CEB505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6分钟</w:t>
                  </w:r>
                </w:p>
              </w:tc>
              <w:tc>
                <w:tcPr>
                  <w:tcW w:w="4309" w:type="dxa"/>
                  <w:tcBorders>
                    <w:top w:val="nil"/>
                    <w:left w:val="nil"/>
                    <w:bottom w:val="nil"/>
                    <w:right w:val="nil"/>
                    <w:insideH w:val="nil"/>
                    <w:insideV w:val="nil"/>
                  </w:tcBorders>
                  <w:vAlign w:val="center"/>
                </w:tcPr>
                <w:p w14:paraId="36A5127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找出认为成立的问题，定位依据</w:t>
                  </w:r>
                </w:p>
              </w:tc>
            </w:tr>
            <w:tr w14:paraId="48A9FFB9">
              <w:trPr>
                <w:cantSplit/>
                <w:jc w:val="center"/>
              </w:trPr>
              <w:tc>
                <w:tcPr>
                  <w:tcW w:w="1928" w:type="dxa"/>
                  <w:tcBorders>
                    <w:top w:val="nil"/>
                    <w:left w:val="nil"/>
                    <w:bottom w:val="nil"/>
                    <w:right w:val="nil"/>
                    <w:insideH w:val="nil"/>
                    <w:insideV w:val="nil"/>
                  </w:tcBorders>
                  <w:vAlign w:val="center"/>
                </w:tcPr>
                <w:p w14:paraId="21C7736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解释批评理由</w:t>
                  </w:r>
                </w:p>
              </w:tc>
              <w:tc>
                <w:tcPr>
                  <w:tcW w:w="3685" w:type="dxa"/>
                  <w:tcBorders>
                    <w:top w:val="nil"/>
                    <w:left w:val="nil"/>
                    <w:bottom w:val="nil"/>
                    <w:right w:val="nil"/>
                    <w:insideH w:val="nil"/>
                    <w:insideV w:val="nil"/>
                  </w:tcBorders>
                  <w:vAlign w:val="center"/>
                </w:tcPr>
                <w:p w14:paraId="5DA864E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8分钟</w:t>
                  </w:r>
                </w:p>
              </w:tc>
              <w:tc>
                <w:tcPr>
                  <w:tcW w:w="4309" w:type="dxa"/>
                  <w:tcBorders>
                    <w:top w:val="nil"/>
                    <w:left w:val="nil"/>
                    <w:bottom w:val="nil"/>
                    <w:right w:val="nil"/>
                    <w:insideH w:val="nil"/>
                    <w:insideV w:val="nil"/>
                  </w:tcBorders>
                  <w:vAlign w:val="center"/>
                </w:tcPr>
                <w:p w14:paraId="118BC3E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结合具体信息说明问题为什么影响研究判断</w:t>
                  </w:r>
                </w:p>
              </w:tc>
            </w:tr>
            <w:tr w14:paraId="1E420191">
              <w:trPr>
                <w:cantSplit/>
                <w:jc w:val="center"/>
              </w:trPr>
              <w:tc>
                <w:tcPr>
                  <w:tcW w:w="1928" w:type="dxa"/>
                  <w:tcBorders>
                    <w:top w:val="nil"/>
                    <w:left w:val="nil"/>
                    <w:bottom w:val="nil"/>
                    <w:right w:val="nil"/>
                    <w:insideH w:val="nil"/>
                    <w:insideV w:val="nil"/>
                  </w:tcBorders>
                  <w:vAlign w:val="center"/>
                </w:tcPr>
                <w:p w14:paraId="499B3AF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检查与提交</w:t>
                  </w:r>
                </w:p>
              </w:tc>
              <w:tc>
                <w:tcPr>
                  <w:tcW w:w="3685" w:type="dxa"/>
                  <w:tcBorders>
                    <w:top w:val="nil"/>
                    <w:left w:val="nil"/>
                    <w:bottom w:val="nil"/>
                    <w:right w:val="nil"/>
                    <w:insideH w:val="nil"/>
                    <w:insideV w:val="nil"/>
                  </w:tcBorders>
                  <w:vAlign w:val="center"/>
                </w:tcPr>
                <w:p w14:paraId="72746AC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3分钟</w:t>
                  </w:r>
                </w:p>
              </w:tc>
              <w:tc>
                <w:tcPr>
                  <w:tcW w:w="4309" w:type="dxa"/>
                  <w:tcBorders>
                    <w:top w:val="nil"/>
                    <w:left w:val="nil"/>
                    <w:bottom w:val="nil"/>
                    <w:right w:val="nil"/>
                    <w:insideH w:val="nil"/>
                    <w:insideV w:val="nil"/>
                  </w:tcBorders>
                  <w:vAlign w:val="center"/>
                </w:tcPr>
                <w:p w14:paraId="5329DAE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检查、去重、修订并提交两项回答</w:t>
                  </w:r>
                </w:p>
              </w:tc>
            </w:tr>
            <w:tr w14:paraId="759A41EB">
              <w:trPr>
                <w:cantSplit/>
                <w:jc w:val="center"/>
              </w:trPr>
              <w:tc>
                <w:tcPr>
                  <w:tcW w:w="1928" w:type="dxa"/>
                  <w:tcBorders>
                    <w:top w:val="nil"/>
                    <w:left w:val="nil"/>
                    <w:bottom w:val="single" w:color="000000" w:sz="8" w:space="0"/>
                    <w:right w:val="nil"/>
                    <w:insideH w:val="nil"/>
                    <w:insideV w:val="nil"/>
                  </w:tcBorders>
                  <w:vAlign w:val="center"/>
                </w:tcPr>
                <w:p w14:paraId="2076B4F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合计</w:t>
                  </w:r>
                </w:p>
              </w:tc>
              <w:tc>
                <w:tcPr>
                  <w:tcW w:w="3685" w:type="dxa"/>
                  <w:tcBorders>
                    <w:top w:val="nil"/>
                    <w:left w:val="nil"/>
                    <w:bottom w:val="single" w:color="000000" w:sz="8" w:space="0"/>
                    <w:right w:val="nil"/>
                    <w:insideH w:val="nil"/>
                    <w:insideV w:val="nil"/>
                  </w:tcBorders>
                  <w:vAlign w:val="center"/>
                </w:tcPr>
                <w:p w14:paraId="3A64044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40分钟</w:t>
                  </w:r>
                </w:p>
              </w:tc>
              <w:tc>
                <w:tcPr>
                  <w:tcW w:w="4309" w:type="dxa"/>
                  <w:tcBorders>
                    <w:top w:val="nil"/>
                    <w:left w:val="nil"/>
                    <w:bottom w:val="single" w:color="000000" w:sz="8" w:space="0"/>
                    <w:right w:val="nil"/>
                    <w:insideH w:val="nil"/>
                    <w:insideV w:val="nil"/>
                  </w:tcBorders>
                  <w:vAlign w:val="center"/>
                </w:tcPr>
                <w:p w14:paraId="349126A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作答期间可回看当前文章</w:t>
                  </w:r>
                </w:p>
              </w:tc>
            </w:tr>
          </w:tbl>
          <w:p w14:paraId="6C2E89A1">
            <w:pPr>
              <w:spacing w:before="0" w:after="40" w:line="40" w:lineRule="exact"/>
            </w:pPr>
          </w:p>
        </w:tc>
      </w:tr>
      <w:tr w14:paraId="781124C5">
        <w:trPr>
          <w:jc w:val="center"/>
        </w:trPr>
        <w:tc>
          <w:tcPr>
            <w:tcW w:w="10440" w:type="dxa"/>
            <w:tcMar>
              <w:top w:w="0" w:type="dxa"/>
              <w:left w:w="160" w:type="dxa"/>
              <w:bottom w:w="0" w:type="dxa"/>
              <w:right w:w="160" w:type="dxa"/>
            </w:tcMar>
            <w:vAlign w:val="top"/>
          </w:tcPr>
          <w:p w14:paraId="599C1EB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训练当天的前测后不提供分数和参考答案，参与者休息后进入论文B的训练。分组补充说明分别为：“请使用阅读、标注和笔记工具独立完成”；“你可以使用AI助手进行解释、答疑和讨论”；“你可以与AI助手讨论，它会通过追问和必要提示，帮助你检查并完善自己的判断”。共同研读目标和记录要求保持一致。</w:t>
            </w:r>
          </w:p>
        </w:tc>
      </w:tr>
      <w:tr w14:paraId="3545FAD8">
        <w:trPr>
          <w:jc w:val="center"/>
        </w:trPr>
        <w:tc>
          <w:tcPr>
            <w:tcW w:w="10440" w:type="dxa"/>
            <w:tcMar>
              <w:top w:w="0" w:type="dxa"/>
              <w:left w:w="160" w:type="dxa"/>
              <w:bottom w:w="0" w:type="dxa"/>
              <w:right w:w="160" w:type="dxa"/>
            </w:tcMar>
            <w:vAlign w:val="top"/>
          </w:tcPr>
          <w:p w14:paraId="0C2BC39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无AI组在50分钟内独立阅读、回看方法与结果、核对结论并记录判断或疑问。两个AI组在相同时间内可自由使用所属Agent，不设置前若干分钟禁止AI的单独阶段。三组均可自主调整阅读顺序，不限定批注或笔记数量，也不要求提交完整训练报告。平台保存这些过程资料，研究者记录实际阅读、讨论及技术问题。</w:t>
            </w:r>
          </w:p>
        </w:tc>
      </w:tr>
      <w:tr w14:paraId="62238A19">
        <w:trPr>
          <w:jc w:val="center"/>
        </w:trPr>
        <w:tc>
          <w:tcPr>
            <w:tcW w:w="10440" w:type="dxa"/>
            <w:tcMar>
              <w:top w:w="0" w:type="dxa"/>
              <w:left w:w="160" w:type="dxa"/>
              <w:bottom w:w="0" w:type="dxa"/>
              <w:right w:w="160" w:type="dxa"/>
            </w:tcMar>
            <w:vAlign w:val="top"/>
          </w:tcPr>
          <w:p w14:paraId="7D72894B">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训练结束后完成NASA-TLX并休息，再开启独立后测。后测使用另一篇A或C，任务和权限与前测相同，训练阶段的聊天记录和笔记不再开放。实验员提醒独立完成规则并处理操作问题。整个核心安排包含提前测量约35分钟及训练当天约171分钟，共约206分钟。</w:t>
            </w:r>
          </w:p>
        </w:tc>
      </w:tr>
      <w:tr w14:paraId="1B506FFE">
        <w:trPr>
          <w:jc w:val="center"/>
        </w:trPr>
        <w:tc>
          <w:tcPr>
            <w:tcW w:w="10440" w:type="dxa"/>
            <w:tcMar>
              <w:top w:w="0" w:type="dxa"/>
              <w:left w:w="160" w:type="dxa"/>
              <w:bottom w:w="0" w:type="dxa"/>
              <w:right w:w="160" w:type="dxa"/>
            </w:tcMar>
            <w:vAlign w:val="top"/>
          </w:tcPr>
          <w:p w14:paraId="35B0C31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当前主要后测在训练后休息约10分钟进行。延迟后测作为备选安排：若实施，将在正式实验前确定固定间隔，另选同类模拟研究文章D，采用相同任务和评分规则，并统一记录实际间隔。延迟后测另行安排补偿与分析，不纳入本报告当前的主要检验。</w:t>
            </w:r>
          </w:p>
        </w:tc>
      </w:tr>
      <w:tr w14:paraId="35EB7A22">
        <w:trPr>
          <w:jc w:val="center"/>
        </w:trPr>
        <w:tc>
          <w:tcPr>
            <w:tcW w:w="10440" w:type="dxa"/>
            <w:tcMar>
              <w:top w:w="0" w:type="dxa"/>
              <w:left w:w="160" w:type="dxa"/>
              <w:bottom w:w="0" w:type="dxa"/>
              <w:right w:w="160" w:type="dxa"/>
            </w:tcMar>
            <w:vAlign w:val="top"/>
          </w:tcPr>
          <w:p w14:paraId="0AF878B7">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2.4.5 因变量及其测量</w:t>
            </w:r>
          </w:p>
          <w:p w14:paraId="0ECA267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的因变量包括论文内容概括表现和批判性评价表现，均通过前后测的独立书面作答测量。论文内容概括表现是次要因变量，指参与者能否准确把握论文的研究问题、研究方法、主要结果和作者结论。批判性评价表现是主要因变量，指参与者能否识别研究中的有效缺陷，并结合具体依据作出推理成立的解释；其中，缺陷识别击中率和平均解释质量为主要测量指标，缺陷识别精确率为补充指标。</w:t>
            </w:r>
          </w:p>
          <w:p w14:paraId="14DB4D3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测量设计综合借鉴已有研究：Sternberg和Sternberg（2017）的审稿人任务为开放式缺陷识别提供依据，Meltzoff和Cooper（2018）的模拟研究及配套评析用于确定材料与评价参照，Timmerman等人（2011）和Arriagada Anabalón等人（2026）的评分思路用于细化解释中的证据与推理要求，CriTrainer则为分别评价概括与批判性阅读产出提供参考（Yuan et al., 2023）。本研究据此制定与材料对应的操作性定义和评分手册，具体指标及计分如下。</w:t>
            </w:r>
          </w:p>
        </w:tc>
      </w:tr>
      <w:tr w14:paraId="2AA49D42">
        <w:trPr>
          <w:jc w:val="center"/>
        </w:trPr>
        <w:tc>
          <w:tcPr>
            <w:tcW w:w="10440" w:type="dxa"/>
            <w:tcMar>
              <w:top w:w="0" w:type="dxa"/>
              <w:left w:w="160" w:type="dxa"/>
              <w:bottom w:w="0" w:type="dxa"/>
              <w:right w:w="160" w:type="dxa"/>
            </w:tcMar>
            <w:vAlign w:val="top"/>
          </w:tcPr>
          <w:p w14:paraId="34719FCD">
            <w:pPr>
              <w:keepNext/>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（1）批判性评价表现</w:t>
            </w:r>
          </w:p>
        </w:tc>
      </w:tr>
      <w:tr w14:paraId="513C9FFC">
        <w:trPr>
          <w:jc w:val="center"/>
        </w:trPr>
        <w:tc>
          <w:tcPr>
            <w:tcW w:w="10440" w:type="dxa"/>
            <w:tcMar>
              <w:top w:w="0" w:type="dxa"/>
              <w:left w:w="160" w:type="dxa"/>
              <w:bottom w:w="0" w:type="dxa"/>
              <w:right w:w="160" w:type="dxa"/>
            </w:tcMar>
            <w:vAlign w:val="top"/>
          </w:tcPr>
          <w:p w14:paraId="0E1738D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缺陷识别击中率反映参与者能够发现多少预设有效缺陷，平均解释质量反映其对有效缺陷的解释是否充分。评分首先把参与者提出的批评分解为不同缺陷，同一问题的重复表达合并。结合原文及评分手册判断每项是否具体且成立，得到有效缺陷数。缺陷识别击中率＝有效缺陷数／该材料预设有效缺陷总数。</w:t>
            </w:r>
          </w:p>
        </w:tc>
      </w:tr>
      <w:tr w14:paraId="62E337F7">
        <w:trPr>
          <w:jc w:val="center"/>
        </w:trPr>
        <w:tc>
          <w:tcPr>
            <w:tcW w:w="10440" w:type="dxa"/>
            <w:tcMar>
              <w:top w:w="0" w:type="dxa"/>
              <w:left w:w="160" w:type="dxa"/>
              <w:bottom w:w="0" w:type="dxa"/>
              <w:right w:w="160" w:type="dxa"/>
            </w:tcMar>
            <w:vAlign w:val="top"/>
          </w:tcPr>
          <w:p w14:paraId="5620FC8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对回答先进行缺陷单元划分，再判断是否有效。同一段文字涉及两个相互独立的问题时分别记录；多处文字表达同一问题时合并；只陈述优点或描述论文内容的句子不计为所提缺陷。有效缺陷须指向具体研究做法或推断，并具有成立的事实或方法依据。每篇材料在评分手册中给出典型表达与边界案例，便于四位评分者按相同单位工作。</w:t>
            </w:r>
          </w:p>
        </w:tc>
      </w:tr>
      <w:tr w14:paraId="451B572C">
        <w:trPr>
          <w:jc w:val="center"/>
        </w:trPr>
        <w:tc>
          <w:tcPr>
            <w:tcW w:w="10440" w:type="dxa"/>
            <w:tcMar>
              <w:top w:w="0" w:type="dxa"/>
              <w:left w:w="160" w:type="dxa"/>
              <w:bottom w:w="0" w:type="dxa"/>
              <w:right w:w="160" w:type="dxa"/>
            </w:tcMar>
            <w:vAlign w:val="top"/>
          </w:tcPr>
          <w:p w14:paraId="03267E81">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表27  因变量的操作性定义与计分</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814"/>
              <w:gridCol w:w="2665"/>
              <w:gridCol w:w="2665"/>
              <w:gridCol w:w="2778"/>
            </w:tblGrid>
            <w:tr w14:paraId="3BD1D58B">
              <w:trPr>
                <w:cantSplit/>
                <w:tblHeader/>
                <w:jc w:val="center"/>
              </w:trPr>
              <w:tc>
                <w:tcPr>
                  <w:tcW w:w="1814" w:type="dxa"/>
                  <w:tcBorders>
                    <w:top w:val="single" w:color="000000" w:sz="8" w:space="0"/>
                    <w:left w:val="nil"/>
                    <w:bottom w:val="single" w:color="000000" w:sz="4" w:space="0"/>
                    <w:right w:val="nil"/>
                    <w:insideH w:val="nil"/>
                    <w:insideV w:val="nil"/>
                  </w:tcBorders>
                  <w:vAlign w:val="center"/>
                </w:tcPr>
                <w:p w14:paraId="1C99AC9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因变量及测量指标</w:t>
                  </w:r>
                </w:p>
              </w:tc>
              <w:tc>
                <w:tcPr>
                  <w:tcW w:w="2665" w:type="dxa"/>
                  <w:tcBorders>
                    <w:top w:val="single" w:color="000000" w:sz="8" w:space="0"/>
                    <w:left w:val="nil"/>
                    <w:bottom w:val="single" w:color="000000" w:sz="4" w:space="0"/>
                    <w:right w:val="nil"/>
                    <w:insideH w:val="nil"/>
                    <w:insideV w:val="nil"/>
                  </w:tcBorders>
                  <w:vAlign w:val="center"/>
                </w:tcPr>
                <w:p w14:paraId="40FF728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操作性定义</w:t>
                  </w:r>
                </w:p>
              </w:tc>
              <w:tc>
                <w:tcPr>
                  <w:tcW w:w="2665" w:type="dxa"/>
                  <w:tcBorders>
                    <w:top w:val="single" w:color="000000" w:sz="8" w:space="0"/>
                    <w:left w:val="nil"/>
                    <w:bottom w:val="single" w:color="000000" w:sz="4" w:space="0"/>
                    <w:right w:val="nil"/>
                    <w:insideH w:val="nil"/>
                    <w:insideV w:val="nil"/>
                  </w:tcBorders>
                  <w:vAlign w:val="center"/>
                </w:tcPr>
                <w:p w14:paraId="2A0E904A">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计分方式</w:t>
                  </w:r>
                </w:p>
              </w:tc>
              <w:tc>
                <w:tcPr>
                  <w:tcW w:w="2778" w:type="dxa"/>
                  <w:tcBorders>
                    <w:top w:val="single" w:color="000000" w:sz="8" w:space="0"/>
                    <w:left w:val="nil"/>
                    <w:bottom w:val="single" w:color="000000" w:sz="4" w:space="0"/>
                    <w:right w:val="nil"/>
                    <w:insideH w:val="nil"/>
                    <w:insideV w:val="nil"/>
                  </w:tcBorders>
                  <w:vAlign w:val="center"/>
                </w:tcPr>
                <w:p w14:paraId="66860627">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指标用途</w:t>
                  </w:r>
                </w:p>
              </w:tc>
            </w:tr>
            <w:tr w14:paraId="5D192773">
              <w:trPr>
                <w:cantSplit/>
                <w:jc w:val="center"/>
              </w:trPr>
              <w:tc>
                <w:tcPr>
                  <w:tcW w:w="1814" w:type="dxa"/>
                  <w:tcBorders>
                    <w:top w:val="nil"/>
                    <w:left w:val="nil"/>
                    <w:bottom w:val="nil"/>
                    <w:right w:val="nil"/>
                    <w:insideH w:val="nil"/>
                    <w:insideV w:val="nil"/>
                  </w:tcBorders>
                  <w:vAlign w:val="center"/>
                </w:tcPr>
                <w:p w14:paraId="3775D8D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批判性评价表现：缺陷识别击中率</w:t>
                  </w:r>
                </w:p>
              </w:tc>
              <w:tc>
                <w:tcPr>
                  <w:tcW w:w="2665" w:type="dxa"/>
                  <w:tcBorders>
                    <w:top w:val="nil"/>
                    <w:left w:val="nil"/>
                    <w:bottom w:val="nil"/>
                    <w:right w:val="nil"/>
                    <w:insideH w:val="nil"/>
                    <w:insideV w:val="nil"/>
                  </w:tcBorders>
                  <w:vAlign w:val="center"/>
                </w:tcPr>
                <w:p w14:paraId="211192A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发现预设有效研究缺陷的比例</w:t>
                  </w:r>
                </w:p>
              </w:tc>
              <w:tc>
                <w:tcPr>
                  <w:tcW w:w="2665" w:type="dxa"/>
                  <w:tcBorders>
                    <w:top w:val="nil"/>
                    <w:left w:val="nil"/>
                    <w:bottom w:val="nil"/>
                    <w:right w:val="nil"/>
                    <w:insideH w:val="nil"/>
                    <w:insideV w:val="nil"/>
                  </w:tcBorders>
                  <w:vAlign w:val="center"/>
                </w:tcPr>
                <w:p w14:paraId="05D32CF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有效缺陷数÷该材料预设有效缺陷总数</w:t>
                  </w:r>
                </w:p>
              </w:tc>
              <w:tc>
                <w:tcPr>
                  <w:tcW w:w="2778" w:type="dxa"/>
                  <w:tcBorders>
                    <w:top w:val="nil"/>
                    <w:left w:val="nil"/>
                    <w:bottom w:val="nil"/>
                    <w:right w:val="nil"/>
                    <w:insideH w:val="nil"/>
                    <w:insideV w:val="nil"/>
                  </w:tcBorders>
                  <w:vAlign w:val="center"/>
                </w:tcPr>
                <w:p w14:paraId="3E2651D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主要因变量的主要指标</w:t>
                  </w:r>
                </w:p>
              </w:tc>
            </w:tr>
            <w:tr w14:paraId="331597A5">
              <w:trPr>
                <w:cantSplit/>
                <w:jc w:val="center"/>
              </w:trPr>
              <w:tc>
                <w:tcPr>
                  <w:tcW w:w="1814" w:type="dxa"/>
                  <w:tcBorders>
                    <w:top w:val="nil"/>
                    <w:left w:val="nil"/>
                    <w:bottom w:val="nil"/>
                    <w:right w:val="nil"/>
                    <w:insideH w:val="nil"/>
                    <w:insideV w:val="nil"/>
                  </w:tcBorders>
                  <w:vAlign w:val="center"/>
                </w:tcPr>
                <w:p w14:paraId="35B8A38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批判性评价表现：平均解释质量</w:t>
                  </w:r>
                </w:p>
              </w:tc>
              <w:tc>
                <w:tcPr>
                  <w:tcW w:w="2665" w:type="dxa"/>
                  <w:tcBorders>
                    <w:top w:val="nil"/>
                    <w:left w:val="nil"/>
                    <w:bottom w:val="nil"/>
                    <w:right w:val="nil"/>
                    <w:insideH w:val="nil"/>
                    <w:insideV w:val="nil"/>
                  </w:tcBorders>
                  <w:vAlign w:val="center"/>
                </w:tcPr>
                <w:p w14:paraId="113FCEE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对有效缺陷说明依据与推理的充分程度</w:t>
                  </w:r>
                </w:p>
              </w:tc>
              <w:tc>
                <w:tcPr>
                  <w:tcW w:w="2665" w:type="dxa"/>
                  <w:tcBorders>
                    <w:top w:val="nil"/>
                    <w:left w:val="nil"/>
                    <w:bottom w:val="nil"/>
                    <w:right w:val="nil"/>
                    <w:insideH w:val="nil"/>
                    <w:insideV w:val="nil"/>
                  </w:tcBorders>
                  <w:vAlign w:val="center"/>
                </w:tcPr>
                <w:p w14:paraId="7536658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各有效缺陷解释分之和÷有效缺陷数，零有效缺陷记0</w:t>
                  </w:r>
                </w:p>
              </w:tc>
              <w:tc>
                <w:tcPr>
                  <w:tcW w:w="2778" w:type="dxa"/>
                  <w:tcBorders>
                    <w:top w:val="nil"/>
                    <w:left w:val="nil"/>
                    <w:bottom w:val="nil"/>
                    <w:right w:val="nil"/>
                    <w:insideH w:val="nil"/>
                    <w:insideV w:val="nil"/>
                  </w:tcBorders>
                  <w:vAlign w:val="center"/>
                </w:tcPr>
                <w:p w14:paraId="571AB30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主要因变量的主要指标</w:t>
                  </w:r>
                </w:p>
              </w:tc>
            </w:tr>
            <w:tr w14:paraId="4BAA0FE4">
              <w:trPr>
                <w:cantSplit/>
                <w:jc w:val="center"/>
              </w:trPr>
              <w:tc>
                <w:tcPr>
                  <w:tcW w:w="1814" w:type="dxa"/>
                  <w:tcBorders>
                    <w:top w:val="nil"/>
                    <w:left w:val="nil"/>
                    <w:bottom w:val="nil"/>
                    <w:right w:val="nil"/>
                    <w:insideH w:val="nil"/>
                    <w:insideV w:val="nil"/>
                  </w:tcBorders>
                  <w:vAlign w:val="center"/>
                </w:tcPr>
                <w:p w14:paraId="1E659C3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批判性评价表现：缺陷识别精确率</w:t>
                  </w:r>
                </w:p>
              </w:tc>
              <w:tc>
                <w:tcPr>
                  <w:tcW w:w="2665" w:type="dxa"/>
                  <w:tcBorders>
                    <w:top w:val="nil"/>
                    <w:left w:val="nil"/>
                    <w:bottom w:val="nil"/>
                    <w:right w:val="nil"/>
                    <w:insideH w:val="nil"/>
                    <w:insideV w:val="nil"/>
                  </w:tcBorders>
                  <w:vAlign w:val="center"/>
                </w:tcPr>
                <w:p w14:paraId="09F9D8B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所提出不同缺陷中成立的比例</w:t>
                  </w:r>
                </w:p>
              </w:tc>
              <w:tc>
                <w:tcPr>
                  <w:tcW w:w="2665" w:type="dxa"/>
                  <w:tcBorders>
                    <w:top w:val="nil"/>
                    <w:left w:val="nil"/>
                    <w:bottom w:val="nil"/>
                    <w:right w:val="nil"/>
                    <w:insideH w:val="nil"/>
                    <w:insideV w:val="nil"/>
                  </w:tcBorders>
                  <w:vAlign w:val="center"/>
                </w:tcPr>
                <w:p w14:paraId="04BD269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有效缺陷数÷提出的不同缺陷总数</w:t>
                  </w:r>
                </w:p>
              </w:tc>
              <w:tc>
                <w:tcPr>
                  <w:tcW w:w="2778" w:type="dxa"/>
                  <w:tcBorders>
                    <w:top w:val="nil"/>
                    <w:left w:val="nil"/>
                    <w:bottom w:val="nil"/>
                    <w:right w:val="nil"/>
                    <w:insideH w:val="nil"/>
                    <w:insideV w:val="nil"/>
                  </w:tcBorders>
                  <w:vAlign w:val="center"/>
                </w:tcPr>
                <w:p w14:paraId="51ACD77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主要因变量的补充指标</w:t>
                  </w:r>
                </w:p>
              </w:tc>
            </w:tr>
            <w:tr w14:paraId="76C83D35">
              <w:trPr>
                <w:cantSplit/>
                <w:jc w:val="center"/>
              </w:trPr>
              <w:tc>
                <w:tcPr>
                  <w:tcW w:w="1814" w:type="dxa"/>
                  <w:tcBorders>
                    <w:top w:val="nil"/>
                    <w:left w:val="nil"/>
                    <w:bottom w:val="single" w:color="000000" w:sz="8" w:space="0"/>
                    <w:right w:val="nil"/>
                    <w:insideH w:val="nil"/>
                    <w:insideV w:val="nil"/>
                  </w:tcBorders>
                  <w:vAlign w:val="center"/>
                </w:tcPr>
                <w:p w14:paraId="58D5097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论文内容概括表现</w:t>
                  </w:r>
                </w:p>
              </w:tc>
              <w:tc>
                <w:tcPr>
                  <w:tcW w:w="2665" w:type="dxa"/>
                  <w:tcBorders>
                    <w:top w:val="nil"/>
                    <w:left w:val="nil"/>
                    <w:bottom w:val="single" w:color="000000" w:sz="8" w:space="0"/>
                    <w:right w:val="nil"/>
                    <w:insideH w:val="nil"/>
                    <w:insideV w:val="nil"/>
                  </w:tcBorders>
                  <w:vAlign w:val="center"/>
                </w:tcPr>
                <w:p w14:paraId="5EF1155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对研究问题、方法、结果和结论的准确把握</w:t>
                  </w:r>
                </w:p>
              </w:tc>
              <w:tc>
                <w:tcPr>
                  <w:tcW w:w="2665" w:type="dxa"/>
                  <w:tcBorders>
                    <w:top w:val="nil"/>
                    <w:left w:val="nil"/>
                    <w:bottom w:val="single" w:color="000000" w:sz="8" w:space="0"/>
                    <w:right w:val="nil"/>
                    <w:insideH w:val="nil"/>
                    <w:insideV w:val="nil"/>
                  </w:tcBorders>
                  <w:vAlign w:val="center"/>
                </w:tcPr>
                <w:p w14:paraId="6CF356A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依据整体标准评0—3分</w:t>
                  </w:r>
                </w:p>
              </w:tc>
              <w:tc>
                <w:tcPr>
                  <w:tcW w:w="2778" w:type="dxa"/>
                  <w:tcBorders>
                    <w:top w:val="nil"/>
                    <w:left w:val="nil"/>
                    <w:bottom w:val="single" w:color="000000" w:sz="8" w:space="0"/>
                    <w:right w:val="nil"/>
                    <w:insideH w:val="nil"/>
                    <w:insideV w:val="nil"/>
                  </w:tcBorders>
                  <w:vAlign w:val="center"/>
                </w:tcPr>
                <w:p w14:paraId="4AAA4FC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次要因变量</w:t>
                  </w:r>
                </w:p>
              </w:tc>
            </w:tr>
          </w:tbl>
          <w:p w14:paraId="033403D4">
            <w:pPr>
              <w:spacing w:before="0" w:after="40" w:line="40" w:lineRule="exact"/>
            </w:pPr>
          </w:p>
        </w:tc>
      </w:tr>
      <w:tr w14:paraId="2B942C07">
        <w:trPr>
          <w:jc w:val="center"/>
        </w:trPr>
        <w:tc>
          <w:tcPr>
            <w:tcW w:w="10440" w:type="dxa"/>
            <w:tcMar>
              <w:top w:w="0" w:type="dxa"/>
              <w:left w:w="160" w:type="dxa"/>
              <w:bottom w:w="0" w:type="dxa"/>
              <w:right w:w="160" w:type="dxa"/>
            </w:tcMar>
            <w:vAlign w:val="top"/>
          </w:tcPr>
          <w:p w14:paraId="1479AD9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对每项有效缺陷的解释按0—3分评价：</w:t>
            </w:r>
          </w:p>
        </w:tc>
      </w:tr>
      <w:tr w14:paraId="7FE790C6">
        <w:trPr>
          <w:jc w:val="center"/>
        </w:trPr>
        <w:tc>
          <w:tcPr>
            <w:tcW w:w="10440" w:type="dxa"/>
            <w:tcMar>
              <w:top w:w="0" w:type="dxa"/>
              <w:left w:w="160" w:type="dxa"/>
              <w:bottom w:w="0" w:type="dxa"/>
              <w:right w:w="160" w:type="dxa"/>
            </w:tcMar>
            <w:vAlign w:val="top"/>
          </w:tcPr>
          <w:p w14:paraId="75F7859A">
            <w:pPr>
              <w:keepNext/>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表28  单个有效缺陷的解释质量评分标准</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154"/>
              <w:gridCol w:w="7767"/>
            </w:tblGrid>
            <w:tr w14:paraId="1A6D2BFB">
              <w:trPr>
                <w:cantSplit/>
                <w:tblHeader/>
                <w:jc w:val="center"/>
              </w:trPr>
              <w:tc>
                <w:tcPr>
                  <w:tcW w:w="2154" w:type="dxa"/>
                  <w:tcBorders>
                    <w:top w:val="single" w:color="000000" w:sz="8" w:space="0"/>
                    <w:left w:val="nil"/>
                    <w:bottom w:val="single" w:color="000000" w:sz="4" w:space="0"/>
                    <w:right w:val="nil"/>
                    <w:insideH w:val="nil"/>
                    <w:insideV w:val="nil"/>
                  </w:tcBorders>
                  <w:vAlign w:val="center"/>
                </w:tcPr>
                <w:p w14:paraId="2E9F931D">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得分</w:t>
                  </w:r>
                </w:p>
              </w:tc>
              <w:tc>
                <w:tcPr>
                  <w:tcW w:w="7767" w:type="dxa"/>
                  <w:tcBorders>
                    <w:top w:val="single" w:color="000000" w:sz="8" w:space="0"/>
                    <w:left w:val="nil"/>
                    <w:bottom w:val="single" w:color="000000" w:sz="4" w:space="0"/>
                    <w:right w:val="nil"/>
                    <w:insideH w:val="nil"/>
                    <w:insideV w:val="nil"/>
                  </w:tcBorders>
                  <w:vAlign w:val="center"/>
                </w:tcPr>
                <w:p w14:paraId="4549F843">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解释质量标准</w:t>
                  </w:r>
                </w:p>
              </w:tc>
            </w:tr>
            <w:tr w14:paraId="58106E9F">
              <w:trPr>
                <w:cantSplit/>
                <w:jc w:val="center"/>
              </w:trPr>
              <w:tc>
                <w:tcPr>
                  <w:tcW w:w="2154" w:type="dxa"/>
                  <w:tcBorders>
                    <w:top w:val="nil"/>
                    <w:left w:val="nil"/>
                    <w:bottom w:val="nil"/>
                    <w:right w:val="nil"/>
                    <w:insideH w:val="nil"/>
                    <w:insideV w:val="nil"/>
                  </w:tcBorders>
                  <w:vAlign w:val="center"/>
                </w:tcPr>
                <w:p w14:paraId="6AF5595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0分 未形成有效解释</w:t>
                  </w:r>
                </w:p>
              </w:tc>
              <w:tc>
                <w:tcPr>
                  <w:tcW w:w="7767" w:type="dxa"/>
                  <w:tcBorders>
                    <w:top w:val="nil"/>
                    <w:left w:val="nil"/>
                    <w:bottom w:val="nil"/>
                    <w:right w:val="nil"/>
                    <w:insideH w:val="nil"/>
                    <w:insideV w:val="nil"/>
                  </w:tcBorders>
                  <w:vAlign w:val="center"/>
                </w:tcPr>
                <w:p w14:paraId="6498F31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只贴标签或笼统断言；或存在关键事实误解、不适用的方法原则、根本性推理错误，无法说明问题为什么成立</w:t>
                  </w:r>
                </w:p>
              </w:tc>
            </w:tr>
            <w:tr w14:paraId="22406914">
              <w:trPr>
                <w:cantSplit/>
                <w:jc w:val="center"/>
              </w:trPr>
              <w:tc>
                <w:tcPr>
                  <w:tcW w:w="2154" w:type="dxa"/>
                  <w:tcBorders>
                    <w:top w:val="nil"/>
                    <w:left w:val="nil"/>
                    <w:bottom w:val="nil"/>
                    <w:right w:val="nil"/>
                    <w:insideH w:val="nil"/>
                    <w:insideV w:val="nil"/>
                  </w:tcBorders>
                  <w:vAlign w:val="center"/>
                </w:tcPr>
                <w:p w14:paraId="7F560BF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1分 部分解释</w:t>
                  </w:r>
                </w:p>
              </w:tc>
              <w:tc>
                <w:tcPr>
                  <w:tcW w:w="7767" w:type="dxa"/>
                  <w:tcBorders>
                    <w:top w:val="nil"/>
                    <w:left w:val="nil"/>
                    <w:bottom w:val="nil"/>
                    <w:right w:val="nil"/>
                    <w:insideH w:val="nil"/>
                    <w:insideV w:val="nil"/>
                  </w:tcBorders>
                  <w:vAlign w:val="center"/>
                </w:tcPr>
                <w:p w14:paraId="26B384E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有相关理由和可成立成分，但依据不够具体或推理联系较弱，存在明显缺口</w:t>
                  </w:r>
                </w:p>
              </w:tc>
            </w:tr>
            <w:tr w14:paraId="4D6E99EF">
              <w:trPr>
                <w:cantSplit/>
                <w:jc w:val="center"/>
              </w:trPr>
              <w:tc>
                <w:tcPr>
                  <w:tcW w:w="2154" w:type="dxa"/>
                  <w:tcBorders>
                    <w:top w:val="nil"/>
                    <w:left w:val="nil"/>
                    <w:bottom w:val="nil"/>
                    <w:right w:val="nil"/>
                    <w:insideH w:val="nil"/>
                    <w:insideV w:val="nil"/>
                  </w:tcBorders>
                  <w:vAlign w:val="center"/>
                </w:tcPr>
                <w:p w14:paraId="0FCE5FC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2分 基本充分解释</w:t>
                  </w:r>
                </w:p>
              </w:tc>
              <w:tc>
                <w:tcPr>
                  <w:tcW w:w="7767" w:type="dxa"/>
                  <w:tcBorders>
                    <w:top w:val="nil"/>
                    <w:left w:val="nil"/>
                    <w:bottom w:val="nil"/>
                    <w:right w:val="nil"/>
                    <w:insideH w:val="nil"/>
                    <w:insideV w:val="nil"/>
                  </w:tcBorders>
                  <w:vAlign w:val="center"/>
                </w:tcPr>
                <w:p w14:paraId="45A38FE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使用基本准确、相关的信息，主要推理成立，但关键依据或某一联系未充分展开，需要少量补充</w:t>
                  </w:r>
                </w:p>
              </w:tc>
            </w:tr>
            <w:tr w14:paraId="46C15189">
              <w:trPr>
                <w:cantSplit/>
                <w:jc w:val="center"/>
              </w:trPr>
              <w:tc>
                <w:tcPr>
                  <w:tcW w:w="2154" w:type="dxa"/>
                  <w:tcBorders>
                    <w:top w:val="nil"/>
                    <w:left w:val="nil"/>
                    <w:bottom w:val="single" w:color="000000" w:sz="8" w:space="0"/>
                    <w:right w:val="nil"/>
                    <w:insideH w:val="nil"/>
                    <w:insideV w:val="nil"/>
                  </w:tcBorders>
                  <w:vAlign w:val="center"/>
                </w:tcPr>
                <w:p w14:paraId="6FD1C33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3分 充分解释</w:t>
                  </w:r>
                </w:p>
              </w:tc>
              <w:tc>
                <w:tcPr>
                  <w:tcW w:w="7767" w:type="dxa"/>
                  <w:tcBorders>
                    <w:top w:val="nil"/>
                    <w:left w:val="nil"/>
                    <w:bottom w:val="single" w:color="000000" w:sz="8" w:space="0"/>
                    <w:right w:val="nil"/>
                    <w:insideH w:val="nil"/>
                    <w:insideV w:val="nil"/>
                  </w:tcBorders>
                  <w:vAlign w:val="center"/>
                </w:tcPr>
                <w:p w14:paraId="020984F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将研究具体做法、适用的方法或推断原则及其后果连接成连贯推理，依据明确，无影响批评成立的关键缺口</w:t>
                  </w:r>
                </w:p>
              </w:tc>
            </w:tr>
          </w:tbl>
          <w:p w14:paraId="2301AE3E">
            <w:pPr>
              <w:spacing w:before="0" w:after="40" w:line="40" w:lineRule="exact"/>
            </w:pPr>
          </w:p>
        </w:tc>
      </w:tr>
      <w:tr w14:paraId="588C247B">
        <w:trPr>
          <w:jc w:val="center"/>
        </w:trPr>
        <w:tc>
          <w:tcPr>
            <w:tcW w:w="10440" w:type="dxa"/>
            <w:tcMar>
              <w:top w:w="0" w:type="dxa"/>
              <w:left w:w="160" w:type="dxa"/>
              <w:bottom w:w="0" w:type="dxa"/>
              <w:right w:w="160" w:type="dxa"/>
            </w:tcMar>
            <w:vAlign w:val="top"/>
          </w:tcPr>
          <w:p w14:paraId="1C916405">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平均解释质量＝各有效缺陷解释质量得分之和／有效缺陷数。有效缺陷没有解释时，该项记0分并计入分母；未识别任何有效缺陷时，平均解释质量按特殊规则记0分。重复缺陷合并相关文字后评分。清单外的合理缺陷单独记录，经专家核定需要补入清单时，对所有回答按统一标准重新评分。</w:t>
            </w:r>
          </w:p>
        </w:tc>
      </w:tr>
      <w:tr w14:paraId="7085F3FE">
        <w:trPr>
          <w:jc w:val="center"/>
        </w:trPr>
        <w:tc>
          <w:tcPr>
            <w:tcW w:w="10440" w:type="dxa"/>
            <w:tcMar>
              <w:top w:w="0" w:type="dxa"/>
              <w:left w:w="160" w:type="dxa"/>
              <w:bottom w:w="0" w:type="dxa"/>
              <w:right w:w="160" w:type="dxa"/>
            </w:tcMar>
            <w:vAlign w:val="top"/>
          </w:tcPr>
          <w:p w14:paraId="005E82E0">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缺陷识别精确率为补充指标，计算为有效缺陷数／提出的不同缺陷总数。提出了缺陷但均不成立时，精确率为0；未提出任何缺陷时分母为0，精确率无定义，单独记录并报告人数。该指标用于结合击中率判断参与者是否通过大量提出不成立的批评获得较高发现数量。</w:t>
            </w:r>
          </w:p>
        </w:tc>
      </w:tr>
      <w:tr w14:paraId="35AA9152">
        <w:trPr>
          <w:jc w:val="center"/>
        </w:trPr>
        <w:tc>
          <w:tcPr>
            <w:tcW w:w="10440" w:type="dxa"/>
            <w:tcMar>
              <w:top w:w="0" w:type="dxa"/>
              <w:left w:w="160" w:type="dxa"/>
              <w:bottom w:w="0" w:type="dxa"/>
              <w:right w:w="160" w:type="dxa"/>
            </w:tcMar>
            <w:vAlign w:val="top"/>
          </w:tcPr>
          <w:p w14:paraId="184FB770">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评分时以文字体现的依据和推理为准。例如，对于“自愿参加培训造成组间可比性问题”这一有效缺陷，只写“没有随机分组”可以识别问题，但尚未形成解释；写出“参加者可能原本更积极”形成了部分联系；进一步说明这种差异也可能影响结果，使培训与成绩差异之间存在替代解释，则体现更充分的推理。示例将在专家核对后写入手册，并与正式材料的具体信息对应。</w:t>
            </w:r>
          </w:p>
        </w:tc>
      </w:tr>
      <w:tr w14:paraId="624EF066">
        <w:trPr>
          <w:jc w:val="center"/>
        </w:trPr>
        <w:tc>
          <w:tcPr>
            <w:tcW w:w="10440" w:type="dxa"/>
            <w:tcMar>
              <w:top w:w="0" w:type="dxa"/>
              <w:left w:w="160" w:type="dxa"/>
              <w:bottom w:w="0" w:type="dxa"/>
              <w:right w:w="160" w:type="dxa"/>
            </w:tcMar>
            <w:vAlign w:val="top"/>
          </w:tcPr>
          <w:p w14:paraId="364DC6E6">
            <w:pPr>
              <w:keepNext/>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（2）论文内容概括表现</w:t>
            </w:r>
          </w:p>
        </w:tc>
      </w:tr>
      <w:tr w14:paraId="34B0E122">
        <w:trPr>
          <w:jc w:val="center"/>
        </w:trPr>
        <w:tc>
          <w:tcPr>
            <w:tcW w:w="10440" w:type="dxa"/>
            <w:tcMar>
              <w:top w:w="0" w:type="dxa"/>
              <w:left w:w="160" w:type="dxa"/>
              <w:bottom w:w="0" w:type="dxa"/>
              <w:right w:w="160" w:type="dxa"/>
            </w:tcMar>
            <w:vAlign w:val="top"/>
          </w:tcPr>
          <w:p w14:paraId="15260435">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论文内容概括表现为次要因变量。借鉴CriTrainer的概括评价思路（Yuan et al., 2023），按0—3分评分：0分为内容基本无关或错误，无法识别研究主线；1分为只准确呈现部分内容，关键遗漏或误解使主线不清；2分为主线基本准确，存在不影响主要理解的局部遗漏或不精确；3分为准确呈现研究问题、方法、主要结果和结论及其关系，无实质性误解。</w:t>
            </w:r>
          </w:p>
        </w:tc>
      </w:tr>
      <w:tr w14:paraId="34CFD80A">
        <w:trPr>
          <w:jc w:val="center"/>
        </w:trPr>
        <w:tc>
          <w:tcPr>
            <w:tcW w:w="10440" w:type="dxa"/>
            <w:tcMar>
              <w:top w:w="0" w:type="dxa"/>
              <w:left w:w="160" w:type="dxa"/>
              <w:bottom w:w="0" w:type="dxa"/>
              <w:right w:w="160" w:type="dxa"/>
            </w:tcMar>
            <w:vAlign w:val="top"/>
          </w:tcPr>
          <w:p w14:paraId="4F83B295">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四项指标共同呈现阅读表现。击中率描述发现范围，解释质量描述理由是否充分，精确率补充考察批评中成立的比例，概括则帮助了解学生是否准确理解研究主线。保留每位参与者的有效缺陷数和所提缺陷总数，以便解释比例指标背后的实际数量。</w:t>
            </w:r>
          </w:p>
        </w:tc>
      </w:tr>
      <w:tr w14:paraId="1503DB4A">
        <w:trPr>
          <w:jc w:val="center"/>
        </w:trPr>
        <w:tc>
          <w:tcPr>
            <w:tcW w:w="10440" w:type="dxa"/>
            <w:tcMar>
              <w:top w:w="0" w:type="dxa"/>
              <w:left w:w="160" w:type="dxa"/>
              <w:bottom w:w="0" w:type="dxa"/>
              <w:right w:w="160" w:type="dxa"/>
            </w:tcMar>
            <w:vAlign w:val="top"/>
          </w:tcPr>
          <w:p w14:paraId="0386CCFC">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2.4.6 探索性调节变量与过程测量</w:t>
            </w:r>
          </w:p>
          <w:p w14:paraId="7C6D9D01">
            <w:pPr>
              <w:keepNext/>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（1）探索性调节变量</w:t>
            </w:r>
          </w:p>
        </w:tc>
      </w:tr>
      <w:tr w14:paraId="3F7DF49D">
        <w:trPr>
          <w:jc w:val="center"/>
        </w:trPr>
        <w:tc>
          <w:tcPr>
            <w:tcW w:w="10440" w:type="dxa"/>
            <w:tcMar>
              <w:top w:w="0" w:type="dxa"/>
              <w:left w:w="160" w:type="dxa"/>
              <w:bottom w:w="0" w:type="dxa"/>
              <w:right w:w="160" w:type="dxa"/>
            </w:tcMar>
            <w:vAlign w:val="top"/>
          </w:tcPr>
          <w:p w14:paraId="0E97419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本研究的探索性调节变量为初始批判性思维倾向，指参与者在训练前愿意运用批判性思维审查信息、证据和判断的倾向。研究探索苏格拉底式Agent相对通用Agent的训练效果是否随初始倾向而变化。</w:t>
            </w:r>
          </w:p>
        </w:tc>
      </w:tr>
      <w:tr w14:paraId="39192BF7">
        <w:trPr>
          <w:jc w:val="center"/>
        </w:trPr>
        <w:tc>
          <w:tcPr>
            <w:tcW w:w="10440" w:type="dxa"/>
            <w:tcMar>
              <w:top w:w="0" w:type="dxa"/>
              <w:left w:w="160" w:type="dxa"/>
              <w:bottom w:w="0" w:type="dxa"/>
              <w:right w:w="160" w:type="dxa"/>
            </w:tcMar>
            <w:vAlign w:val="top"/>
          </w:tcPr>
          <w:p w14:paraId="70EB4086">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使用正式授权版本的CCTDI测量初始批判性思维倾向，按手册施测和计分，暂按75题安排。主要使用总分作为连续变量，七个维度用于描述（Insight Assessment, n.d.）。同时记录年级、已修课程、科研辅助经历、论文阅读及AI使用经历。</w:t>
            </w:r>
          </w:p>
        </w:tc>
      </w:tr>
      <w:tr w14:paraId="24240839">
        <w:trPr>
          <w:jc w:val="center"/>
        </w:trPr>
        <w:tc>
          <w:tcPr>
            <w:tcW w:w="10440" w:type="dxa"/>
            <w:tcMar>
              <w:top w:w="0" w:type="dxa"/>
              <w:left w:w="160" w:type="dxa"/>
              <w:bottom w:w="0" w:type="dxa"/>
              <w:right w:w="160" w:type="dxa"/>
            </w:tcMar>
            <w:vAlign w:val="top"/>
          </w:tcPr>
          <w:p w14:paraId="006D8796">
            <w:pPr>
              <w:keepNext/>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（2）任务负荷与过程测量</w:t>
            </w:r>
          </w:p>
        </w:tc>
      </w:tr>
      <w:tr w14:paraId="08B7AB26">
        <w:trPr>
          <w:jc w:val="center"/>
        </w:trPr>
        <w:tc>
          <w:tcPr>
            <w:tcW w:w="10440" w:type="dxa"/>
            <w:tcMar>
              <w:top w:w="0" w:type="dxa"/>
              <w:left w:w="160" w:type="dxa"/>
              <w:bottom w:w="0" w:type="dxa"/>
              <w:right w:w="160" w:type="dxa"/>
            </w:tcMar>
            <w:vAlign w:val="top"/>
          </w:tcPr>
          <w:p w14:paraId="087D72A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训练后使用NASA-TLX评价主观任务负荷，覆盖心理需求、身体需求、时间需求、表现、努力和挫折六个方面（Hart &amp; Staveland, 1988）。本研究采用六维评分的非加权均值，统一各维度方向后汇总，并分别报告维度结果。</w:t>
            </w:r>
          </w:p>
        </w:tc>
      </w:tr>
      <w:tr w14:paraId="636A09C6">
        <w:trPr>
          <w:jc w:val="center"/>
        </w:trPr>
        <w:tc>
          <w:tcPr>
            <w:tcW w:w="10440" w:type="dxa"/>
            <w:tcMar>
              <w:top w:w="0" w:type="dxa"/>
              <w:left w:w="160" w:type="dxa"/>
              <w:bottom w:w="0" w:type="dxa"/>
              <w:right w:w="160" w:type="dxa"/>
            </w:tcMar>
            <w:vAlign w:val="top"/>
          </w:tcPr>
          <w:p w14:paraId="466A69C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保存阅读时间、笔记、批注及两个AI组的对话日志。对话分析关注学生是否补充推理前提、解释研究做法与结论的关系、提出有依据的替代解释，或在发现矛盾后修正判断并说明理由。编码区分自主生成、提示后生成和复述AI内容，同时记录Agent的追问类型、帮助程度、直接解释及重复情况。过程数据用于描述互动策略和自我解释的发生情况。</w:t>
            </w:r>
          </w:p>
        </w:tc>
      </w:tr>
      <w:tr w14:paraId="4DD616BE">
        <w:trPr>
          <w:jc w:val="center"/>
        </w:trPr>
        <w:tc>
          <w:tcPr>
            <w:tcW w:w="10440" w:type="dxa"/>
            <w:tcMar>
              <w:top w:w="0" w:type="dxa"/>
              <w:left w:w="160" w:type="dxa"/>
              <w:bottom w:w="0" w:type="dxa"/>
              <w:right w:w="160" w:type="dxa"/>
            </w:tcMar>
            <w:vAlign w:val="top"/>
          </w:tcPr>
          <w:p w14:paraId="179EA030">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表29  训练过程记录与分析用途</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05C32B2B">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4DE16640">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过程记录</w:t>
                  </w:r>
                </w:p>
              </w:tc>
              <w:tc>
                <w:tcPr>
                  <w:tcW w:w="3685" w:type="dxa"/>
                  <w:tcBorders>
                    <w:top w:val="single" w:color="000000" w:sz="8" w:space="0"/>
                    <w:left w:val="nil"/>
                    <w:bottom w:val="single" w:color="000000" w:sz="4" w:space="0"/>
                    <w:right w:val="nil"/>
                    <w:insideH w:val="nil"/>
                    <w:insideV w:val="nil"/>
                  </w:tcBorders>
                  <w:vAlign w:val="center"/>
                </w:tcPr>
                <w:p w14:paraId="0BC6852B">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观察内容</w:t>
                  </w:r>
                </w:p>
              </w:tc>
              <w:tc>
                <w:tcPr>
                  <w:tcW w:w="4309" w:type="dxa"/>
                  <w:tcBorders>
                    <w:top w:val="single" w:color="000000" w:sz="8" w:space="0"/>
                    <w:left w:val="nil"/>
                    <w:bottom w:val="single" w:color="000000" w:sz="4" w:space="0"/>
                    <w:right w:val="nil"/>
                    <w:insideH w:val="nil"/>
                    <w:insideV w:val="nil"/>
                  </w:tcBorders>
                  <w:vAlign w:val="center"/>
                </w:tcPr>
                <w:p w14:paraId="3E921489">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分析用途</w:t>
                  </w:r>
                </w:p>
              </w:tc>
            </w:tr>
            <w:tr w14:paraId="03B6E4C4">
              <w:trPr>
                <w:cantSplit/>
                <w:jc w:val="center"/>
              </w:trPr>
              <w:tc>
                <w:tcPr>
                  <w:tcW w:w="1928" w:type="dxa"/>
                  <w:tcBorders>
                    <w:top w:val="nil"/>
                    <w:left w:val="nil"/>
                    <w:bottom w:val="nil"/>
                    <w:right w:val="nil"/>
                    <w:insideH w:val="nil"/>
                    <w:insideV w:val="nil"/>
                  </w:tcBorders>
                  <w:vAlign w:val="center"/>
                </w:tcPr>
                <w:p w14:paraId="49F1952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自主生成解释</w:t>
                  </w:r>
                </w:p>
              </w:tc>
              <w:tc>
                <w:tcPr>
                  <w:tcW w:w="3685" w:type="dxa"/>
                  <w:tcBorders>
                    <w:top w:val="nil"/>
                    <w:left w:val="nil"/>
                    <w:bottom w:val="nil"/>
                    <w:right w:val="nil"/>
                    <w:insideH w:val="nil"/>
                    <w:insideV w:val="nil"/>
                  </w:tcBorders>
                  <w:vAlign w:val="center"/>
                </w:tcPr>
                <w:p w14:paraId="3B9F40D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在AI给出对应推理前，学生主动连接依据、原则与结论</w:t>
                  </w:r>
                </w:p>
              </w:tc>
              <w:tc>
                <w:tcPr>
                  <w:tcW w:w="4309" w:type="dxa"/>
                  <w:tcBorders>
                    <w:top w:val="nil"/>
                    <w:left w:val="nil"/>
                    <w:bottom w:val="nil"/>
                    <w:right w:val="nil"/>
                    <w:insideH w:val="nil"/>
                    <w:insideV w:val="nil"/>
                  </w:tcBorders>
                  <w:vAlign w:val="center"/>
                </w:tcPr>
                <w:p w14:paraId="6B7D178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描述学生自主开展的推理</w:t>
                  </w:r>
                </w:p>
              </w:tc>
            </w:tr>
            <w:tr w14:paraId="59D6BC57">
              <w:trPr>
                <w:cantSplit/>
                <w:jc w:val="center"/>
              </w:trPr>
              <w:tc>
                <w:tcPr>
                  <w:tcW w:w="1928" w:type="dxa"/>
                  <w:tcBorders>
                    <w:top w:val="nil"/>
                    <w:left w:val="nil"/>
                    <w:bottom w:val="nil"/>
                    <w:right w:val="nil"/>
                    <w:insideH w:val="nil"/>
                    <w:insideV w:val="nil"/>
                  </w:tcBorders>
                  <w:vAlign w:val="center"/>
                </w:tcPr>
                <w:p w14:paraId="5541C3E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提示后生成解释</w:t>
                  </w:r>
                </w:p>
              </w:tc>
              <w:tc>
                <w:tcPr>
                  <w:tcW w:w="3685" w:type="dxa"/>
                  <w:tcBorders>
                    <w:top w:val="nil"/>
                    <w:left w:val="nil"/>
                    <w:bottom w:val="nil"/>
                    <w:right w:val="nil"/>
                    <w:insideH w:val="nil"/>
                    <w:insideV w:val="nil"/>
                  </w:tcBorders>
                  <w:vAlign w:val="center"/>
                </w:tcPr>
                <w:p w14:paraId="3ED49F3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经开放问题、方向或具体线索后，学生补出关键联系</w:t>
                  </w:r>
                </w:p>
              </w:tc>
              <w:tc>
                <w:tcPr>
                  <w:tcW w:w="4309" w:type="dxa"/>
                  <w:tcBorders>
                    <w:top w:val="nil"/>
                    <w:left w:val="nil"/>
                    <w:bottom w:val="nil"/>
                    <w:right w:val="nil"/>
                    <w:insideH w:val="nil"/>
                    <w:insideV w:val="nil"/>
                  </w:tcBorders>
                  <w:vAlign w:val="center"/>
                </w:tcPr>
                <w:p w14:paraId="500CE58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描述追问之后的学习活动</w:t>
                  </w:r>
                </w:p>
              </w:tc>
            </w:tr>
            <w:tr w14:paraId="09D34631">
              <w:trPr>
                <w:cantSplit/>
                <w:jc w:val="center"/>
              </w:trPr>
              <w:tc>
                <w:tcPr>
                  <w:tcW w:w="1928" w:type="dxa"/>
                  <w:tcBorders>
                    <w:top w:val="nil"/>
                    <w:left w:val="nil"/>
                    <w:bottom w:val="nil"/>
                    <w:right w:val="nil"/>
                    <w:insideH w:val="nil"/>
                    <w:insideV w:val="nil"/>
                  </w:tcBorders>
                  <w:vAlign w:val="center"/>
                </w:tcPr>
                <w:p w14:paraId="62F8BDE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复述AI内容</w:t>
                  </w:r>
                </w:p>
              </w:tc>
              <w:tc>
                <w:tcPr>
                  <w:tcW w:w="3685" w:type="dxa"/>
                  <w:tcBorders>
                    <w:top w:val="nil"/>
                    <w:left w:val="nil"/>
                    <w:bottom w:val="nil"/>
                    <w:right w:val="nil"/>
                    <w:insideH w:val="nil"/>
                    <w:insideV w:val="nil"/>
                  </w:tcBorders>
                  <w:vAlign w:val="center"/>
                </w:tcPr>
                <w:p w14:paraId="429FB3B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重复已给出的理由，未增加可辨认的推理联系</w:t>
                  </w:r>
                </w:p>
              </w:tc>
              <w:tc>
                <w:tcPr>
                  <w:tcW w:w="4309" w:type="dxa"/>
                  <w:tcBorders>
                    <w:top w:val="nil"/>
                    <w:left w:val="nil"/>
                    <w:bottom w:val="nil"/>
                    <w:right w:val="nil"/>
                    <w:insideH w:val="nil"/>
                    <w:insideV w:val="nil"/>
                  </w:tcBorders>
                  <w:vAlign w:val="center"/>
                </w:tcPr>
                <w:p w14:paraId="3460AC0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与学生生成的解释区分</w:t>
                  </w:r>
                </w:p>
              </w:tc>
            </w:tr>
            <w:tr w14:paraId="45E3B43F">
              <w:trPr>
                <w:cantSplit/>
                <w:jc w:val="center"/>
              </w:trPr>
              <w:tc>
                <w:tcPr>
                  <w:tcW w:w="1928" w:type="dxa"/>
                  <w:tcBorders>
                    <w:top w:val="nil"/>
                    <w:left w:val="nil"/>
                    <w:bottom w:val="nil"/>
                    <w:right w:val="nil"/>
                    <w:insideH w:val="nil"/>
                    <w:insideV w:val="nil"/>
                  </w:tcBorders>
                  <w:vAlign w:val="center"/>
                </w:tcPr>
                <w:p w14:paraId="5A6CEFB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判断修正</w:t>
                  </w:r>
                </w:p>
              </w:tc>
              <w:tc>
                <w:tcPr>
                  <w:tcW w:w="3685" w:type="dxa"/>
                  <w:tcBorders>
                    <w:top w:val="nil"/>
                    <w:left w:val="nil"/>
                    <w:bottom w:val="nil"/>
                    <w:right w:val="nil"/>
                    <w:insideH w:val="nil"/>
                    <w:insideV w:val="nil"/>
                  </w:tcBorders>
                  <w:vAlign w:val="center"/>
                </w:tcPr>
                <w:p w14:paraId="3530E2B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明确改变原有判断，并说明修改理由</w:t>
                  </w:r>
                </w:p>
              </w:tc>
              <w:tc>
                <w:tcPr>
                  <w:tcW w:w="4309" w:type="dxa"/>
                  <w:tcBorders>
                    <w:top w:val="nil"/>
                    <w:left w:val="nil"/>
                    <w:bottom w:val="nil"/>
                    <w:right w:val="nil"/>
                    <w:insideH w:val="nil"/>
                    <w:insideV w:val="nil"/>
                  </w:tcBorders>
                  <w:vAlign w:val="center"/>
                </w:tcPr>
                <w:p w14:paraId="2780698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描述理解修正过程</w:t>
                  </w:r>
                </w:p>
              </w:tc>
            </w:tr>
            <w:tr w14:paraId="40AE2EA8">
              <w:trPr>
                <w:cantSplit/>
                <w:jc w:val="center"/>
              </w:trPr>
              <w:tc>
                <w:tcPr>
                  <w:tcW w:w="1928" w:type="dxa"/>
                  <w:tcBorders>
                    <w:top w:val="nil"/>
                    <w:left w:val="nil"/>
                    <w:bottom w:val="nil"/>
                    <w:right w:val="nil"/>
                    <w:insideH w:val="nil"/>
                    <w:insideV w:val="nil"/>
                  </w:tcBorders>
                  <w:vAlign w:val="center"/>
                </w:tcPr>
                <w:p w14:paraId="2CD9CAB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Agent教学动作</w:t>
                  </w:r>
                </w:p>
              </w:tc>
              <w:tc>
                <w:tcPr>
                  <w:tcW w:w="3685" w:type="dxa"/>
                  <w:tcBorders>
                    <w:top w:val="nil"/>
                    <w:left w:val="nil"/>
                    <w:bottom w:val="nil"/>
                    <w:right w:val="nil"/>
                    <w:insideH w:val="nil"/>
                    <w:insideV w:val="nil"/>
                  </w:tcBorders>
                  <w:vAlign w:val="center"/>
                </w:tcPr>
                <w:p w14:paraId="3874391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追问依据、理由、替代解释、限定或提供讲解</w:t>
                  </w:r>
                </w:p>
              </w:tc>
              <w:tc>
                <w:tcPr>
                  <w:tcW w:w="4309" w:type="dxa"/>
                  <w:tcBorders>
                    <w:top w:val="nil"/>
                    <w:left w:val="nil"/>
                    <w:bottom w:val="nil"/>
                    <w:right w:val="nil"/>
                    <w:insideH w:val="nil"/>
                    <w:insideV w:val="nil"/>
                  </w:tcBorders>
                  <w:vAlign w:val="center"/>
                </w:tcPr>
                <w:p w14:paraId="0F5E668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检查两类Agent的互动差异</w:t>
                  </w:r>
                </w:p>
              </w:tc>
            </w:tr>
            <w:tr w14:paraId="7E66EA01">
              <w:trPr>
                <w:cantSplit/>
                <w:jc w:val="center"/>
              </w:trPr>
              <w:tc>
                <w:tcPr>
                  <w:tcW w:w="1928" w:type="dxa"/>
                  <w:tcBorders>
                    <w:top w:val="nil"/>
                    <w:left w:val="nil"/>
                    <w:bottom w:val="single" w:color="000000" w:sz="8" w:space="0"/>
                    <w:right w:val="nil"/>
                    <w:insideH w:val="nil"/>
                    <w:insideV w:val="nil"/>
                  </w:tcBorders>
                  <w:vAlign w:val="center"/>
                </w:tcPr>
                <w:p w14:paraId="01084DB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帮助程度与推进</w:t>
                  </w:r>
                </w:p>
              </w:tc>
              <w:tc>
                <w:tcPr>
                  <w:tcW w:w="3685" w:type="dxa"/>
                  <w:tcBorders>
                    <w:top w:val="nil"/>
                    <w:left w:val="nil"/>
                    <w:bottom w:val="single" w:color="000000" w:sz="8" w:space="0"/>
                    <w:right w:val="nil"/>
                    <w:insideH w:val="nil"/>
                    <w:insideV w:val="nil"/>
                  </w:tcBorders>
                  <w:vAlign w:val="center"/>
                </w:tcPr>
                <w:p w14:paraId="2B13BB4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提供哪些线索，之后是否出现新的解释</w:t>
                  </w:r>
                </w:p>
              </w:tc>
              <w:tc>
                <w:tcPr>
                  <w:tcW w:w="4309" w:type="dxa"/>
                  <w:tcBorders>
                    <w:top w:val="nil"/>
                    <w:left w:val="nil"/>
                    <w:bottom w:val="single" w:color="000000" w:sz="8" w:space="0"/>
                    <w:right w:val="nil"/>
                    <w:insideH w:val="nil"/>
                    <w:insideV w:val="nil"/>
                  </w:tcBorders>
                  <w:vAlign w:val="center"/>
                </w:tcPr>
                <w:p w14:paraId="21BDAE2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结合片段理解支持适切性</w:t>
                  </w:r>
                </w:p>
              </w:tc>
            </w:tr>
          </w:tbl>
          <w:p w14:paraId="57A9F990">
            <w:pPr>
              <w:spacing w:before="0" w:after="40" w:line="40" w:lineRule="exact"/>
            </w:pPr>
          </w:p>
        </w:tc>
      </w:tr>
      <w:tr w14:paraId="48E29A66">
        <w:trPr>
          <w:jc w:val="center"/>
        </w:trPr>
        <w:tc>
          <w:tcPr>
            <w:tcW w:w="10440" w:type="dxa"/>
            <w:tcMar>
              <w:top w:w="0" w:type="dxa"/>
              <w:left w:w="160" w:type="dxa"/>
              <w:bottom w:w="0" w:type="dxa"/>
              <w:right w:w="160" w:type="dxa"/>
            </w:tcMar>
            <w:vAlign w:val="top"/>
          </w:tcPr>
          <w:p w14:paraId="303F315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对话编码以能够识别的推理片段为单位，结合前后文判断解释来源。研究者制定编码说明，抽取样本由另一名编码者独立核对，处理分歧后汇总各类片段及典型过程。对话用于说明学生如何参与训练，以及系统是否执行了预定策略；本研究不把自我解释设置为正式中介检验。</w:t>
            </w:r>
          </w:p>
        </w:tc>
      </w:tr>
      <w:tr w14:paraId="0874E1CE">
        <w:trPr>
          <w:jc w:val="center"/>
        </w:trPr>
        <w:tc>
          <w:tcPr>
            <w:tcW w:w="10440" w:type="dxa"/>
            <w:tcMar>
              <w:top w:w="0" w:type="dxa"/>
              <w:left w:w="160" w:type="dxa"/>
              <w:bottom w:w="0" w:type="dxa"/>
              <w:right w:w="160" w:type="dxa"/>
            </w:tcMar>
            <w:vAlign w:val="top"/>
          </w:tcPr>
          <w:p w14:paraId="2196F338">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2.4.7 评分质量控制</w:t>
            </w:r>
          </w:p>
          <w:p w14:paraId="30B7869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评分手册依据文章配套评析、方法学原则与专家审查建立。对每项预设缺陷记录问题名称、原文位置、成立理由、相近但不成立的批评以及典型解释；概括部分记录各文章应包含的核心内容及关键误解。专家检查内容覆盖和判断依据，预实验回答用于补充实际表达和分档样例。</w:t>
            </w:r>
          </w:p>
        </w:tc>
      </w:tr>
      <w:tr w14:paraId="38094FA3">
        <w:trPr>
          <w:jc w:val="center"/>
        </w:trPr>
        <w:tc>
          <w:tcPr>
            <w:tcW w:w="10440" w:type="dxa"/>
            <w:tcMar>
              <w:top w:w="0" w:type="dxa"/>
              <w:left w:w="160" w:type="dxa"/>
              <w:bottom w:w="0" w:type="dxa"/>
              <w:right w:w="160" w:type="dxa"/>
            </w:tcMar>
            <w:vAlign w:val="top"/>
          </w:tcPr>
          <w:p w14:paraId="0E0AB63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四位评分者先用共同练习材料培训，独立试评后比较分歧，重点统一缺陷单元划分、重复合并、有效性和解释分档。正式回答匿名化并打乱顺序，评分者不获得组别和训练日志。原始评分用于估计一致性，随后按预定程序处理分歧，保留复核记录。</w:t>
            </w:r>
          </w:p>
        </w:tc>
      </w:tr>
      <w:tr w14:paraId="179AB4C7">
        <w:trPr>
          <w:jc w:val="center"/>
        </w:trPr>
        <w:tc>
          <w:tcPr>
            <w:tcW w:w="10440" w:type="dxa"/>
            <w:tcMar>
              <w:top w:w="0" w:type="dxa"/>
              <w:left w:w="160" w:type="dxa"/>
              <w:bottom w:w="0" w:type="dxa"/>
              <w:right w:w="160" w:type="dxa"/>
            </w:tcMar>
            <w:vAlign w:val="top"/>
          </w:tcPr>
          <w:p w14:paraId="2BE47DBF">
            <w:pPr>
              <w:keepNext/>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表30  四位评分者的评分流程</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377580CE">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64077E2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评分阶段</w:t>
                  </w:r>
                </w:p>
              </w:tc>
              <w:tc>
                <w:tcPr>
                  <w:tcW w:w="3685" w:type="dxa"/>
                  <w:tcBorders>
                    <w:top w:val="single" w:color="000000" w:sz="8" w:space="0"/>
                    <w:left w:val="nil"/>
                    <w:bottom w:val="single" w:color="000000" w:sz="4" w:space="0"/>
                    <w:right w:val="nil"/>
                    <w:insideH w:val="nil"/>
                    <w:insideV w:val="nil"/>
                  </w:tcBorders>
                  <w:vAlign w:val="center"/>
                </w:tcPr>
                <w:p w14:paraId="0661B40A">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具体操作</w:t>
                  </w:r>
                </w:p>
              </w:tc>
              <w:tc>
                <w:tcPr>
                  <w:tcW w:w="4309" w:type="dxa"/>
                  <w:tcBorders>
                    <w:top w:val="single" w:color="000000" w:sz="8" w:space="0"/>
                    <w:left w:val="nil"/>
                    <w:bottom w:val="single" w:color="000000" w:sz="4" w:space="0"/>
                    <w:right w:val="nil"/>
                    <w:insideH w:val="nil"/>
                    <w:insideV w:val="nil"/>
                  </w:tcBorders>
                  <w:vAlign w:val="center"/>
                </w:tcPr>
                <w:p w14:paraId="13B20F4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形成的数据</w:t>
                  </w:r>
                </w:p>
              </w:tc>
            </w:tr>
            <w:tr w14:paraId="265FC75D">
              <w:trPr>
                <w:cantSplit/>
                <w:jc w:val="center"/>
              </w:trPr>
              <w:tc>
                <w:tcPr>
                  <w:tcW w:w="1928" w:type="dxa"/>
                  <w:tcBorders>
                    <w:top w:val="nil"/>
                    <w:left w:val="nil"/>
                    <w:bottom w:val="nil"/>
                    <w:right w:val="nil"/>
                    <w:insideH w:val="nil"/>
                    <w:insideV w:val="nil"/>
                  </w:tcBorders>
                  <w:vAlign w:val="center"/>
                </w:tcPr>
                <w:p w14:paraId="15C4E1F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划分与对应</w:t>
                  </w:r>
                </w:p>
              </w:tc>
              <w:tc>
                <w:tcPr>
                  <w:tcW w:w="3685" w:type="dxa"/>
                  <w:tcBorders>
                    <w:top w:val="nil"/>
                    <w:left w:val="nil"/>
                    <w:bottom w:val="nil"/>
                    <w:right w:val="nil"/>
                    <w:insideH w:val="nil"/>
                    <w:insideV w:val="nil"/>
                  </w:tcBorders>
                  <w:vAlign w:val="center"/>
                </w:tcPr>
                <w:p w14:paraId="18AE72D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将回答划分为不同缺陷，与材料清单对应，标出清单外问题</w:t>
                  </w:r>
                </w:p>
              </w:tc>
              <w:tc>
                <w:tcPr>
                  <w:tcW w:w="4309" w:type="dxa"/>
                  <w:tcBorders>
                    <w:top w:val="nil"/>
                    <w:left w:val="nil"/>
                    <w:bottom w:val="nil"/>
                    <w:right w:val="nil"/>
                    <w:insideH w:val="nil"/>
                    <w:insideV w:val="nil"/>
                  </w:tcBorders>
                  <w:vAlign w:val="center"/>
                </w:tcPr>
                <w:p w14:paraId="376B9F8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缺陷单元、原文及清单编号</w:t>
                  </w:r>
                </w:p>
              </w:tc>
            </w:tr>
            <w:tr w14:paraId="5D1100B9">
              <w:trPr>
                <w:cantSplit/>
                <w:jc w:val="center"/>
              </w:trPr>
              <w:tc>
                <w:tcPr>
                  <w:tcW w:w="1928" w:type="dxa"/>
                  <w:tcBorders>
                    <w:top w:val="nil"/>
                    <w:left w:val="nil"/>
                    <w:bottom w:val="nil"/>
                    <w:right w:val="nil"/>
                    <w:insideH w:val="nil"/>
                    <w:insideV w:val="nil"/>
                  </w:tcBorders>
                  <w:vAlign w:val="center"/>
                </w:tcPr>
                <w:p w14:paraId="16E1AD1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有效性独立判定</w:t>
                  </w:r>
                </w:p>
              </w:tc>
              <w:tc>
                <w:tcPr>
                  <w:tcW w:w="3685" w:type="dxa"/>
                  <w:tcBorders>
                    <w:top w:val="nil"/>
                    <w:left w:val="nil"/>
                    <w:bottom w:val="nil"/>
                    <w:right w:val="nil"/>
                    <w:insideH w:val="nil"/>
                    <w:insideV w:val="nil"/>
                  </w:tcBorders>
                  <w:vAlign w:val="center"/>
                </w:tcPr>
                <w:p w14:paraId="08AA6E9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四人根据手册判断问题是否具体且成立</w:t>
                  </w:r>
                </w:p>
              </w:tc>
              <w:tc>
                <w:tcPr>
                  <w:tcW w:w="4309" w:type="dxa"/>
                  <w:tcBorders>
                    <w:top w:val="nil"/>
                    <w:left w:val="nil"/>
                    <w:bottom w:val="nil"/>
                    <w:right w:val="nil"/>
                    <w:insideH w:val="nil"/>
                    <w:insideV w:val="nil"/>
                  </w:tcBorders>
                  <w:vAlign w:val="center"/>
                </w:tcPr>
                <w:p w14:paraId="64C1C49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每位评分者的0／1判定</w:t>
                  </w:r>
                </w:p>
              </w:tc>
            </w:tr>
            <w:tr w14:paraId="6278B9A1">
              <w:trPr>
                <w:cantSplit/>
                <w:jc w:val="center"/>
              </w:trPr>
              <w:tc>
                <w:tcPr>
                  <w:tcW w:w="1928" w:type="dxa"/>
                  <w:tcBorders>
                    <w:top w:val="nil"/>
                    <w:left w:val="nil"/>
                    <w:bottom w:val="nil"/>
                    <w:right w:val="nil"/>
                    <w:insideH w:val="nil"/>
                    <w:insideV w:val="nil"/>
                  </w:tcBorders>
                  <w:vAlign w:val="center"/>
                </w:tcPr>
                <w:p w14:paraId="34D80A3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一致性检查与复核</w:t>
                  </w:r>
                </w:p>
              </w:tc>
              <w:tc>
                <w:tcPr>
                  <w:tcW w:w="3685" w:type="dxa"/>
                  <w:tcBorders>
                    <w:top w:val="nil"/>
                    <w:left w:val="nil"/>
                    <w:bottom w:val="nil"/>
                    <w:right w:val="nil"/>
                    <w:insideH w:val="nil"/>
                    <w:insideV w:val="nil"/>
                  </w:tcBorders>
                  <w:vAlign w:val="center"/>
                </w:tcPr>
                <w:p w14:paraId="7CCAE2D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汇总独立判定，复核争议事实及方法问题</w:t>
                  </w:r>
                </w:p>
              </w:tc>
              <w:tc>
                <w:tcPr>
                  <w:tcW w:w="4309" w:type="dxa"/>
                  <w:tcBorders>
                    <w:top w:val="nil"/>
                    <w:left w:val="nil"/>
                    <w:bottom w:val="nil"/>
                    <w:right w:val="nil"/>
                    <w:insideH w:val="nil"/>
                    <w:insideV w:val="nil"/>
                  </w:tcBorders>
                  <w:vAlign w:val="center"/>
                </w:tcPr>
                <w:p w14:paraId="4DE1E8B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原始一致性指标与最终有效缺陷集合</w:t>
                  </w:r>
                </w:p>
              </w:tc>
            </w:tr>
            <w:tr w14:paraId="5BED27DD">
              <w:trPr>
                <w:cantSplit/>
                <w:jc w:val="center"/>
              </w:trPr>
              <w:tc>
                <w:tcPr>
                  <w:tcW w:w="1928" w:type="dxa"/>
                  <w:tcBorders>
                    <w:top w:val="nil"/>
                    <w:left w:val="nil"/>
                    <w:bottom w:val="nil"/>
                    <w:right w:val="nil"/>
                    <w:insideH w:val="nil"/>
                    <w:insideV w:val="nil"/>
                  </w:tcBorders>
                  <w:vAlign w:val="center"/>
                </w:tcPr>
                <w:p w14:paraId="1647C2E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质量独立评分</w:t>
                  </w:r>
                </w:p>
              </w:tc>
              <w:tc>
                <w:tcPr>
                  <w:tcW w:w="3685" w:type="dxa"/>
                  <w:tcBorders>
                    <w:top w:val="nil"/>
                    <w:left w:val="nil"/>
                    <w:bottom w:val="nil"/>
                    <w:right w:val="nil"/>
                    <w:insideH w:val="nil"/>
                    <w:insideV w:val="nil"/>
                  </w:tcBorders>
                  <w:vAlign w:val="center"/>
                </w:tcPr>
                <w:p w14:paraId="4537518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对统一后的有效缺陷逐项评解释分，并评价概括</w:t>
                  </w:r>
                </w:p>
              </w:tc>
              <w:tc>
                <w:tcPr>
                  <w:tcW w:w="4309" w:type="dxa"/>
                  <w:tcBorders>
                    <w:top w:val="nil"/>
                    <w:left w:val="nil"/>
                    <w:bottom w:val="nil"/>
                    <w:right w:val="nil"/>
                    <w:insideH w:val="nil"/>
                    <w:insideV w:val="nil"/>
                  </w:tcBorders>
                  <w:vAlign w:val="center"/>
                </w:tcPr>
                <w:p w14:paraId="14C2793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四位评分者的0—3分原始记录</w:t>
                  </w:r>
                </w:p>
              </w:tc>
            </w:tr>
            <w:tr w14:paraId="3F674C1A">
              <w:trPr>
                <w:cantSplit/>
                <w:jc w:val="center"/>
              </w:trPr>
              <w:tc>
                <w:tcPr>
                  <w:tcW w:w="1928" w:type="dxa"/>
                  <w:tcBorders>
                    <w:top w:val="nil"/>
                    <w:left w:val="nil"/>
                    <w:bottom w:val="single" w:color="000000" w:sz="8" w:space="0"/>
                    <w:right w:val="nil"/>
                    <w:insideH w:val="nil"/>
                    <w:insideV w:val="nil"/>
                  </w:tcBorders>
                  <w:vAlign w:val="center"/>
                </w:tcPr>
                <w:p w14:paraId="092CB3C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汇总参与者得分</w:t>
                  </w:r>
                </w:p>
              </w:tc>
              <w:tc>
                <w:tcPr>
                  <w:tcW w:w="3685" w:type="dxa"/>
                  <w:tcBorders>
                    <w:top w:val="nil"/>
                    <w:left w:val="nil"/>
                    <w:bottom w:val="single" w:color="000000" w:sz="8" w:space="0"/>
                    <w:right w:val="nil"/>
                    <w:insideH w:val="nil"/>
                    <w:insideV w:val="nil"/>
                  </w:tcBorders>
                  <w:vAlign w:val="center"/>
                </w:tcPr>
                <w:p w14:paraId="60C8CA4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对质量评分取四人均值，再计算参与者指标</w:t>
                  </w:r>
                </w:p>
              </w:tc>
              <w:tc>
                <w:tcPr>
                  <w:tcW w:w="4309" w:type="dxa"/>
                  <w:tcBorders>
                    <w:top w:val="nil"/>
                    <w:left w:val="nil"/>
                    <w:bottom w:val="single" w:color="000000" w:sz="8" w:space="0"/>
                    <w:right w:val="nil"/>
                    <w:insideH w:val="nil"/>
                    <w:insideV w:val="nil"/>
                  </w:tcBorders>
                  <w:vAlign w:val="center"/>
                </w:tcPr>
                <w:p w14:paraId="56680E4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前后测击中率、精确率、解释和概括得分</w:t>
                  </w:r>
                </w:p>
              </w:tc>
            </w:tr>
          </w:tbl>
          <w:p w14:paraId="1ED04798">
            <w:pPr>
              <w:spacing w:before="0" w:after="40" w:line="40" w:lineRule="exact"/>
            </w:pPr>
          </w:p>
        </w:tc>
      </w:tr>
      <w:tr w14:paraId="5417B0A2">
        <w:trPr>
          <w:jc w:val="center"/>
        </w:trPr>
        <w:tc>
          <w:tcPr>
            <w:tcW w:w="10440" w:type="dxa"/>
            <w:tcMar>
              <w:top w:w="0" w:type="dxa"/>
              <w:left w:w="160" w:type="dxa"/>
              <w:bottom w:w="0" w:type="dxa"/>
              <w:right w:w="160" w:type="dxa"/>
            </w:tcMar>
            <w:vAlign w:val="top"/>
          </w:tcPr>
          <w:p w14:paraId="7B5D814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有效性判定在统一的“回答—缺陷单元”上计算多评分者一致性，拟采用Fleiss κ，并报告一致比例。概括和解释的评分报告绝对一致性、平均测量的ICC及置信区间，模型中说明四位评分者与全部回答的交叉安排。质量分数使用四人平均值，因此一致性评价同时关注最终平均评分的可靠性。计算均基于协调分歧之前保留的独立评分。</w:t>
            </w:r>
          </w:p>
        </w:tc>
      </w:tr>
      <w:tr w14:paraId="39D3B297">
        <w:trPr>
          <w:jc w:val="center"/>
        </w:trPr>
        <w:tc>
          <w:tcPr>
            <w:tcW w:w="10440" w:type="dxa"/>
            <w:tcMar>
              <w:top w:w="0" w:type="dxa"/>
              <w:left w:w="160" w:type="dxa"/>
              <w:bottom w:w="0" w:type="dxa"/>
              <w:right w:w="160" w:type="dxa"/>
            </w:tcMar>
            <w:vAlign w:val="top"/>
          </w:tcPr>
          <w:p w14:paraId="702D981B">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对于发现较集中的评分分歧，返回材料和规则检查原因；事实或方法学判断存在争议时由专家复核，规则调整适用于全部同类回答。评分质量报告包括专家核对过程、试评修改、正式一致性及分歧处理方式，形成从材料依据到实际计分的完整记录。</w:t>
            </w:r>
          </w:p>
        </w:tc>
      </w:tr>
      <w:tr w14:paraId="6059ADB8">
        <w:trPr>
          <w:jc w:val="center"/>
        </w:trPr>
        <w:tc>
          <w:tcPr>
            <w:tcW w:w="10440" w:type="dxa"/>
            <w:tcMar>
              <w:top w:w="0" w:type="dxa"/>
              <w:left w:w="160" w:type="dxa"/>
              <w:bottom w:w="0" w:type="dxa"/>
              <w:right w:w="160" w:type="dxa"/>
            </w:tcMar>
            <w:vAlign w:val="top"/>
          </w:tcPr>
          <w:p w14:paraId="015E2696">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2.4.8 数据整理与统计分析</w:t>
            </w:r>
          </w:p>
          <w:p w14:paraId="571D922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正式分析前整理参与者层面的数据表，同时保留缺陷层面的原始判定与解释评分。参与者表包括匿名编号、组别、材料顺序、初始倾向、各指标前后测得分、有效与所提缺陷数、任务负荷、完成情况及实际后测间隔。</w:t>
            </w:r>
          </w:p>
        </w:tc>
      </w:tr>
      <w:tr w14:paraId="611BF22A">
        <w:trPr>
          <w:jc w:val="center"/>
        </w:trPr>
        <w:tc>
          <w:tcPr>
            <w:tcW w:w="10440" w:type="dxa"/>
            <w:tcMar>
              <w:top w:w="0" w:type="dxa"/>
              <w:left w:w="160" w:type="dxa"/>
              <w:bottom w:w="0" w:type="dxa"/>
              <w:right w:w="160" w:type="dxa"/>
            </w:tcMar>
            <w:vAlign w:val="top"/>
          </w:tcPr>
          <w:p w14:paraId="7D1FAEB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描述统计按组报告招募、分配、完成和纳入人数，展示主要指标的均值、标准差及分布。偏斜明显时补充中位数和四分位距；同时列出零有效缺陷和未提出缺陷者的人数，精确率注明实际可计算的样本量。</w:t>
            </w:r>
          </w:p>
        </w:tc>
      </w:tr>
      <w:tr w14:paraId="11425D51">
        <w:trPr>
          <w:jc w:val="center"/>
        </w:trPr>
        <w:tc>
          <w:tcPr>
            <w:tcW w:w="10440" w:type="dxa"/>
            <w:tcMar>
              <w:top w:w="0" w:type="dxa"/>
              <w:left w:w="160" w:type="dxa"/>
              <w:bottom w:w="0" w:type="dxa"/>
              <w:right w:w="160" w:type="dxa"/>
            </w:tcMar>
            <w:vAlign w:val="top"/>
          </w:tcPr>
          <w:p w14:paraId="07DA1A2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主要效果分别建立两个协方差分析模型，以后测缺陷识别击中率、后测平均解释质量为因变量，组别为组间因素，调整对应前测得分和材料顺序。前测调整有助于在比较干预条件时利用初始表现信息（Vickers &amp; Altman, 2001）。从每个模型提取“苏格拉底式Agent对通用Agent”和“苏格拉底式Agent对无AI”两项预设比较，共四项主要比较，统一采用Holm法校正（Holm, 1979）。</w:t>
            </w:r>
          </w:p>
        </w:tc>
      </w:tr>
      <w:tr w14:paraId="723970A6">
        <w:trPr>
          <w:jc w:val="center"/>
        </w:trPr>
        <w:tc>
          <w:tcPr>
            <w:tcW w:w="10440" w:type="dxa"/>
            <w:tcMar>
              <w:top w:w="0" w:type="dxa"/>
              <w:left w:w="160" w:type="dxa"/>
              <w:bottom w:w="0" w:type="dxa"/>
              <w:right w:w="160" w:type="dxa"/>
            </w:tcMar>
            <w:vAlign w:val="top"/>
          </w:tcPr>
          <w:p w14:paraId="0F0830D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主要分析写为以下两个模型，其中组别以虚拟变量表示，材料顺序编码为A→C或C→A：</w:t>
            </w:r>
          </w:p>
        </w:tc>
      </w:tr>
      <w:tr w14:paraId="1DF9EC98">
        <w:trPr>
          <w:jc w:val="center"/>
        </w:trPr>
        <w:tc>
          <w:tcPr>
            <w:tcW w:w="10440" w:type="dxa"/>
            <w:tcMar>
              <w:top w:w="0" w:type="dxa"/>
              <w:left w:w="160" w:type="dxa"/>
              <w:bottom w:w="0" w:type="dxa"/>
              <w:right w:w="160" w:type="dxa"/>
            </w:tcMar>
            <w:vAlign w:val="top"/>
          </w:tcPr>
          <w:p w14:paraId="7BD7150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模型一：后测缺陷识别击中率＝截距＋组别＋前测缺陷识别击中率＋材料顺序＋误差。</w:t>
            </w:r>
          </w:p>
        </w:tc>
      </w:tr>
      <w:tr w14:paraId="254D3C60">
        <w:trPr>
          <w:jc w:val="center"/>
        </w:trPr>
        <w:tc>
          <w:tcPr>
            <w:tcW w:w="10440" w:type="dxa"/>
            <w:tcMar>
              <w:top w:w="0" w:type="dxa"/>
              <w:left w:w="160" w:type="dxa"/>
              <w:bottom w:w="0" w:type="dxa"/>
              <w:right w:w="160" w:type="dxa"/>
            </w:tcMar>
            <w:vAlign w:val="top"/>
          </w:tcPr>
          <w:p w14:paraId="731982B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模型二：后测平均解释质量＝截距＋组别＋前测平均解释质量＋材料顺序＋误差。</w:t>
            </w:r>
          </w:p>
        </w:tc>
      </w:tr>
      <w:tr w14:paraId="52EE41E4">
        <w:trPr>
          <w:jc w:val="center"/>
        </w:trPr>
        <w:tc>
          <w:tcPr>
            <w:tcW w:w="10440" w:type="dxa"/>
            <w:tcMar>
              <w:top w:w="0" w:type="dxa"/>
              <w:left w:w="160" w:type="dxa"/>
              <w:bottom w:w="0" w:type="dxa"/>
              <w:right w:w="160" w:type="dxa"/>
            </w:tcMar>
            <w:vAlign w:val="top"/>
          </w:tcPr>
          <w:p w14:paraId="1239D53C">
            <w:pPr>
              <w:keepNext/>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表31  主要假设与预设比较</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741FFDFE">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55ECFED4">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假设</w:t>
                  </w:r>
                </w:p>
              </w:tc>
              <w:tc>
                <w:tcPr>
                  <w:tcW w:w="3685" w:type="dxa"/>
                  <w:tcBorders>
                    <w:top w:val="single" w:color="000000" w:sz="8" w:space="0"/>
                    <w:left w:val="nil"/>
                    <w:bottom w:val="single" w:color="000000" w:sz="4" w:space="0"/>
                    <w:right w:val="nil"/>
                    <w:insideH w:val="nil"/>
                    <w:insideV w:val="nil"/>
                  </w:tcBorders>
                  <w:vAlign w:val="center"/>
                </w:tcPr>
                <w:p w14:paraId="4D99F3F9">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结果模型</w:t>
                  </w:r>
                </w:p>
              </w:tc>
              <w:tc>
                <w:tcPr>
                  <w:tcW w:w="4309" w:type="dxa"/>
                  <w:tcBorders>
                    <w:top w:val="single" w:color="000000" w:sz="8" w:space="0"/>
                    <w:left w:val="nil"/>
                    <w:bottom w:val="single" w:color="000000" w:sz="4" w:space="0"/>
                    <w:right w:val="nil"/>
                    <w:insideH w:val="nil"/>
                    <w:insideV w:val="nil"/>
                  </w:tcBorders>
                  <w:vAlign w:val="center"/>
                </w:tcPr>
                <w:p w14:paraId="56C81CE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事先计划的比较</w:t>
                  </w:r>
                </w:p>
              </w:tc>
            </w:tr>
            <w:tr w14:paraId="3770AD8C">
              <w:trPr>
                <w:cantSplit/>
                <w:jc w:val="center"/>
              </w:trPr>
              <w:tc>
                <w:tcPr>
                  <w:tcW w:w="1928" w:type="dxa"/>
                  <w:tcBorders>
                    <w:top w:val="nil"/>
                    <w:left w:val="nil"/>
                    <w:bottom w:val="nil"/>
                    <w:right w:val="nil"/>
                    <w:insideH w:val="nil"/>
                    <w:insideV w:val="nil"/>
                  </w:tcBorders>
                  <w:vAlign w:val="center"/>
                </w:tcPr>
                <w:p w14:paraId="426AE79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H1a</w:t>
                  </w:r>
                </w:p>
              </w:tc>
              <w:tc>
                <w:tcPr>
                  <w:tcW w:w="3685" w:type="dxa"/>
                  <w:tcBorders>
                    <w:top w:val="nil"/>
                    <w:left w:val="nil"/>
                    <w:bottom w:val="nil"/>
                    <w:right w:val="nil"/>
                    <w:insideH w:val="nil"/>
                    <w:insideV w:val="nil"/>
                  </w:tcBorders>
                  <w:vAlign w:val="center"/>
                </w:tcPr>
                <w:p w14:paraId="09327C0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批判性评价表现：缺陷识别击中率</w:t>
                  </w:r>
                </w:p>
              </w:tc>
              <w:tc>
                <w:tcPr>
                  <w:tcW w:w="4309" w:type="dxa"/>
                  <w:tcBorders>
                    <w:top w:val="nil"/>
                    <w:left w:val="nil"/>
                    <w:bottom w:val="nil"/>
                    <w:right w:val="nil"/>
                    <w:insideH w:val="nil"/>
                    <w:insideV w:val="nil"/>
                  </w:tcBorders>
                  <w:vAlign w:val="center"/>
                </w:tcPr>
                <w:p w14:paraId="4BF00C0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苏格拉底式Agent组－通用Agent组</w:t>
                  </w:r>
                </w:p>
              </w:tc>
            </w:tr>
            <w:tr w14:paraId="715BD9E9">
              <w:trPr>
                <w:cantSplit/>
                <w:jc w:val="center"/>
              </w:trPr>
              <w:tc>
                <w:tcPr>
                  <w:tcW w:w="1928" w:type="dxa"/>
                  <w:tcBorders>
                    <w:top w:val="nil"/>
                    <w:left w:val="nil"/>
                    <w:bottom w:val="nil"/>
                    <w:right w:val="nil"/>
                    <w:insideH w:val="nil"/>
                    <w:insideV w:val="nil"/>
                  </w:tcBorders>
                  <w:vAlign w:val="center"/>
                </w:tcPr>
                <w:p w14:paraId="5A4C15C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H1b</w:t>
                  </w:r>
                </w:p>
              </w:tc>
              <w:tc>
                <w:tcPr>
                  <w:tcW w:w="3685" w:type="dxa"/>
                  <w:tcBorders>
                    <w:top w:val="nil"/>
                    <w:left w:val="nil"/>
                    <w:bottom w:val="nil"/>
                    <w:right w:val="nil"/>
                    <w:insideH w:val="nil"/>
                    <w:insideV w:val="nil"/>
                  </w:tcBorders>
                  <w:vAlign w:val="center"/>
                </w:tcPr>
                <w:p w14:paraId="3912DDB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批判性评价表现：缺陷识别击中率</w:t>
                  </w:r>
                </w:p>
              </w:tc>
              <w:tc>
                <w:tcPr>
                  <w:tcW w:w="4309" w:type="dxa"/>
                  <w:tcBorders>
                    <w:top w:val="nil"/>
                    <w:left w:val="nil"/>
                    <w:bottom w:val="nil"/>
                    <w:right w:val="nil"/>
                    <w:insideH w:val="nil"/>
                    <w:insideV w:val="nil"/>
                  </w:tcBorders>
                  <w:vAlign w:val="center"/>
                </w:tcPr>
                <w:p w14:paraId="3D59853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苏格拉底式Agent组－无AI组</w:t>
                  </w:r>
                </w:p>
              </w:tc>
            </w:tr>
            <w:tr w14:paraId="64A1C2F8">
              <w:trPr>
                <w:cantSplit/>
                <w:jc w:val="center"/>
              </w:trPr>
              <w:tc>
                <w:tcPr>
                  <w:tcW w:w="1928" w:type="dxa"/>
                  <w:tcBorders>
                    <w:top w:val="nil"/>
                    <w:left w:val="nil"/>
                    <w:bottom w:val="nil"/>
                    <w:right w:val="nil"/>
                    <w:insideH w:val="nil"/>
                    <w:insideV w:val="nil"/>
                  </w:tcBorders>
                  <w:vAlign w:val="center"/>
                </w:tcPr>
                <w:p w14:paraId="1145B1D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H1c</w:t>
                  </w:r>
                </w:p>
              </w:tc>
              <w:tc>
                <w:tcPr>
                  <w:tcW w:w="3685" w:type="dxa"/>
                  <w:tcBorders>
                    <w:top w:val="nil"/>
                    <w:left w:val="nil"/>
                    <w:bottom w:val="nil"/>
                    <w:right w:val="nil"/>
                    <w:insideH w:val="nil"/>
                    <w:insideV w:val="nil"/>
                  </w:tcBorders>
                  <w:vAlign w:val="center"/>
                </w:tcPr>
                <w:p w14:paraId="2B67082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平均解释质量</w:t>
                  </w:r>
                </w:p>
              </w:tc>
              <w:tc>
                <w:tcPr>
                  <w:tcW w:w="4309" w:type="dxa"/>
                  <w:tcBorders>
                    <w:top w:val="nil"/>
                    <w:left w:val="nil"/>
                    <w:bottom w:val="nil"/>
                    <w:right w:val="nil"/>
                    <w:insideH w:val="nil"/>
                    <w:insideV w:val="nil"/>
                  </w:tcBorders>
                  <w:vAlign w:val="center"/>
                </w:tcPr>
                <w:p w14:paraId="2EA3AE2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苏格拉底式Agent组－通用Agent组</w:t>
                  </w:r>
                </w:p>
              </w:tc>
            </w:tr>
            <w:tr w14:paraId="673ECA9B">
              <w:trPr>
                <w:cantSplit/>
                <w:jc w:val="center"/>
              </w:trPr>
              <w:tc>
                <w:tcPr>
                  <w:tcW w:w="1928" w:type="dxa"/>
                  <w:tcBorders>
                    <w:top w:val="nil"/>
                    <w:left w:val="nil"/>
                    <w:bottom w:val="single" w:color="000000" w:sz="8" w:space="0"/>
                    <w:right w:val="nil"/>
                    <w:insideH w:val="nil"/>
                    <w:insideV w:val="nil"/>
                  </w:tcBorders>
                  <w:vAlign w:val="center"/>
                </w:tcPr>
                <w:p w14:paraId="0B4C065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H1d</w:t>
                  </w:r>
                </w:p>
              </w:tc>
              <w:tc>
                <w:tcPr>
                  <w:tcW w:w="3685" w:type="dxa"/>
                  <w:tcBorders>
                    <w:top w:val="nil"/>
                    <w:left w:val="nil"/>
                    <w:bottom w:val="single" w:color="000000" w:sz="8" w:space="0"/>
                    <w:right w:val="nil"/>
                    <w:insideH w:val="nil"/>
                    <w:insideV w:val="nil"/>
                  </w:tcBorders>
                  <w:vAlign w:val="center"/>
                </w:tcPr>
                <w:p w14:paraId="54759F0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平均解释质量</w:t>
                  </w:r>
                </w:p>
              </w:tc>
              <w:tc>
                <w:tcPr>
                  <w:tcW w:w="4309" w:type="dxa"/>
                  <w:tcBorders>
                    <w:top w:val="nil"/>
                    <w:left w:val="nil"/>
                    <w:bottom w:val="single" w:color="000000" w:sz="8" w:space="0"/>
                    <w:right w:val="nil"/>
                    <w:insideH w:val="nil"/>
                    <w:insideV w:val="nil"/>
                  </w:tcBorders>
                  <w:vAlign w:val="center"/>
                </w:tcPr>
                <w:p w14:paraId="1668D01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苏格拉底式Agent组－无AI组</w:t>
                  </w:r>
                </w:p>
              </w:tc>
            </w:tr>
          </w:tbl>
          <w:p w14:paraId="26031F43">
            <w:pPr>
              <w:spacing w:before="0" w:after="40" w:line="40" w:lineRule="exact"/>
            </w:pPr>
          </w:p>
        </w:tc>
      </w:tr>
      <w:tr w14:paraId="672375CE">
        <w:trPr>
          <w:jc w:val="center"/>
        </w:trPr>
        <w:tc>
          <w:tcPr>
            <w:tcW w:w="10440" w:type="dxa"/>
            <w:tcMar>
              <w:top w:w="0" w:type="dxa"/>
              <w:left w:w="160" w:type="dxa"/>
              <w:bottom w:w="0" w:type="dxa"/>
              <w:right w:w="160" w:type="dxa"/>
            </w:tcMar>
            <w:vAlign w:val="top"/>
          </w:tcPr>
          <w:p w14:paraId="039E7BE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四项比较采用双侧检验，统一进行Holm校正。报告各组调整均值、调整后均值差、效应量、95%置信区间及原始和校正后p值。假设支持情况结合估计方向与校正结果判断；常规95%区间标明未经多重比较调整。</w:t>
            </w:r>
          </w:p>
        </w:tc>
      </w:tr>
      <w:tr w14:paraId="21E79C1E">
        <w:trPr>
          <w:jc w:val="center"/>
        </w:trPr>
        <w:tc>
          <w:tcPr>
            <w:tcW w:w="10440" w:type="dxa"/>
            <w:tcMar>
              <w:top w:w="0" w:type="dxa"/>
              <w:left w:w="160" w:type="dxa"/>
              <w:bottom w:w="0" w:type="dxa"/>
              <w:right w:w="160" w:type="dxa"/>
            </w:tcMar>
            <w:vAlign w:val="top"/>
          </w:tcPr>
          <w:p w14:paraId="1648592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精确率作为补充分析，调整对应前测和材料顺序，提取苏格拉底式Agent与另外两组的两项比较，单独进行Holm校正。前后测均有定义的参与者进入该调整模型，同时报告各组零分母人数及所涉样本范围。概括表现作为次要结果，采用对应前测调整的协方差分析，先报告整体组别效应；进一步两两比较时单独进行Holm校正。</w:t>
            </w:r>
          </w:p>
        </w:tc>
      </w:tr>
      <w:tr w14:paraId="3354C159">
        <w:trPr>
          <w:jc w:val="center"/>
        </w:trPr>
        <w:tc>
          <w:tcPr>
            <w:tcW w:w="10440" w:type="dxa"/>
            <w:tcMar>
              <w:top w:w="0" w:type="dxa"/>
              <w:left w:w="160" w:type="dxa"/>
              <w:bottom w:w="0" w:type="dxa"/>
              <w:right w:w="160" w:type="dxa"/>
            </w:tcMar>
            <w:vAlign w:val="top"/>
          </w:tcPr>
          <w:p w14:paraId="7A66376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线性模型采用HC3稳健标准误，报告调整后的均值差、95%置信区间、效应量和校正后的p值。检查得分分布、模型残差与回归斜率关系，并对比例或低分聚集明显的结果进行敏感性分析。置信区间与多重检验校正的范围分别说明。</w:t>
            </w:r>
          </w:p>
        </w:tc>
      </w:tr>
      <w:tr w14:paraId="113E6DCA">
        <w:trPr>
          <w:jc w:val="center"/>
        </w:trPr>
        <w:tc>
          <w:tcPr>
            <w:tcW w:w="10440" w:type="dxa"/>
            <w:tcMar>
              <w:top w:w="0" w:type="dxa"/>
              <w:left w:w="160" w:type="dxa"/>
              <w:bottom w:w="0" w:type="dxa"/>
              <w:right w:w="160" w:type="dxa"/>
            </w:tcMar>
            <w:vAlign w:val="top"/>
          </w:tcPr>
          <w:p w14:paraId="5CBF7D7B">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精确率是0—1比例，各人的所提缺陷总数不同。正式模型将在预实验后固定：若采用线性协方差分析，使用稳健标准误并检查分布；若小分母或边界聚集明显，则采用能够利用有效与无效缺陷计数的比例模型，并检查过度离散。前测或后测未提出任何缺陷时单独标记，报告进入精确率分析的样本范围。概括分数仅有0—3档，必要时以有序模型检查结论对分析方式的敏感性。</w:t>
            </w:r>
          </w:p>
        </w:tc>
      </w:tr>
      <w:tr w14:paraId="27B3EA6D">
        <w:trPr>
          <w:jc w:val="center"/>
        </w:trPr>
        <w:tc>
          <w:tcPr>
            <w:tcW w:w="10440" w:type="dxa"/>
            <w:tcMar>
              <w:top w:w="0" w:type="dxa"/>
              <w:left w:w="160" w:type="dxa"/>
              <w:bottom w:w="0" w:type="dxa"/>
              <w:right w:w="160" w:type="dxa"/>
            </w:tcMar>
            <w:vAlign w:val="top"/>
          </w:tcPr>
          <w:p w14:paraId="498B047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探索性调节分析以通用Agent组为参照，将标准化CCTDI总分、组别及二者交互项加入上述模型，重点检验苏格拉底式Agent相对通用Agent的效果是否随初始倾向变化。两个主要结果上的目标交互检验单独进行Holm校正，并在有解释价值时呈现不同倾向水平下的估计组间差异。</w:t>
            </w:r>
          </w:p>
        </w:tc>
      </w:tr>
      <w:tr w14:paraId="27F6E08B">
        <w:trPr>
          <w:jc w:val="center"/>
        </w:trPr>
        <w:tc>
          <w:tcPr>
            <w:tcW w:w="10440" w:type="dxa"/>
            <w:tcMar>
              <w:top w:w="0" w:type="dxa"/>
              <w:left w:w="160" w:type="dxa"/>
              <w:bottom w:w="0" w:type="dxa"/>
              <w:right w:w="160" w:type="dxa"/>
            </w:tcMar>
            <w:vAlign w:val="top"/>
          </w:tcPr>
          <w:p w14:paraId="67AB64B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调节模型为：后测表现＝截距＋对应前测＋材料顺序＋组别＋初始CT倾向＋组别×初始CT倾向＋误差。CT倾向使用标准化连续总分，不进行高低组二分。三组编码产生两个组别项及相应交互项，重点解释苏格拉底组相对通用组的交互系数。</w:t>
            </w:r>
          </w:p>
        </w:tc>
      </w:tr>
      <w:tr w14:paraId="3A9446F0">
        <w:trPr>
          <w:jc w:val="center"/>
        </w:trPr>
        <w:tc>
          <w:tcPr>
            <w:tcW w:w="10440" w:type="dxa"/>
            <w:tcMar>
              <w:top w:w="0" w:type="dxa"/>
              <w:left w:w="160" w:type="dxa"/>
              <w:bottom w:w="0" w:type="dxa"/>
              <w:right w:w="160" w:type="dxa"/>
            </w:tcMar>
            <w:vAlign w:val="top"/>
          </w:tcPr>
          <w:p w14:paraId="40A5C21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若目标交互系数为负，表示初始倾向较低时苏格拉底组的相对优势更大，方向符合补偿性预期。展示时在实际数据范围内呈现不同倾向水平的预测表现和组间差异，并依据交互项判断调节证据。两个主要结果上的目标交互分别估计后，统一进行探索性检验的Holm校正。</w:t>
            </w:r>
          </w:p>
        </w:tc>
      </w:tr>
      <w:tr w14:paraId="471645A5">
        <w:trPr>
          <w:jc w:val="center"/>
        </w:trPr>
        <w:tc>
          <w:tcPr>
            <w:tcW w:w="10440" w:type="dxa"/>
            <w:tcMar>
              <w:top w:w="0" w:type="dxa"/>
              <w:left w:w="160" w:type="dxa"/>
              <w:bottom w:w="0" w:type="dxa"/>
              <w:right w:w="160" w:type="dxa"/>
            </w:tcMar>
            <w:vAlign w:val="top"/>
          </w:tcPr>
          <w:p w14:paraId="113E38C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任务负荷报告描述统计与探索性组间比较；对话日志依据编码规则，由独立编码者核对代表性片段，汇总生成解释、提示后推进及判断修正等情况。过程分析不设正式中介模型。无AI组的笔记用于描述研读过程，不把不同记录渠道中的发言数量直接作为同一心理加工量进行比较。</w:t>
            </w:r>
          </w:p>
        </w:tc>
      </w:tr>
      <w:tr w14:paraId="6DA2217B">
        <w:trPr>
          <w:jc w:val="center"/>
        </w:trPr>
        <w:tc>
          <w:tcPr>
            <w:tcW w:w="10440" w:type="dxa"/>
            <w:tcMar>
              <w:top w:w="0" w:type="dxa"/>
              <w:left w:w="160" w:type="dxa"/>
              <w:bottom w:w="0" w:type="dxa"/>
              <w:right w:w="160" w:type="dxa"/>
            </w:tcMar>
            <w:vAlign w:val="top"/>
          </w:tcPr>
          <w:p w14:paraId="4A9BCAB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记录各阶段完成情况及缺失原因。未完成测验与零分回答分开处理；零有效缺陷者按既定规则计分并保留。数据整理和分析前固定评分规则、主要比较及排除标准，报告实际纳入人数与任何方案调整。</w:t>
            </w:r>
          </w:p>
        </w:tc>
      </w:tr>
      <w:tr w14:paraId="7B47EEB8">
        <w:trPr>
          <w:jc w:val="center"/>
        </w:trPr>
        <w:tc>
          <w:tcPr>
            <w:tcW w:w="10440" w:type="dxa"/>
            <w:tcMar>
              <w:top w:w="0" w:type="dxa"/>
              <w:left w:w="160" w:type="dxa"/>
              <w:bottom w:w="0" w:type="dxa"/>
              <w:right w:w="160" w:type="dxa"/>
            </w:tcMar>
            <w:vAlign w:val="top"/>
          </w:tcPr>
          <w:p w14:paraId="18C89D70">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结果解释分别对应两个主要指标及各比较对象。击中率较高说明发现了更多预设有效问题，解释质量较高说明所识别有效缺陷的理由更充分；再结合精确率判断提出批评的可靠程度。概括和任务负荷提供补充信息，帮助理解内容掌握和使用感受与评价表现之间的关系。</w:t>
            </w:r>
          </w:p>
        </w:tc>
      </w:tr>
      <w:tr w14:paraId="5147C8A3">
        <w:trPr>
          <w:jc w:val="center"/>
        </w:trPr>
        <w:tc>
          <w:tcPr>
            <w:tcW w:w="10440" w:type="dxa"/>
            <w:tcMar>
              <w:top w:w="0" w:type="dxa"/>
              <w:left w:w="160" w:type="dxa"/>
              <w:bottom w:w="0" w:type="dxa"/>
              <w:right w:w="160" w:type="dxa"/>
            </w:tcMar>
            <w:vAlign w:val="top"/>
          </w:tcPr>
          <w:p w14:paraId="0BF6A0FA">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2.5 安全论证与可行性分析</w:t>
            </w:r>
          </w:p>
          <w:p w14:paraId="3824CD13">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2.5.1 研究伦理与数据管理</w:t>
            </w:r>
          </w:p>
          <w:p w14:paraId="4AAFF7D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以成年学生的论文阅读、讨论和书面评价为主要任务。正式招募前提交伦理审查，向参与者说明任务、时长、录音录屏与对话记录范围、自愿参加及退出权利。实验安排休息，允许因不适暂停或退出，补偿与表现高低无关。访谈中只收集参与者愿意展示的记录，避免收集未公开研究或第三方个人信息。</w:t>
            </w:r>
          </w:p>
        </w:tc>
      </w:tr>
      <w:tr w14:paraId="7E4C8DA4">
        <w:trPr>
          <w:jc w:val="center"/>
        </w:trPr>
        <w:tc>
          <w:tcPr>
            <w:tcW w:w="10440" w:type="dxa"/>
            <w:tcMar>
              <w:top w:w="0" w:type="dxa"/>
              <w:left w:w="160" w:type="dxa"/>
              <w:bottom w:w="0" w:type="dxa"/>
              <w:right w:w="160" w:type="dxa"/>
            </w:tcMar>
            <w:vAlign w:val="top"/>
          </w:tcPr>
          <w:p w14:paraId="08DCAD55">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采用编号保存数据，身份与联系信息单独存放，限制研究团队访问权限；发送给模型的内容以实验材料及匿名化讨论为主。参与者回答不用于课程成绩评价。工具与评分材料分开管理，研究完成后按约定提供说明和反馈。</w:t>
            </w:r>
          </w:p>
        </w:tc>
      </w:tr>
      <w:tr w14:paraId="208AB2E4">
        <w:trPr>
          <w:jc w:val="center"/>
        </w:trPr>
        <w:tc>
          <w:tcPr>
            <w:tcW w:w="10440" w:type="dxa"/>
            <w:tcMar>
              <w:top w:w="0" w:type="dxa"/>
              <w:left w:w="160" w:type="dxa"/>
              <w:bottom w:w="0" w:type="dxa"/>
              <w:right w:w="160" w:type="dxa"/>
            </w:tcMar>
            <w:vAlign w:val="top"/>
          </w:tcPr>
          <w:p w14:paraId="269C7F70">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参与者在知情同意时了解两次参与的时间和报酬安排，正式实验按150元／人预算。遇到技术故障、身体不适或需要退出时，实验员记录实际完成情况并按事先说明处理补偿。模型服务不接收姓名、联系方式等身份字段，录音、录屏及日志以编号管理。</w:t>
            </w:r>
          </w:p>
        </w:tc>
      </w:tr>
      <w:tr w14:paraId="10CA9792">
        <w:trPr>
          <w:jc w:val="center"/>
        </w:trPr>
        <w:tc>
          <w:tcPr>
            <w:tcW w:w="10440" w:type="dxa"/>
            <w:tcMar>
              <w:top w:w="0" w:type="dxa"/>
              <w:left w:w="160" w:type="dxa"/>
              <w:bottom w:w="0" w:type="dxa"/>
              <w:right w:w="160" w:type="dxa"/>
            </w:tcMar>
            <w:vAlign w:val="top"/>
          </w:tcPr>
          <w:p w14:paraId="64D3C89E">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2.5.2 实施条件与阶段安排</w:t>
            </w:r>
          </w:p>
          <w:p w14:paraId="7B5FC8B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已有理论文献、同类系统研究和模拟论文材料基础，开发范围集中于阅读界面、原文定位及对话策略，便于分阶段实现。研究一、二的小规模访谈与测试用于及时修订需求和系统；预实验用于固定实验时长及评分规则。正式研究前完成CCTDI授权、材料使用安排、专家核对及评分者培训。按100名正式参与者、每人150元补偿估算，总预算约26,400元，包含访谈、可用性测试、预实验、评分、专家与模型费用及机动经费。</w:t>
            </w:r>
          </w:p>
        </w:tc>
      </w:tr>
      <w:tr w14:paraId="7238E4B7">
        <w:trPr>
          <w:jc w:val="center"/>
        </w:trPr>
        <w:tc>
          <w:tcPr>
            <w:tcW w:w="10440" w:type="dxa"/>
            <w:tcMar>
              <w:top w:w="0" w:type="dxa"/>
              <w:left w:w="160" w:type="dxa"/>
              <w:bottom w:w="0" w:type="dxa"/>
              <w:right w:w="160" w:type="dxa"/>
            </w:tcMar>
            <w:vAlign w:val="top"/>
          </w:tcPr>
          <w:p w14:paraId="370E688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研究实施按阶段推进。研究一先形成具体设计要求，研究二以小规模测试检查界面与交互，研究三在预实验完成后开展正式招募。这样可以在大规模数据收集前发现材料难度、支持策略或评分上的问题，并把相应调整纳入固定版本。</w:t>
            </w:r>
          </w:p>
        </w:tc>
      </w:tr>
      <w:tr w14:paraId="58C149CC">
        <w:trPr>
          <w:jc w:val="center"/>
        </w:trPr>
        <w:tc>
          <w:tcPr>
            <w:tcW w:w="10440" w:type="dxa"/>
            <w:tcMar>
              <w:top w:w="0" w:type="dxa"/>
              <w:left w:w="160" w:type="dxa"/>
              <w:bottom w:w="0" w:type="dxa"/>
              <w:right w:w="160" w:type="dxa"/>
            </w:tcMar>
            <w:vAlign w:val="top"/>
          </w:tcPr>
          <w:p w14:paraId="3A4F86A5">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研究工作量主要集中于Agent开发、正式实验组织和开放回答评分。开发优先完成全文阅读、引用定位、对话策略及日志功能；实验按照场次预约、统一设备和指导语实施；评分按匿名批次安排，并留出培训和复核时间。经费以计划招募100人编列，评分量按前后测全部回答和四位评分者估算，具体见进展与成果部分的经费表。</w:t>
            </w:r>
          </w:p>
        </w:tc>
      </w:tr>
      <w:tr w14:paraId="4D72CA92">
        <w:trPr>
          <w:jc w:val="center"/>
        </w:trPr>
        <w:tc>
          <w:tcPr>
            <w:tcW w:w="10440" w:type="dxa"/>
            <w:tcMar>
              <w:top w:w="0" w:type="dxa"/>
              <w:left w:w="160" w:type="dxa"/>
              <w:bottom w:w="0" w:type="dxa"/>
              <w:right w:w="160" w:type="dxa"/>
            </w:tcMar>
            <w:vAlign w:val="top"/>
          </w:tcPr>
          <w:p w14:paraId="7B28C1E3">
            <w:pPr>
              <w:pStyle w:val="19"/>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3．本研究的特色与创新之处</w:t>
            </w:r>
          </w:p>
          <w:p w14:paraId="1C17091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将科研新手的论文评价困难落实到“识别有效缺陷”和“解释缺陷为什么成立”两类表现，并将原文证据与方法学推理结合起来设计支持。相较于提供概括、章节问题或直接分析，拟开发的Agent围绕学生当前判断选择追问内容，促使学生主动说明理由，再根据具体困难调整提示或讲解。</w:t>
            </w:r>
          </w:p>
        </w:tc>
      </w:tr>
      <w:tr w14:paraId="44301C5E">
        <w:trPr>
          <w:jc w:val="center"/>
        </w:trPr>
        <w:tc>
          <w:tcPr>
            <w:tcW w:w="10440" w:type="dxa"/>
            <w:tcMar>
              <w:top w:w="0" w:type="dxa"/>
              <w:left w:w="160" w:type="dxa"/>
              <w:bottom w:w="0" w:type="dxa"/>
              <w:right w:w="160" w:type="dxa"/>
            </w:tcMar>
            <w:vAlign w:val="top"/>
          </w:tcPr>
          <w:p w14:paraId="57C02A0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设计中把生成性学习与自我解释、最近发展区和Toulmin模型分别落实到学习活动、帮助程度和论证内容，形成可记录、可检查的交互规则。通过真实阅读经历访谈、可用性测试与三组实验，将设计依据、使用体验和独立表现衔接起来。</w:t>
            </w:r>
          </w:p>
        </w:tc>
      </w:tr>
      <w:tr w14:paraId="55DB0EB7">
        <w:trPr>
          <w:jc w:val="center"/>
        </w:trPr>
        <w:tc>
          <w:tcPr>
            <w:tcW w:w="10440" w:type="dxa"/>
            <w:tcMar>
              <w:top w:w="0" w:type="dxa"/>
              <w:left w:w="160" w:type="dxa"/>
              <w:bottom w:w="0" w:type="dxa"/>
              <w:right w:w="160" w:type="dxa"/>
            </w:tcMar>
            <w:vAlign w:val="top"/>
          </w:tcPr>
          <w:p w14:paraId="12CE071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实验在相同模型与信息条件下比较通用和苏格拉底式Agent，并设置无AI参照，使用独立前后测评价学习效果。结果同时关注有效缺陷的发现比例、解释质量和批评精确率，形成适用于本研究材料的评分手册，为后续科研阅读工具的设计与评价提供参考。</w:t>
            </w:r>
          </w:p>
        </w:tc>
      </w:tr>
      <w:tr w14:paraId="3069A608">
        <w:trPr>
          <w:jc w:val="center"/>
        </w:trPr>
        <w:tc>
          <w:tcPr>
            <w:tcW w:w="10440" w:type="dxa"/>
            <w:tcMar>
              <w:top w:w="0" w:type="dxa"/>
              <w:left w:w="160" w:type="dxa"/>
              <w:bottom w:w="0" w:type="dxa"/>
              <w:right w:w="160" w:type="dxa"/>
            </w:tcMar>
            <w:vAlign w:val="top"/>
          </w:tcPr>
          <w:p w14:paraId="1E282365">
            <w:pPr>
              <w:pStyle w:val="19"/>
              <w:keepNext w:val="0"/>
              <w:keepLines w:val="0"/>
              <w:widowControl/>
              <w:snapToGrid w:val="0"/>
              <w:spacing w:before="160" w:after="100" w:line="360" w:lineRule="exact"/>
              <w:ind w:left="0" w:right="0" w:firstLine="0"/>
              <w:jc w:val="both"/>
            </w:pPr>
            <w:r>
              <w:rPr>
                <w:rFonts w:ascii="Times New Roman" w:hAnsi="Times New Roman" w:eastAsia="宋体"/>
                <w:b/>
                <w:i w:val="0"/>
                <w:color w:val="000000"/>
                <w:sz w:val="24"/>
              </w:rPr>
              <w:t>4．预期的论文进展和成果</w:t>
            </w:r>
          </w:p>
          <w:p w14:paraId="143187CD">
            <w:pPr>
              <w:pStyle w:val="20"/>
              <w:keepNext w:val="0"/>
              <w:keepLines w:val="0"/>
              <w:widowControl/>
              <w:snapToGrid w:val="0"/>
              <w:spacing w:before="160" w:after="100" w:line="360" w:lineRule="exact"/>
              <w:ind w:left="0" w:right="0" w:firstLine="0"/>
              <w:jc w:val="both"/>
            </w:pPr>
            <w:r>
              <w:rPr>
                <w:rFonts w:ascii="Times New Roman" w:hAnsi="Times New Roman" w:eastAsia="宋体"/>
                <w:b/>
                <w:i w:val="0"/>
                <w:color w:val="000000"/>
                <w:sz w:val="24"/>
              </w:rPr>
              <w:t>4.1 进度安排</w:t>
            </w:r>
          </w:p>
          <w:p w14:paraId="7A23E558">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表32  论文进度安排</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268"/>
              <w:gridCol w:w="4535"/>
              <w:gridCol w:w="3118"/>
            </w:tblGrid>
            <w:tr w14:paraId="6E967499">
              <w:trPr>
                <w:cantSplit/>
                <w:tblHeader/>
                <w:jc w:val="center"/>
              </w:trPr>
              <w:tc>
                <w:tcPr>
                  <w:tcW w:w="2268" w:type="dxa"/>
                  <w:tcBorders>
                    <w:top w:val="single" w:color="000000" w:sz="8" w:space="0"/>
                    <w:left w:val="nil"/>
                    <w:bottom w:val="single" w:color="000000" w:sz="4" w:space="0"/>
                    <w:right w:val="nil"/>
                    <w:insideH w:val="nil"/>
                    <w:insideV w:val="nil"/>
                  </w:tcBorders>
                  <w:vAlign w:val="center"/>
                </w:tcPr>
                <w:p w14:paraId="339374EE">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时间</w:t>
                  </w:r>
                </w:p>
              </w:tc>
              <w:tc>
                <w:tcPr>
                  <w:tcW w:w="4535" w:type="dxa"/>
                  <w:tcBorders>
                    <w:top w:val="single" w:color="000000" w:sz="8" w:space="0"/>
                    <w:left w:val="nil"/>
                    <w:bottom w:val="single" w:color="000000" w:sz="4" w:space="0"/>
                    <w:right w:val="nil"/>
                    <w:insideH w:val="nil"/>
                    <w:insideV w:val="nil"/>
                  </w:tcBorders>
                  <w:vAlign w:val="center"/>
                </w:tcPr>
                <w:p w14:paraId="004D24AF">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主要工作</w:t>
                  </w:r>
                </w:p>
              </w:tc>
              <w:tc>
                <w:tcPr>
                  <w:tcW w:w="3118" w:type="dxa"/>
                  <w:tcBorders>
                    <w:top w:val="single" w:color="000000" w:sz="8" w:space="0"/>
                    <w:left w:val="nil"/>
                    <w:bottom w:val="single" w:color="000000" w:sz="4" w:space="0"/>
                    <w:right w:val="nil"/>
                    <w:insideH w:val="nil"/>
                    <w:insideV w:val="nil"/>
                  </w:tcBorders>
                  <w:vAlign w:val="center"/>
                </w:tcPr>
                <w:p w14:paraId="2D74561D">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阶段产出</w:t>
                  </w:r>
                </w:p>
              </w:tc>
            </w:tr>
            <w:tr w14:paraId="3A62A264">
              <w:trPr>
                <w:cantSplit/>
                <w:jc w:val="center"/>
              </w:trPr>
              <w:tc>
                <w:tcPr>
                  <w:tcW w:w="2268" w:type="dxa"/>
                  <w:tcBorders>
                    <w:top w:val="nil"/>
                    <w:left w:val="nil"/>
                    <w:bottom w:val="nil"/>
                    <w:right w:val="nil"/>
                    <w:insideH w:val="nil"/>
                    <w:insideV w:val="nil"/>
                  </w:tcBorders>
                  <w:vAlign w:val="center"/>
                </w:tcPr>
                <w:p w14:paraId="114B536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2026年10—11月</w:t>
                  </w:r>
                </w:p>
              </w:tc>
              <w:tc>
                <w:tcPr>
                  <w:tcW w:w="4535" w:type="dxa"/>
                  <w:tcBorders>
                    <w:top w:val="nil"/>
                    <w:left w:val="nil"/>
                    <w:bottom w:val="nil"/>
                    <w:right w:val="nil"/>
                    <w:insideH w:val="nil"/>
                    <w:insideV w:val="nil"/>
                  </w:tcBorders>
                  <w:vAlign w:val="center"/>
                </w:tcPr>
                <w:p w14:paraId="62061AF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完成开题、补充文献与同类工具比较，开展研究一访谈</w:t>
                  </w:r>
                </w:p>
              </w:tc>
              <w:tc>
                <w:tcPr>
                  <w:tcW w:w="3118" w:type="dxa"/>
                  <w:tcBorders>
                    <w:top w:val="nil"/>
                    <w:left w:val="nil"/>
                    <w:bottom w:val="nil"/>
                    <w:right w:val="nil"/>
                    <w:insideH w:val="nil"/>
                    <w:insideV w:val="nil"/>
                  </w:tcBorders>
                  <w:vAlign w:val="center"/>
                </w:tcPr>
                <w:p w14:paraId="5C40EC4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开题报告、设计依据与需求分析</w:t>
                  </w:r>
                </w:p>
              </w:tc>
            </w:tr>
            <w:tr w14:paraId="3EAD716C">
              <w:trPr>
                <w:cantSplit/>
                <w:jc w:val="center"/>
              </w:trPr>
              <w:tc>
                <w:tcPr>
                  <w:tcW w:w="2268" w:type="dxa"/>
                  <w:tcBorders>
                    <w:top w:val="nil"/>
                    <w:left w:val="nil"/>
                    <w:bottom w:val="nil"/>
                    <w:right w:val="nil"/>
                    <w:insideH w:val="nil"/>
                    <w:insideV w:val="nil"/>
                  </w:tcBorders>
                  <w:vAlign w:val="center"/>
                </w:tcPr>
                <w:p w14:paraId="1F70863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2026年12月—2027年1月</w:t>
                  </w:r>
                </w:p>
              </w:tc>
              <w:tc>
                <w:tcPr>
                  <w:tcW w:w="4535" w:type="dxa"/>
                  <w:tcBorders>
                    <w:top w:val="nil"/>
                    <w:left w:val="nil"/>
                    <w:bottom w:val="nil"/>
                    <w:right w:val="nil"/>
                    <w:insideH w:val="nil"/>
                    <w:insideV w:val="nil"/>
                  </w:tcBorders>
                  <w:vAlign w:val="center"/>
                </w:tcPr>
                <w:p w14:paraId="6F9B206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开发阅读系统与Agent，完成两轮可用性测试</w:t>
                  </w:r>
                </w:p>
              </w:tc>
              <w:tc>
                <w:tcPr>
                  <w:tcW w:w="3118" w:type="dxa"/>
                  <w:tcBorders>
                    <w:top w:val="nil"/>
                    <w:left w:val="nil"/>
                    <w:bottom w:val="nil"/>
                    <w:right w:val="nil"/>
                    <w:insideH w:val="nil"/>
                    <w:insideV w:val="nil"/>
                  </w:tcBorders>
                  <w:vAlign w:val="center"/>
                </w:tcPr>
                <w:p w14:paraId="26726A0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可运行原型、交互规则与迭代记录</w:t>
                  </w:r>
                </w:p>
              </w:tc>
            </w:tr>
            <w:tr w14:paraId="141177A6">
              <w:trPr>
                <w:cantSplit/>
                <w:jc w:val="center"/>
              </w:trPr>
              <w:tc>
                <w:tcPr>
                  <w:tcW w:w="2268" w:type="dxa"/>
                  <w:tcBorders>
                    <w:top w:val="nil"/>
                    <w:left w:val="nil"/>
                    <w:bottom w:val="nil"/>
                    <w:right w:val="nil"/>
                    <w:insideH w:val="nil"/>
                    <w:insideV w:val="nil"/>
                  </w:tcBorders>
                  <w:vAlign w:val="center"/>
                </w:tcPr>
                <w:p w14:paraId="4C3DEB9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2027年2月</w:t>
                  </w:r>
                </w:p>
              </w:tc>
              <w:tc>
                <w:tcPr>
                  <w:tcW w:w="4535" w:type="dxa"/>
                  <w:tcBorders>
                    <w:top w:val="nil"/>
                    <w:left w:val="nil"/>
                    <w:bottom w:val="nil"/>
                    <w:right w:val="nil"/>
                    <w:insideH w:val="nil"/>
                    <w:insideV w:val="nil"/>
                  </w:tcBorders>
                  <w:vAlign w:val="center"/>
                </w:tcPr>
                <w:p w14:paraId="2EA19CF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完成材料核对、评分者培训及预实验</w:t>
                  </w:r>
                </w:p>
              </w:tc>
              <w:tc>
                <w:tcPr>
                  <w:tcW w:w="3118" w:type="dxa"/>
                  <w:tcBorders>
                    <w:top w:val="nil"/>
                    <w:left w:val="nil"/>
                    <w:bottom w:val="nil"/>
                    <w:right w:val="nil"/>
                    <w:insideH w:val="nil"/>
                    <w:insideV w:val="nil"/>
                  </w:tcBorders>
                  <w:vAlign w:val="center"/>
                </w:tcPr>
                <w:p w14:paraId="1DE48DB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正式材料包、流程、评分手册</w:t>
                  </w:r>
                </w:p>
              </w:tc>
            </w:tr>
            <w:tr w14:paraId="6F0A1E27">
              <w:trPr>
                <w:cantSplit/>
                <w:jc w:val="center"/>
              </w:trPr>
              <w:tc>
                <w:tcPr>
                  <w:tcW w:w="2268" w:type="dxa"/>
                  <w:tcBorders>
                    <w:top w:val="nil"/>
                    <w:left w:val="nil"/>
                    <w:bottom w:val="nil"/>
                    <w:right w:val="nil"/>
                    <w:insideH w:val="nil"/>
                    <w:insideV w:val="nil"/>
                  </w:tcBorders>
                  <w:vAlign w:val="center"/>
                </w:tcPr>
                <w:p w14:paraId="54052E3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2027年3月</w:t>
                  </w:r>
                </w:p>
              </w:tc>
              <w:tc>
                <w:tcPr>
                  <w:tcW w:w="4535" w:type="dxa"/>
                  <w:tcBorders>
                    <w:top w:val="nil"/>
                    <w:left w:val="nil"/>
                    <w:bottom w:val="nil"/>
                    <w:right w:val="nil"/>
                    <w:insideH w:val="nil"/>
                    <w:insideV w:val="nil"/>
                  </w:tcBorders>
                  <w:vAlign w:val="center"/>
                </w:tcPr>
                <w:p w14:paraId="5C809A1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招募并实施正式实验，同步整理数据与盲评</w:t>
                  </w:r>
                </w:p>
              </w:tc>
              <w:tc>
                <w:tcPr>
                  <w:tcW w:w="3118" w:type="dxa"/>
                  <w:tcBorders>
                    <w:top w:val="nil"/>
                    <w:left w:val="nil"/>
                    <w:bottom w:val="nil"/>
                    <w:right w:val="nil"/>
                    <w:insideH w:val="nil"/>
                    <w:insideV w:val="nil"/>
                  </w:tcBorders>
                  <w:vAlign w:val="center"/>
                </w:tcPr>
                <w:p w14:paraId="6892EFF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实验数据、原始评分与过程记录</w:t>
                  </w:r>
                </w:p>
              </w:tc>
            </w:tr>
            <w:tr w14:paraId="31547ADA">
              <w:trPr>
                <w:cantSplit/>
                <w:jc w:val="center"/>
              </w:trPr>
              <w:tc>
                <w:tcPr>
                  <w:tcW w:w="2268" w:type="dxa"/>
                  <w:tcBorders>
                    <w:top w:val="nil"/>
                    <w:left w:val="nil"/>
                    <w:bottom w:val="nil"/>
                    <w:right w:val="nil"/>
                    <w:insideH w:val="nil"/>
                    <w:insideV w:val="nil"/>
                  </w:tcBorders>
                  <w:vAlign w:val="center"/>
                </w:tcPr>
                <w:p w14:paraId="749E137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2027年4月</w:t>
                  </w:r>
                </w:p>
              </w:tc>
              <w:tc>
                <w:tcPr>
                  <w:tcW w:w="4535" w:type="dxa"/>
                  <w:tcBorders>
                    <w:top w:val="nil"/>
                    <w:left w:val="nil"/>
                    <w:bottom w:val="nil"/>
                    <w:right w:val="nil"/>
                    <w:insideH w:val="nil"/>
                    <w:insideV w:val="nil"/>
                  </w:tcBorders>
                  <w:vAlign w:val="center"/>
                </w:tcPr>
                <w:p w14:paraId="590E9E9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完成统计分析、过程分析与论文初稿</w:t>
                  </w:r>
                </w:p>
              </w:tc>
              <w:tc>
                <w:tcPr>
                  <w:tcW w:w="3118" w:type="dxa"/>
                  <w:tcBorders>
                    <w:top w:val="nil"/>
                    <w:left w:val="nil"/>
                    <w:bottom w:val="nil"/>
                    <w:right w:val="nil"/>
                    <w:insideH w:val="nil"/>
                    <w:insideV w:val="nil"/>
                  </w:tcBorders>
                  <w:vAlign w:val="center"/>
                </w:tcPr>
                <w:p w14:paraId="6B05C21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分析结果、研究报告和论文初稿</w:t>
                  </w:r>
                </w:p>
              </w:tc>
            </w:tr>
            <w:tr w14:paraId="6AA2EED6">
              <w:trPr>
                <w:cantSplit/>
                <w:jc w:val="center"/>
              </w:trPr>
              <w:tc>
                <w:tcPr>
                  <w:tcW w:w="2268" w:type="dxa"/>
                  <w:tcBorders>
                    <w:top w:val="nil"/>
                    <w:left w:val="nil"/>
                    <w:bottom w:val="single" w:color="000000" w:sz="8" w:space="0"/>
                    <w:right w:val="nil"/>
                    <w:insideH w:val="nil"/>
                    <w:insideV w:val="nil"/>
                  </w:tcBorders>
                  <w:vAlign w:val="center"/>
                </w:tcPr>
                <w:p w14:paraId="29C5E7A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2027年5—6月</w:t>
                  </w:r>
                </w:p>
              </w:tc>
              <w:tc>
                <w:tcPr>
                  <w:tcW w:w="4535" w:type="dxa"/>
                  <w:tcBorders>
                    <w:top w:val="nil"/>
                    <w:left w:val="nil"/>
                    <w:bottom w:val="single" w:color="000000" w:sz="8" w:space="0"/>
                    <w:right w:val="nil"/>
                    <w:insideH w:val="nil"/>
                    <w:insideV w:val="nil"/>
                  </w:tcBorders>
                  <w:vAlign w:val="center"/>
                </w:tcPr>
                <w:p w14:paraId="16181DD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修改论文、完善系统说明并准备答辩</w:t>
                  </w:r>
                </w:p>
              </w:tc>
              <w:tc>
                <w:tcPr>
                  <w:tcW w:w="3118" w:type="dxa"/>
                  <w:tcBorders>
                    <w:top w:val="nil"/>
                    <w:left w:val="nil"/>
                    <w:bottom w:val="single" w:color="000000" w:sz="8" w:space="0"/>
                    <w:right w:val="nil"/>
                    <w:insideH w:val="nil"/>
                    <w:insideV w:val="nil"/>
                  </w:tcBorders>
                  <w:vAlign w:val="center"/>
                </w:tcPr>
                <w:p w14:paraId="5BA79E4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学位论文、系统与答辩材料</w:t>
                  </w:r>
                </w:p>
              </w:tc>
            </w:tr>
          </w:tbl>
          <w:p w14:paraId="7319021C">
            <w:pPr>
              <w:spacing w:before="0" w:after="40" w:line="40" w:lineRule="exact"/>
            </w:pPr>
          </w:p>
        </w:tc>
      </w:tr>
      <w:tr w14:paraId="27747CEB">
        <w:trPr>
          <w:jc w:val="center"/>
        </w:trPr>
        <w:tc>
          <w:tcPr>
            <w:tcW w:w="10440" w:type="dxa"/>
            <w:tcMar>
              <w:top w:w="0" w:type="dxa"/>
              <w:left w:w="160" w:type="dxa"/>
              <w:bottom w:w="0" w:type="dxa"/>
              <w:right w:w="160" w:type="dxa"/>
            </w:tcMar>
            <w:vAlign w:val="top"/>
          </w:tcPr>
          <w:p w14:paraId="2EEC555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以上为拟定安排，具体节点与培养单位后续通知衔接。</w:t>
            </w:r>
          </w:p>
        </w:tc>
      </w:tr>
      <w:tr w14:paraId="68C37A90">
        <w:trPr>
          <w:jc w:val="center"/>
        </w:trPr>
        <w:tc>
          <w:tcPr>
            <w:tcW w:w="10440" w:type="dxa"/>
            <w:tcMar>
              <w:top w:w="0" w:type="dxa"/>
              <w:left w:w="160" w:type="dxa"/>
              <w:bottom w:w="0" w:type="dxa"/>
              <w:right w:w="160" w:type="dxa"/>
            </w:tcMar>
            <w:vAlign w:val="top"/>
          </w:tcPr>
          <w:p w14:paraId="4E44176D">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4.2 预期成果</w:t>
            </w:r>
          </w:p>
          <w:p w14:paraId="651678A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预期形成以下相互对应的研究成果：</w:t>
            </w:r>
          </w:p>
        </w:tc>
      </w:tr>
      <w:tr w14:paraId="1F040A19">
        <w:trPr>
          <w:jc w:val="center"/>
        </w:trPr>
        <w:tc>
          <w:tcPr>
            <w:tcW w:w="10440" w:type="dxa"/>
            <w:tcMar>
              <w:top w:w="0" w:type="dxa"/>
              <w:left w:w="160" w:type="dxa"/>
              <w:bottom w:w="0" w:type="dxa"/>
              <w:right w:w="160" w:type="dxa"/>
            </w:tcMar>
            <w:vAlign w:val="top"/>
          </w:tcPr>
          <w:p w14:paraId="623FD35F">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表33  预期研究成果</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5E32A581">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6053224B">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成果</w:t>
                  </w:r>
                </w:p>
              </w:tc>
              <w:tc>
                <w:tcPr>
                  <w:tcW w:w="3685" w:type="dxa"/>
                  <w:tcBorders>
                    <w:top w:val="single" w:color="000000" w:sz="8" w:space="0"/>
                    <w:left w:val="nil"/>
                    <w:bottom w:val="single" w:color="000000" w:sz="4" w:space="0"/>
                    <w:right w:val="nil"/>
                    <w:insideH w:val="nil"/>
                    <w:insideV w:val="nil"/>
                  </w:tcBorders>
                  <w:vAlign w:val="center"/>
                </w:tcPr>
                <w:p w14:paraId="2F41A74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主要内容</w:t>
                  </w:r>
                </w:p>
              </w:tc>
              <w:tc>
                <w:tcPr>
                  <w:tcW w:w="4309" w:type="dxa"/>
                  <w:tcBorders>
                    <w:top w:val="single" w:color="000000" w:sz="8" w:space="0"/>
                    <w:left w:val="nil"/>
                    <w:bottom w:val="single" w:color="000000" w:sz="4" w:space="0"/>
                    <w:right w:val="nil"/>
                    <w:insideH w:val="nil"/>
                    <w:insideV w:val="nil"/>
                  </w:tcBorders>
                  <w:vAlign w:val="center"/>
                </w:tcPr>
                <w:p w14:paraId="3EB6C48F">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对应研究</w:t>
                  </w:r>
                </w:p>
              </w:tc>
            </w:tr>
            <w:tr w14:paraId="630D3CF2">
              <w:trPr>
                <w:cantSplit/>
                <w:jc w:val="center"/>
              </w:trPr>
              <w:tc>
                <w:tcPr>
                  <w:tcW w:w="1928" w:type="dxa"/>
                  <w:tcBorders>
                    <w:top w:val="nil"/>
                    <w:left w:val="nil"/>
                    <w:bottom w:val="nil"/>
                    <w:right w:val="nil"/>
                    <w:insideH w:val="nil"/>
                    <w:insideV w:val="nil"/>
                  </w:tcBorders>
                  <w:vAlign w:val="center"/>
                </w:tcPr>
                <w:p w14:paraId="4A3B8D4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设计依据与需求分析</w:t>
                  </w:r>
                </w:p>
              </w:tc>
              <w:tc>
                <w:tcPr>
                  <w:tcW w:w="3685" w:type="dxa"/>
                  <w:tcBorders>
                    <w:top w:val="nil"/>
                    <w:left w:val="nil"/>
                    <w:bottom w:val="nil"/>
                    <w:right w:val="nil"/>
                    <w:insideH w:val="nil"/>
                    <w:insideV w:val="nil"/>
                  </w:tcBorders>
                  <w:vAlign w:val="center"/>
                </w:tcPr>
                <w:p w14:paraId="6D35579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理论及同类工具比较、真实阅读困难、设计要求及依据</w:t>
                  </w:r>
                </w:p>
              </w:tc>
              <w:tc>
                <w:tcPr>
                  <w:tcW w:w="4309" w:type="dxa"/>
                  <w:tcBorders>
                    <w:top w:val="nil"/>
                    <w:left w:val="nil"/>
                    <w:bottom w:val="nil"/>
                    <w:right w:val="nil"/>
                    <w:insideH w:val="nil"/>
                    <w:insideV w:val="nil"/>
                  </w:tcBorders>
                  <w:vAlign w:val="center"/>
                </w:tcPr>
                <w:p w14:paraId="7CE01D4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研究一</w:t>
                  </w:r>
                </w:p>
              </w:tc>
            </w:tr>
            <w:tr w14:paraId="70B3D786">
              <w:trPr>
                <w:cantSplit/>
                <w:jc w:val="center"/>
              </w:trPr>
              <w:tc>
                <w:tcPr>
                  <w:tcW w:w="1928" w:type="dxa"/>
                  <w:tcBorders>
                    <w:top w:val="nil"/>
                    <w:left w:val="nil"/>
                    <w:bottom w:val="nil"/>
                    <w:right w:val="nil"/>
                    <w:insideH w:val="nil"/>
                    <w:insideV w:val="nil"/>
                  </w:tcBorders>
                  <w:vAlign w:val="center"/>
                </w:tcPr>
                <w:p w14:paraId="021A7DB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可运行的文献阅读Agent</w:t>
                  </w:r>
                </w:p>
              </w:tc>
              <w:tc>
                <w:tcPr>
                  <w:tcW w:w="3685" w:type="dxa"/>
                  <w:tcBorders>
                    <w:top w:val="nil"/>
                    <w:left w:val="nil"/>
                    <w:bottom w:val="nil"/>
                    <w:right w:val="nil"/>
                    <w:insideH w:val="nil"/>
                    <w:insideV w:val="nil"/>
                  </w:tcBorders>
                  <w:vAlign w:val="center"/>
                </w:tcPr>
                <w:p w14:paraId="186B218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原文定位、追问策略、自适应帮助、跨轮记录及共同阅读界面</w:t>
                  </w:r>
                </w:p>
              </w:tc>
              <w:tc>
                <w:tcPr>
                  <w:tcW w:w="4309" w:type="dxa"/>
                  <w:tcBorders>
                    <w:top w:val="nil"/>
                    <w:left w:val="nil"/>
                    <w:bottom w:val="nil"/>
                    <w:right w:val="nil"/>
                    <w:insideH w:val="nil"/>
                    <w:insideV w:val="nil"/>
                  </w:tcBorders>
                  <w:vAlign w:val="center"/>
                </w:tcPr>
                <w:p w14:paraId="1D0818A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研究二</w:t>
                  </w:r>
                </w:p>
              </w:tc>
            </w:tr>
            <w:tr w14:paraId="7D39A0F3">
              <w:trPr>
                <w:cantSplit/>
                <w:jc w:val="center"/>
              </w:trPr>
              <w:tc>
                <w:tcPr>
                  <w:tcW w:w="1928" w:type="dxa"/>
                  <w:tcBorders>
                    <w:top w:val="nil"/>
                    <w:left w:val="nil"/>
                    <w:bottom w:val="nil"/>
                    <w:right w:val="nil"/>
                    <w:insideH w:val="nil"/>
                    <w:insideV w:val="nil"/>
                  </w:tcBorders>
                  <w:vAlign w:val="center"/>
                </w:tcPr>
                <w:p w14:paraId="3707094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可用性与迭代记录</w:t>
                  </w:r>
                </w:p>
              </w:tc>
              <w:tc>
                <w:tcPr>
                  <w:tcW w:w="3685" w:type="dxa"/>
                  <w:tcBorders>
                    <w:top w:val="nil"/>
                    <w:left w:val="nil"/>
                    <w:bottom w:val="nil"/>
                    <w:right w:val="nil"/>
                    <w:insideH w:val="nil"/>
                    <w:insideV w:val="nil"/>
                  </w:tcBorders>
                  <w:vAlign w:val="center"/>
                </w:tcPr>
                <w:p w14:paraId="5D4D8B0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两轮问题、用户反馈、SUS结果及修改前后证据</w:t>
                  </w:r>
                </w:p>
              </w:tc>
              <w:tc>
                <w:tcPr>
                  <w:tcW w:w="4309" w:type="dxa"/>
                  <w:tcBorders>
                    <w:top w:val="nil"/>
                    <w:left w:val="nil"/>
                    <w:bottom w:val="nil"/>
                    <w:right w:val="nil"/>
                    <w:insideH w:val="nil"/>
                    <w:insideV w:val="nil"/>
                  </w:tcBorders>
                  <w:vAlign w:val="center"/>
                </w:tcPr>
                <w:p w14:paraId="5007B86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研究二</w:t>
                  </w:r>
                </w:p>
              </w:tc>
            </w:tr>
            <w:tr w14:paraId="4CD0BE85">
              <w:trPr>
                <w:cantSplit/>
                <w:jc w:val="center"/>
              </w:trPr>
              <w:tc>
                <w:tcPr>
                  <w:tcW w:w="1928" w:type="dxa"/>
                  <w:tcBorders>
                    <w:top w:val="nil"/>
                    <w:left w:val="nil"/>
                    <w:bottom w:val="nil"/>
                    <w:right w:val="nil"/>
                    <w:insideH w:val="nil"/>
                    <w:insideV w:val="nil"/>
                  </w:tcBorders>
                  <w:vAlign w:val="center"/>
                </w:tcPr>
                <w:p w14:paraId="04888B4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实验材料与评分手册</w:t>
                  </w:r>
                </w:p>
              </w:tc>
              <w:tc>
                <w:tcPr>
                  <w:tcW w:w="3685" w:type="dxa"/>
                  <w:tcBorders>
                    <w:top w:val="nil"/>
                    <w:left w:val="nil"/>
                    <w:bottom w:val="nil"/>
                    <w:right w:val="nil"/>
                    <w:insideH w:val="nil"/>
                    <w:insideV w:val="nil"/>
                  </w:tcBorders>
                  <w:vAlign w:val="center"/>
                </w:tcPr>
                <w:p w14:paraId="259AA98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文章版本、统一指导语、缺陷依据、解释与概括评分规则</w:t>
                  </w:r>
                </w:p>
              </w:tc>
              <w:tc>
                <w:tcPr>
                  <w:tcW w:w="4309" w:type="dxa"/>
                  <w:tcBorders>
                    <w:top w:val="nil"/>
                    <w:left w:val="nil"/>
                    <w:bottom w:val="nil"/>
                    <w:right w:val="nil"/>
                    <w:insideH w:val="nil"/>
                    <w:insideV w:val="nil"/>
                  </w:tcBorders>
                  <w:vAlign w:val="center"/>
                </w:tcPr>
                <w:p w14:paraId="595A61E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研究三</w:t>
                  </w:r>
                </w:p>
              </w:tc>
            </w:tr>
            <w:tr w14:paraId="54009861">
              <w:trPr>
                <w:cantSplit/>
                <w:jc w:val="center"/>
              </w:trPr>
              <w:tc>
                <w:tcPr>
                  <w:tcW w:w="1928" w:type="dxa"/>
                  <w:tcBorders>
                    <w:top w:val="nil"/>
                    <w:left w:val="nil"/>
                    <w:bottom w:val="nil"/>
                    <w:right w:val="nil"/>
                    <w:insideH w:val="nil"/>
                    <w:insideV w:val="nil"/>
                  </w:tcBorders>
                  <w:vAlign w:val="center"/>
                </w:tcPr>
                <w:p w14:paraId="6E9526C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效果与过程分析</w:t>
                  </w:r>
                </w:p>
              </w:tc>
              <w:tc>
                <w:tcPr>
                  <w:tcW w:w="3685" w:type="dxa"/>
                  <w:tcBorders>
                    <w:top w:val="nil"/>
                    <w:left w:val="nil"/>
                    <w:bottom w:val="nil"/>
                    <w:right w:val="nil"/>
                    <w:insideH w:val="nil"/>
                    <w:insideV w:val="nil"/>
                  </w:tcBorders>
                  <w:vAlign w:val="center"/>
                </w:tcPr>
                <w:p w14:paraId="176B98C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三组独立表现、探索性倾向调节及对话过程描述</w:t>
                  </w:r>
                </w:p>
              </w:tc>
              <w:tc>
                <w:tcPr>
                  <w:tcW w:w="4309" w:type="dxa"/>
                  <w:tcBorders>
                    <w:top w:val="nil"/>
                    <w:left w:val="nil"/>
                    <w:bottom w:val="nil"/>
                    <w:right w:val="nil"/>
                    <w:insideH w:val="nil"/>
                    <w:insideV w:val="nil"/>
                  </w:tcBorders>
                  <w:vAlign w:val="center"/>
                </w:tcPr>
                <w:p w14:paraId="695759E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研究三</w:t>
                  </w:r>
                </w:p>
              </w:tc>
            </w:tr>
            <w:tr w14:paraId="4DAAF801">
              <w:trPr>
                <w:cantSplit/>
                <w:jc w:val="center"/>
              </w:trPr>
              <w:tc>
                <w:tcPr>
                  <w:tcW w:w="1928" w:type="dxa"/>
                  <w:tcBorders>
                    <w:top w:val="nil"/>
                    <w:left w:val="nil"/>
                    <w:bottom w:val="single" w:color="000000" w:sz="8" w:space="0"/>
                    <w:right w:val="nil"/>
                    <w:insideH w:val="nil"/>
                    <w:insideV w:val="nil"/>
                  </w:tcBorders>
                  <w:vAlign w:val="center"/>
                </w:tcPr>
                <w:p w14:paraId="5CD5AAD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学位论文与设计建议</w:t>
                  </w:r>
                </w:p>
              </w:tc>
              <w:tc>
                <w:tcPr>
                  <w:tcW w:w="3685" w:type="dxa"/>
                  <w:tcBorders>
                    <w:top w:val="nil"/>
                    <w:left w:val="nil"/>
                    <w:bottom w:val="single" w:color="000000" w:sz="8" w:space="0"/>
                    <w:right w:val="nil"/>
                    <w:insideH w:val="nil"/>
                    <w:insideV w:val="nil"/>
                  </w:tcBorders>
                  <w:vAlign w:val="center"/>
                </w:tcPr>
                <w:p w14:paraId="1211676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贯通设计依据、产品实现、可用性和学习效果的研究报告</w:t>
                  </w:r>
                </w:p>
              </w:tc>
              <w:tc>
                <w:tcPr>
                  <w:tcW w:w="4309" w:type="dxa"/>
                  <w:tcBorders>
                    <w:top w:val="nil"/>
                    <w:left w:val="nil"/>
                    <w:bottom w:val="single" w:color="000000" w:sz="8" w:space="0"/>
                    <w:right w:val="nil"/>
                    <w:insideH w:val="nil"/>
                    <w:insideV w:val="nil"/>
                  </w:tcBorders>
                  <w:vAlign w:val="center"/>
                </w:tcPr>
                <w:p w14:paraId="3D7D7B4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全部研究</w:t>
                  </w:r>
                </w:p>
              </w:tc>
            </w:tr>
          </w:tbl>
          <w:p w14:paraId="55E2CCB2">
            <w:pPr>
              <w:spacing w:before="0" w:after="40" w:line="40" w:lineRule="exact"/>
            </w:pPr>
          </w:p>
        </w:tc>
      </w:tr>
      <w:tr w14:paraId="5A550E63">
        <w:trPr>
          <w:jc w:val="center"/>
        </w:trPr>
        <w:tc>
          <w:tcPr>
            <w:tcW w:w="10440" w:type="dxa"/>
            <w:tcMar>
              <w:top w:w="0" w:type="dxa"/>
              <w:left w:w="160" w:type="dxa"/>
              <w:bottom w:w="0" w:type="dxa"/>
              <w:right w:w="160" w:type="dxa"/>
            </w:tcMar>
            <w:vAlign w:val="top"/>
          </w:tcPr>
          <w:p w14:paraId="364CC58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研究结果将说明苏格拉底式支持在本研究条件下能否改善独立文献评价，以及这种效果体现在哪些表现上。最终完成应用心理专业学位论文，并整理可复核的材料与分析记录。</w:t>
            </w:r>
          </w:p>
        </w:tc>
      </w:tr>
      <w:tr w14:paraId="14B3459A">
        <w:trPr>
          <w:jc w:val="center"/>
        </w:trPr>
        <w:tc>
          <w:tcPr>
            <w:tcW w:w="10440" w:type="dxa"/>
            <w:tcMar>
              <w:top w:w="0" w:type="dxa"/>
              <w:left w:w="160" w:type="dxa"/>
              <w:bottom w:w="0" w:type="dxa"/>
              <w:right w:w="160" w:type="dxa"/>
            </w:tcMar>
            <w:vAlign w:val="top"/>
          </w:tcPr>
          <w:p w14:paraId="74161062">
            <w:pPr>
              <w:pStyle w:val="20"/>
              <w:keepNext w:val="0"/>
              <w:keepLines w:val="0"/>
              <w:widowControl/>
              <w:snapToGrid w:val="0"/>
              <w:spacing w:before="160" w:after="100" w:line="360" w:lineRule="exact"/>
              <w:ind w:left="0" w:right="0" w:firstLine="0"/>
              <w:jc w:val="both"/>
            </w:pPr>
            <w:r>
              <w:rPr>
                <w:rFonts w:ascii="Times New Roman" w:hAnsi="Times New Roman" w:eastAsia="宋体"/>
                <w:b/>
                <w:i w:val="0"/>
                <w:color w:val="000000"/>
                <w:sz w:val="24"/>
              </w:rPr>
              <w:t>4.3 经费安排</w:t>
            </w:r>
          </w:p>
          <w:p w14:paraId="6316D221">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表34  研究经费预算</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268"/>
              <w:gridCol w:w="5839"/>
              <w:gridCol w:w="1814"/>
            </w:tblGrid>
            <w:tr w14:paraId="37E1CDC5">
              <w:trPr>
                <w:cantSplit/>
                <w:tblHeader/>
                <w:jc w:val="center"/>
              </w:trPr>
              <w:tc>
                <w:tcPr>
                  <w:tcW w:w="2268" w:type="dxa"/>
                  <w:tcBorders>
                    <w:top w:val="single" w:color="000000" w:sz="8" w:space="0"/>
                    <w:left w:val="nil"/>
                    <w:bottom w:val="single" w:color="000000" w:sz="4" w:space="0"/>
                    <w:right w:val="nil"/>
                    <w:insideH w:val="nil"/>
                    <w:insideV w:val="nil"/>
                  </w:tcBorders>
                  <w:vAlign w:val="center"/>
                </w:tcPr>
                <w:p w14:paraId="7D77FFE4">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项目</w:t>
                  </w:r>
                </w:p>
              </w:tc>
              <w:tc>
                <w:tcPr>
                  <w:tcW w:w="5839" w:type="dxa"/>
                  <w:tcBorders>
                    <w:top w:val="single" w:color="000000" w:sz="8" w:space="0"/>
                    <w:left w:val="nil"/>
                    <w:bottom w:val="single" w:color="000000" w:sz="4" w:space="0"/>
                    <w:right w:val="nil"/>
                    <w:insideH w:val="nil"/>
                    <w:insideV w:val="nil"/>
                  </w:tcBorders>
                  <w:vAlign w:val="center"/>
                </w:tcPr>
                <w:p w14:paraId="7241897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估算依据</w:t>
                  </w:r>
                </w:p>
              </w:tc>
              <w:tc>
                <w:tcPr>
                  <w:tcW w:w="1814" w:type="dxa"/>
                  <w:tcBorders>
                    <w:top w:val="single" w:color="000000" w:sz="8" w:space="0"/>
                    <w:left w:val="nil"/>
                    <w:bottom w:val="single" w:color="000000" w:sz="4" w:space="0"/>
                    <w:right w:val="nil"/>
                    <w:insideH w:val="nil"/>
                    <w:insideV w:val="nil"/>
                  </w:tcBorders>
                  <w:vAlign w:val="center"/>
                </w:tcPr>
                <w:p w14:paraId="73A37B9B">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金额（元）</w:t>
                  </w:r>
                </w:p>
              </w:tc>
            </w:tr>
            <w:tr w14:paraId="4052735C">
              <w:trPr>
                <w:cantSplit/>
                <w:jc w:val="center"/>
              </w:trPr>
              <w:tc>
                <w:tcPr>
                  <w:tcW w:w="2268" w:type="dxa"/>
                  <w:tcBorders>
                    <w:top w:val="nil"/>
                    <w:left w:val="nil"/>
                    <w:bottom w:val="nil"/>
                    <w:right w:val="nil"/>
                    <w:insideH w:val="nil"/>
                    <w:insideV w:val="nil"/>
                  </w:tcBorders>
                  <w:vAlign w:val="center"/>
                </w:tcPr>
                <w:p w14:paraId="6EBEBF0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研究一访谈</w:t>
                  </w:r>
                </w:p>
              </w:tc>
              <w:tc>
                <w:tcPr>
                  <w:tcW w:w="5839" w:type="dxa"/>
                  <w:tcBorders>
                    <w:top w:val="nil"/>
                    <w:left w:val="nil"/>
                    <w:bottom w:val="nil"/>
                    <w:right w:val="nil"/>
                    <w:insideH w:val="nil"/>
                    <w:insideV w:val="nil"/>
                  </w:tcBorders>
                  <w:vAlign w:val="center"/>
                </w:tcPr>
                <w:p w14:paraId="05FCC91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8人×30元</w:t>
                  </w:r>
                </w:p>
              </w:tc>
              <w:tc>
                <w:tcPr>
                  <w:tcW w:w="1814" w:type="dxa"/>
                  <w:tcBorders>
                    <w:top w:val="nil"/>
                    <w:left w:val="nil"/>
                    <w:bottom w:val="nil"/>
                    <w:right w:val="nil"/>
                    <w:insideH w:val="nil"/>
                    <w:insideV w:val="nil"/>
                  </w:tcBorders>
                  <w:vAlign w:val="center"/>
                </w:tcPr>
                <w:p w14:paraId="5663F98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240</w:t>
                  </w:r>
                </w:p>
              </w:tc>
            </w:tr>
            <w:tr w14:paraId="27E8AF79">
              <w:trPr>
                <w:cantSplit/>
                <w:jc w:val="center"/>
              </w:trPr>
              <w:tc>
                <w:tcPr>
                  <w:tcW w:w="2268" w:type="dxa"/>
                  <w:tcBorders>
                    <w:top w:val="nil"/>
                    <w:left w:val="nil"/>
                    <w:bottom w:val="nil"/>
                    <w:right w:val="nil"/>
                    <w:insideH w:val="nil"/>
                    <w:insideV w:val="nil"/>
                  </w:tcBorders>
                  <w:vAlign w:val="center"/>
                </w:tcPr>
                <w:p w14:paraId="370AC0A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可用性测试</w:t>
                  </w:r>
                </w:p>
              </w:tc>
              <w:tc>
                <w:tcPr>
                  <w:tcW w:w="5839" w:type="dxa"/>
                  <w:tcBorders>
                    <w:top w:val="nil"/>
                    <w:left w:val="nil"/>
                    <w:bottom w:val="nil"/>
                    <w:right w:val="nil"/>
                    <w:insideH w:val="nil"/>
                    <w:insideV w:val="nil"/>
                  </w:tcBorders>
                  <w:vAlign w:val="center"/>
                </w:tcPr>
                <w:p w14:paraId="4A62FDC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12人×50元</w:t>
                  </w:r>
                </w:p>
              </w:tc>
              <w:tc>
                <w:tcPr>
                  <w:tcW w:w="1814" w:type="dxa"/>
                  <w:tcBorders>
                    <w:top w:val="nil"/>
                    <w:left w:val="nil"/>
                    <w:bottom w:val="nil"/>
                    <w:right w:val="nil"/>
                    <w:insideH w:val="nil"/>
                    <w:insideV w:val="nil"/>
                  </w:tcBorders>
                  <w:vAlign w:val="center"/>
                </w:tcPr>
                <w:p w14:paraId="3D9DA2F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600</w:t>
                  </w:r>
                </w:p>
              </w:tc>
            </w:tr>
            <w:tr w14:paraId="6C35AA3B">
              <w:trPr>
                <w:cantSplit/>
                <w:jc w:val="center"/>
              </w:trPr>
              <w:tc>
                <w:tcPr>
                  <w:tcW w:w="2268" w:type="dxa"/>
                  <w:tcBorders>
                    <w:top w:val="nil"/>
                    <w:left w:val="nil"/>
                    <w:bottom w:val="nil"/>
                    <w:right w:val="nil"/>
                    <w:insideH w:val="nil"/>
                    <w:insideV w:val="nil"/>
                  </w:tcBorders>
                  <w:vAlign w:val="center"/>
                </w:tcPr>
                <w:p w14:paraId="1E9BB56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预实验</w:t>
                  </w:r>
                </w:p>
              </w:tc>
              <w:tc>
                <w:tcPr>
                  <w:tcW w:w="5839" w:type="dxa"/>
                  <w:tcBorders>
                    <w:top w:val="nil"/>
                    <w:left w:val="nil"/>
                    <w:bottom w:val="nil"/>
                    <w:right w:val="nil"/>
                    <w:insideH w:val="nil"/>
                    <w:insideV w:val="nil"/>
                  </w:tcBorders>
                  <w:vAlign w:val="center"/>
                </w:tcPr>
                <w:p w14:paraId="0B41CD5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4人×150元</w:t>
                  </w:r>
                </w:p>
              </w:tc>
              <w:tc>
                <w:tcPr>
                  <w:tcW w:w="1814" w:type="dxa"/>
                  <w:tcBorders>
                    <w:top w:val="nil"/>
                    <w:left w:val="nil"/>
                    <w:bottom w:val="nil"/>
                    <w:right w:val="nil"/>
                    <w:insideH w:val="nil"/>
                    <w:insideV w:val="nil"/>
                  </w:tcBorders>
                  <w:vAlign w:val="center"/>
                </w:tcPr>
                <w:p w14:paraId="326DB65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600</w:t>
                  </w:r>
                </w:p>
              </w:tc>
            </w:tr>
            <w:tr w14:paraId="4048378A">
              <w:trPr>
                <w:cantSplit/>
                <w:jc w:val="center"/>
              </w:trPr>
              <w:tc>
                <w:tcPr>
                  <w:tcW w:w="2268" w:type="dxa"/>
                  <w:tcBorders>
                    <w:top w:val="nil"/>
                    <w:left w:val="nil"/>
                    <w:bottom w:val="nil"/>
                    <w:right w:val="nil"/>
                    <w:insideH w:val="nil"/>
                    <w:insideV w:val="nil"/>
                  </w:tcBorders>
                  <w:vAlign w:val="center"/>
                </w:tcPr>
                <w:p w14:paraId="2E1B54C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正式实验</w:t>
                  </w:r>
                </w:p>
              </w:tc>
              <w:tc>
                <w:tcPr>
                  <w:tcW w:w="5839" w:type="dxa"/>
                  <w:tcBorders>
                    <w:top w:val="nil"/>
                    <w:left w:val="nil"/>
                    <w:bottom w:val="nil"/>
                    <w:right w:val="nil"/>
                    <w:insideH w:val="nil"/>
                    <w:insideV w:val="nil"/>
                  </w:tcBorders>
                  <w:vAlign w:val="center"/>
                </w:tcPr>
                <w:p w14:paraId="739197F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100人×150元</w:t>
                  </w:r>
                </w:p>
              </w:tc>
              <w:tc>
                <w:tcPr>
                  <w:tcW w:w="1814" w:type="dxa"/>
                  <w:tcBorders>
                    <w:top w:val="nil"/>
                    <w:left w:val="nil"/>
                    <w:bottom w:val="nil"/>
                    <w:right w:val="nil"/>
                    <w:insideH w:val="nil"/>
                    <w:insideV w:val="nil"/>
                  </w:tcBorders>
                  <w:vAlign w:val="center"/>
                </w:tcPr>
                <w:p w14:paraId="46253AF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15,000</w:t>
                  </w:r>
                </w:p>
              </w:tc>
            </w:tr>
            <w:tr w14:paraId="204097E4">
              <w:trPr>
                <w:cantSplit/>
                <w:jc w:val="center"/>
              </w:trPr>
              <w:tc>
                <w:tcPr>
                  <w:tcW w:w="2268" w:type="dxa"/>
                  <w:tcBorders>
                    <w:top w:val="nil"/>
                    <w:left w:val="nil"/>
                    <w:bottom w:val="nil"/>
                    <w:right w:val="nil"/>
                    <w:insideH w:val="nil"/>
                    <w:insideV w:val="nil"/>
                  </w:tcBorders>
                  <w:vAlign w:val="center"/>
                </w:tcPr>
                <w:p w14:paraId="0F45CD2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评分劳务</w:t>
                  </w:r>
                </w:p>
              </w:tc>
              <w:tc>
                <w:tcPr>
                  <w:tcW w:w="5839" w:type="dxa"/>
                  <w:tcBorders>
                    <w:top w:val="nil"/>
                    <w:left w:val="nil"/>
                    <w:bottom w:val="nil"/>
                    <w:right w:val="nil"/>
                    <w:insideH w:val="nil"/>
                    <w:insideV w:val="nil"/>
                  </w:tcBorders>
                  <w:vAlign w:val="center"/>
                </w:tcPr>
                <w:p w14:paraId="6AE5EA8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100人×2次×4人×15分钟，30元／小时</w:t>
                  </w:r>
                </w:p>
              </w:tc>
              <w:tc>
                <w:tcPr>
                  <w:tcW w:w="1814" w:type="dxa"/>
                  <w:tcBorders>
                    <w:top w:val="nil"/>
                    <w:left w:val="nil"/>
                    <w:bottom w:val="nil"/>
                    <w:right w:val="nil"/>
                    <w:insideH w:val="nil"/>
                    <w:insideV w:val="nil"/>
                  </w:tcBorders>
                  <w:vAlign w:val="center"/>
                </w:tcPr>
                <w:p w14:paraId="717D39D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6,000</w:t>
                  </w:r>
                </w:p>
              </w:tc>
            </w:tr>
            <w:tr w14:paraId="429D9F19">
              <w:trPr>
                <w:cantSplit/>
                <w:jc w:val="center"/>
              </w:trPr>
              <w:tc>
                <w:tcPr>
                  <w:tcW w:w="2268" w:type="dxa"/>
                  <w:tcBorders>
                    <w:top w:val="nil"/>
                    <w:left w:val="nil"/>
                    <w:bottom w:val="nil"/>
                    <w:right w:val="nil"/>
                    <w:insideH w:val="nil"/>
                    <w:insideV w:val="nil"/>
                  </w:tcBorders>
                  <w:vAlign w:val="center"/>
                </w:tcPr>
                <w:p w14:paraId="3278B97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评分者培训</w:t>
                  </w:r>
                </w:p>
              </w:tc>
              <w:tc>
                <w:tcPr>
                  <w:tcW w:w="5839" w:type="dxa"/>
                  <w:tcBorders>
                    <w:top w:val="nil"/>
                    <w:left w:val="nil"/>
                    <w:bottom w:val="nil"/>
                    <w:right w:val="nil"/>
                    <w:insideH w:val="nil"/>
                    <w:insideV w:val="nil"/>
                  </w:tcBorders>
                  <w:vAlign w:val="center"/>
                </w:tcPr>
                <w:p w14:paraId="166B923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4人×3小时×30元</w:t>
                  </w:r>
                </w:p>
              </w:tc>
              <w:tc>
                <w:tcPr>
                  <w:tcW w:w="1814" w:type="dxa"/>
                  <w:tcBorders>
                    <w:top w:val="nil"/>
                    <w:left w:val="nil"/>
                    <w:bottom w:val="nil"/>
                    <w:right w:val="nil"/>
                    <w:insideH w:val="nil"/>
                    <w:insideV w:val="nil"/>
                  </w:tcBorders>
                  <w:vAlign w:val="center"/>
                </w:tcPr>
                <w:p w14:paraId="137871E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360</w:t>
                  </w:r>
                </w:p>
              </w:tc>
            </w:tr>
            <w:tr w14:paraId="6E3CF0EB">
              <w:trPr>
                <w:cantSplit/>
                <w:jc w:val="center"/>
              </w:trPr>
              <w:tc>
                <w:tcPr>
                  <w:tcW w:w="2268" w:type="dxa"/>
                  <w:tcBorders>
                    <w:top w:val="nil"/>
                    <w:left w:val="nil"/>
                    <w:bottom w:val="nil"/>
                    <w:right w:val="nil"/>
                    <w:insideH w:val="nil"/>
                    <w:insideV w:val="nil"/>
                  </w:tcBorders>
                  <w:vAlign w:val="center"/>
                </w:tcPr>
                <w:p w14:paraId="2DA4C13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专家咨询</w:t>
                  </w:r>
                </w:p>
              </w:tc>
              <w:tc>
                <w:tcPr>
                  <w:tcW w:w="5839" w:type="dxa"/>
                  <w:tcBorders>
                    <w:top w:val="nil"/>
                    <w:left w:val="nil"/>
                    <w:bottom w:val="nil"/>
                    <w:right w:val="nil"/>
                    <w:insideH w:val="nil"/>
                    <w:insideV w:val="nil"/>
                  </w:tcBorders>
                  <w:vAlign w:val="center"/>
                </w:tcPr>
                <w:p w14:paraId="78BA728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暂估</w:t>
                  </w:r>
                </w:p>
              </w:tc>
              <w:tc>
                <w:tcPr>
                  <w:tcW w:w="1814" w:type="dxa"/>
                  <w:tcBorders>
                    <w:top w:val="nil"/>
                    <w:left w:val="nil"/>
                    <w:bottom w:val="nil"/>
                    <w:right w:val="nil"/>
                    <w:insideH w:val="nil"/>
                    <w:insideV w:val="nil"/>
                  </w:tcBorders>
                  <w:vAlign w:val="center"/>
                </w:tcPr>
                <w:p w14:paraId="7F2CFE4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500</w:t>
                  </w:r>
                </w:p>
              </w:tc>
            </w:tr>
            <w:tr w14:paraId="7030AAE8">
              <w:trPr>
                <w:cantSplit/>
                <w:jc w:val="center"/>
              </w:trPr>
              <w:tc>
                <w:tcPr>
                  <w:tcW w:w="2268" w:type="dxa"/>
                  <w:tcBorders>
                    <w:top w:val="nil"/>
                    <w:left w:val="nil"/>
                    <w:bottom w:val="nil"/>
                    <w:right w:val="nil"/>
                    <w:insideH w:val="nil"/>
                    <w:insideV w:val="nil"/>
                  </w:tcBorders>
                  <w:vAlign w:val="center"/>
                </w:tcPr>
                <w:p w14:paraId="426BB3D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模型与运行</w:t>
                  </w:r>
                </w:p>
              </w:tc>
              <w:tc>
                <w:tcPr>
                  <w:tcW w:w="5839" w:type="dxa"/>
                  <w:tcBorders>
                    <w:top w:val="nil"/>
                    <w:left w:val="nil"/>
                    <w:bottom w:val="nil"/>
                    <w:right w:val="nil"/>
                    <w:insideH w:val="nil"/>
                    <w:insideV w:val="nil"/>
                  </w:tcBorders>
                  <w:vAlign w:val="center"/>
                </w:tcPr>
                <w:p w14:paraId="73FAF9E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暂估</w:t>
                  </w:r>
                </w:p>
              </w:tc>
              <w:tc>
                <w:tcPr>
                  <w:tcW w:w="1814" w:type="dxa"/>
                  <w:tcBorders>
                    <w:top w:val="nil"/>
                    <w:left w:val="nil"/>
                    <w:bottom w:val="nil"/>
                    <w:right w:val="nil"/>
                    <w:insideH w:val="nil"/>
                    <w:insideV w:val="nil"/>
                  </w:tcBorders>
                  <w:vAlign w:val="center"/>
                </w:tcPr>
                <w:p w14:paraId="4C64B0A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500</w:t>
                  </w:r>
                </w:p>
              </w:tc>
            </w:tr>
            <w:tr w14:paraId="47010505">
              <w:trPr>
                <w:cantSplit/>
                <w:jc w:val="center"/>
              </w:trPr>
              <w:tc>
                <w:tcPr>
                  <w:tcW w:w="2268" w:type="dxa"/>
                  <w:tcBorders>
                    <w:top w:val="nil"/>
                    <w:left w:val="nil"/>
                    <w:bottom w:val="nil"/>
                    <w:right w:val="nil"/>
                    <w:insideH w:val="nil"/>
                    <w:insideV w:val="nil"/>
                  </w:tcBorders>
                  <w:vAlign w:val="center"/>
                </w:tcPr>
                <w:p w14:paraId="1FFAD5D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材料与杂费</w:t>
                  </w:r>
                </w:p>
              </w:tc>
              <w:tc>
                <w:tcPr>
                  <w:tcW w:w="5839" w:type="dxa"/>
                  <w:tcBorders>
                    <w:top w:val="nil"/>
                    <w:left w:val="nil"/>
                    <w:bottom w:val="nil"/>
                    <w:right w:val="nil"/>
                    <w:insideH w:val="nil"/>
                    <w:insideV w:val="nil"/>
                  </w:tcBorders>
                  <w:vAlign w:val="center"/>
                </w:tcPr>
                <w:p w14:paraId="7E3C677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暂估</w:t>
                  </w:r>
                </w:p>
              </w:tc>
              <w:tc>
                <w:tcPr>
                  <w:tcW w:w="1814" w:type="dxa"/>
                  <w:tcBorders>
                    <w:top w:val="nil"/>
                    <w:left w:val="nil"/>
                    <w:bottom w:val="nil"/>
                    <w:right w:val="nil"/>
                    <w:insideH w:val="nil"/>
                    <w:insideV w:val="nil"/>
                  </w:tcBorders>
                  <w:vAlign w:val="center"/>
                </w:tcPr>
                <w:p w14:paraId="63712F3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200</w:t>
                  </w:r>
                </w:p>
              </w:tc>
            </w:tr>
            <w:tr w14:paraId="209656BC">
              <w:trPr>
                <w:cantSplit/>
                <w:jc w:val="center"/>
              </w:trPr>
              <w:tc>
                <w:tcPr>
                  <w:tcW w:w="2268" w:type="dxa"/>
                  <w:tcBorders>
                    <w:top w:val="nil"/>
                    <w:left w:val="nil"/>
                    <w:bottom w:val="nil"/>
                    <w:right w:val="nil"/>
                    <w:insideH w:val="nil"/>
                    <w:insideV w:val="nil"/>
                  </w:tcBorders>
                  <w:vAlign w:val="center"/>
                </w:tcPr>
                <w:p w14:paraId="1EE74AB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小计</w:t>
                  </w:r>
                </w:p>
              </w:tc>
              <w:tc>
                <w:tcPr>
                  <w:tcW w:w="5839" w:type="dxa"/>
                  <w:tcBorders>
                    <w:top w:val="nil"/>
                    <w:left w:val="nil"/>
                    <w:bottom w:val="nil"/>
                    <w:right w:val="nil"/>
                    <w:insideH w:val="nil"/>
                    <w:insideV w:val="nil"/>
                  </w:tcBorders>
                  <w:vAlign w:val="center"/>
                </w:tcPr>
                <w:p w14:paraId="70DC2C51">
                  <w:pPr>
                    <w:keepNext w:val="0"/>
                    <w:keepLines w:val="0"/>
                    <w:widowControl/>
                    <w:snapToGrid w:val="0"/>
                    <w:spacing w:before="60" w:after="60" w:line="280" w:lineRule="exact"/>
                    <w:ind w:left="0" w:right="0" w:firstLine="0"/>
                    <w:jc w:val="left"/>
                  </w:pPr>
                </w:p>
              </w:tc>
              <w:tc>
                <w:tcPr>
                  <w:tcW w:w="1814" w:type="dxa"/>
                  <w:tcBorders>
                    <w:top w:val="nil"/>
                    <w:left w:val="nil"/>
                    <w:bottom w:val="nil"/>
                    <w:right w:val="nil"/>
                    <w:insideH w:val="nil"/>
                    <w:insideV w:val="nil"/>
                  </w:tcBorders>
                  <w:vAlign w:val="center"/>
                </w:tcPr>
                <w:p w14:paraId="5B572A5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24,000</w:t>
                  </w:r>
                </w:p>
              </w:tc>
            </w:tr>
            <w:tr w14:paraId="433D31BB">
              <w:trPr>
                <w:cantSplit/>
                <w:jc w:val="center"/>
              </w:trPr>
              <w:tc>
                <w:tcPr>
                  <w:tcW w:w="2268" w:type="dxa"/>
                  <w:tcBorders>
                    <w:top w:val="nil"/>
                    <w:left w:val="nil"/>
                    <w:bottom w:val="nil"/>
                    <w:right w:val="nil"/>
                    <w:insideH w:val="nil"/>
                    <w:insideV w:val="nil"/>
                  </w:tcBorders>
                  <w:vAlign w:val="center"/>
                </w:tcPr>
                <w:p w14:paraId="273FA91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机动经费</w:t>
                  </w:r>
                </w:p>
              </w:tc>
              <w:tc>
                <w:tcPr>
                  <w:tcW w:w="5839" w:type="dxa"/>
                  <w:tcBorders>
                    <w:top w:val="nil"/>
                    <w:left w:val="nil"/>
                    <w:bottom w:val="nil"/>
                    <w:right w:val="nil"/>
                    <w:insideH w:val="nil"/>
                    <w:insideV w:val="nil"/>
                  </w:tcBorders>
                  <w:vAlign w:val="center"/>
                </w:tcPr>
                <w:p w14:paraId="2670215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小计的10%</w:t>
                  </w:r>
                </w:p>
              </w:tc>
              <w:tc>
                <w:tcPr>
                  <w:tcW w:w="1814" w:type="dxa"/>
                  <w:tcBorders>
                    <w:top w:val="nil"/>
                    <w:left w:val="nil"/>
                    <w:bottom w:val="nil"/>
                    <w:right w:val="nil"/>
                    <w:insideH w:val="nil"/>
                    <w:insideV w:val="nil"/>
                  </w:tcBorders>
                  <w:vAlign w:val="center"/>
                </w:tcPr>
                <w:p w14:paraId="201EE0A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2,400</w:t>
                  </w:r>
                </w:p>
              </w:tc>
            </w:tr>
            <w:tr w14:paraId="3C25BD2D">
              <w:trPr>
                <w:cantSplit/>
                <w:jc w:val="center"/>
              </w:trPr>
              <w:tc>
                <w:tcPr>
                  <w:tcW w:w="2268" w:type="dxa"/>
                  <w:tcBorders>
                    <w:top w:val="nil"/>
                    <w:left w:val="nil"/>
                    <w:bottom w:val="single" w:color="000000" w:sz="8" w:space="0"/>
                    <w:right w:val="nil"/>
                    <w:insideH w:val="nil"/>
                    <w:insideV w:val="nil"/>
                  </w:tcBorders>
                  <w:vAlign w:val="center"/>
                </w:tcPr>
                <w:p w14:paraId="16B27D1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合计</w:t>
                  </w:r>
                </w:p>
              </w:tc>
              <w:tc>
                <w:tcPr>
                  <w:tcW w:w="5839" w:type="dxa"/>
                  <w:tcBorders>
                    <w:top w:val="nil"/>
                    <w:left w:val="nil"/>
                    <w:bottom w:val="single" w:color="000000" w:sz="8" w:space="0"/>
                    <w:right w:val="nil"/>
                    <w:insideH w:val="nil"/>
                    <w:insideV w:val="nil"/>
                  </w:tcBorders>
                  <w:vAlign w:val="center"/>
                </w:tcPr>
                <w:p w14:paraId="128378CB">
                  <w:pPr>
                    <w:keepNext w:val="0"/>
                    <w:keepLines w:val="0"/>
                    <w:widowControl/>
                    <w:snapToGrid w:val="0"/>
                    <w:spacing w:before="60" w:after="60" w:line="280" w:lineRule="exact"/>
                    <w:ind w:left="0" w:right="0" w:firstLine="0"/>
                    <w:jc w:val="left"/>
                  </w:pPr>
                </w:p>
              </w:tc>
              <w:tc>
                <w:tcPr>
                  <w:tcW w:w="1814" w:type="dxa"/>
                  <w:tcBorders>
                    <w:top w:val="nil"/>
                    <w:left w:val="nil"/>
                    <w:bottom w:val="single" w:color="000000" w:sz="8" w:space="0"/>
                    <w:right w:val="nil"/>
                    <w:insideH w:val="nil"/>
                    <w:insideV w:val="nil"/>
                  </w:tcBorders>
                  <w:vAlign w:val="center"/>
                </w:tcPr>
                <w:p w14:paraId="4DDA638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26,400</w:t>
                  </w:r>
                </w:p>
              </w:tc>
            </w:tr>
          </w:tbl>
          <w:p w14:paraId="6896D398">
            <w:pPr>
              <w:spacing w:before="0" w:after="40" w:line="40" w:lineRule="exact"/>
            </w:pPr>
          </w:p>
        </w:tc>
      </w:tr>
      <w:tr w14:paraId="20B11871">
        <w:trPr>
          <w:jc w:val="center"/>
        </w:trPr>
        <w:tc>
          <w:tcPr>
            <w:tcW w:w="10440" w:type="dxa"/>
            <w:tcMar>
              <w:top w:w="0" w:type="dxa"/>
              <w:left w:w="160" w:type="dxa"/>
              <w:bottom w:w="0" w:type="dxa"/>
              <w:right w:w="160" w:type="dxa"/>
            </w:tcMar>
            <w:vAlign w:val="top"/>
          </w:tcPr>
          <w:p w14:paraId="5C99FBA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预算对应当前主要研究安排，参与者补偿和评分劳务均按计划招募100人预留。量表授权如产生额外费用，及备选延迟后测的补偿，将在实施前另行核定。</w:t>
            </w:r>
          </w:p>
        </w:tc>
      </w:tr>
      <w:tr w14:paraId="58D04A21">
        <w:trPr>
          <w:jc w:val="center"/>
        </w:trPr>
        <w:tc>
          <w:tcPr>
            <w:tcW w:w="10440" w:type="dxa"/>
            <w:tcMar>
              <w:top w:w="0" w:type="dxa"/>
              <w:left w:w="160" w:type="dxa"/>
              <w:bottom w:w="0" w:type="dxa"/>
              <w:right w:w="160" w:type="dxa"/>
            </w:tcMar>
            <w:vAlign w:val="top"/>
          </w:tcPr>
          <w:p w14:paraId="6719C5F9">
            <w:pPr>
              <w:keepNext w:val="0"/>
              <w:spacing w:before="0" w:after="160"/>
              <w:rPr>
                <w:rFonts w:hint="eastAsia"/>
                <w:bCs/>
                <w:sz w:val="28"/>
              </w:rPr>
            </w:pPr>
            <w:r>
              <w:rPr>
                <w:rFonts w:hint="eastAsia" w:ascii="Times New Roman" w:hAnsi="Times New Roman" w:eastAsia="宋体"/>
                <w:b/>
                <w:bCs/>
                <w:i w:val="0"/>
                <w:color w:val="000000"/>
                <w:sz w:val="28"/>
              </w:rPr>
              <w:t>三、论文大纲</w:t>
            </w:r>
            <w:r>
              <w:rPr>
                <w:rFonts w:hint="eastAsia" w:ascii="Times New Roman" w:hAnsi="Times New Roman" w:eastAsia="宋体"/>
                <w:b/>
                <w:bCs/>
                <w:i w:val="0"/>
                <w:color w:val="000000"/>
                <w:sz w:val="28"/>
                <w:szCs w:val="21"/>
              </w:rPr>
              <w:t>（可加页）</w:t>
            </w:r>
          </w:p>
          <w:p w14:paraId="0D03D2D7">
            <w:pPr>
              <w:pStyle w:val="19"/>
              <w:keepNext/>
              <w:keepLines w:val="0"/>
              <w:widowControl/>
              <w:snapToGrid w:val="0"/>
              <w:spacing w:before="100" w:after="40" w:line="320" w:lineRule="exact"/>
              <w:ind w:left="0" w:right="0" w:firstLine="0"/>
              <w:jc w:val="both"/>
            </w:pPr>
            <w:r>
              <w:rPr>
                <w:rFonts w:ascii="Times New Roman" w:hAnsi="Times New Roman" w:eastAsia="宋体"/>
                <w:b/>
                <w:i w:val="0"/>
                <w:color w:val="000000"/>
                <w:sz w:val="24"/>
              </w:rPr>
              <w:t>第一章 绪论</w:t>
            </w:r>
          </w:p>
          <w:p w14:paraId="01EB8413">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1.1 研究背景与问题提出</w:t>
            </w:r>
          </w:p>
        </w:tc>
      </w:tr>
      <w:tr w14:paraId="2940694A">
        <w:trPr>
          <w:jc w:val="center"/>
        </w:trPr>
        <w:tc>
          <w:tcPr>
            <w:tcW w:w="10440" w:type="dxa"/>
            <w:tcMar>
              <w:top w:w="0" w:type="dxa"/>
              <w:left w:w="160" w:type="dxa"/>
              <w:bottom w:w="0" w:type="dxa"/>
              <w:right w:w="160" w:type="dxa"/>
            </w:tcMar>
            <w:vAlign w:val="top"/>
          </w:tcPr>
          <w:p w14:paraId="1D1469A8">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1.2 研究意义</w:t>
            </w:r>
          </w:p>
        </w:tc>
      </w:tr>
      <w:tr w14:paraId="48477700">
        <w:trPr>
          <w:jc w:val="center"/>
        </w:trPr>
        <w:tc>
          <w:tcPr>
            <w:tcW w:w="10440" w:type="dxa"/>
            <w:tcMar>
              <w:top w:w="0" w:type="dxa"/>
              <w:left w:w="160" w:type="dxa"/>
              <w:bottom w:w="0" w:type="dxa"/>
              <w:right w:w="160" w:type="dxa"/>
            </w:tcMar>
            <w:vAlign w:val="top"/>
          </w:tcPr>
          <w:p w14:paraId="4394B94C">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1.3 研究目标、内容与总体路线</w:t>
            </w:r>
          </w:p>
        </w:tc>
      </w:tr>
      <w:tr w14:paraId="013845CF">
        <w:trPr>
          <w:jc w:val="center"/>
        </w:trPr>
        <w:tc>
          <w:tcPr>
            <w:tcW w:w="10440" w:type="dxa"/>
            <w:tcMar>
              <w:top w:w="0" w:type="dxa"/>
              <w:left w:w="160" w:type="dxa"/>
              <w:bottom w:w="0" w:type="dxa"/>
              <w:right w:w="160" w:type="dxa"/>
            </w:tcMar>
            <w:vAlign w:val="top"/>
          </w:tcPr>
          <w:p w14:paraId="774601F2">
            <w:pPr>
              <w:pStyle w:val="19"/>
              <w:keepNext/>
              <w:keepLines w:val="0"/>
              <w:widowControl/>
              <w:snapToGrid w:val="0"/>
              <w:spacing w:before="100" w:after="40" w:line="320" w:lineRule="exact"/>
              <w:ind w:left="0" w:right="0" w:firstLine="0"/>
              <w:jc w:val="both"/>
            </w:pPr>
            <w:r>
              <w:rPr>
                <w:rFonts w:ascii="Times New Roman" w:hAnsi="Times New Roman" w:eastAsia="宋体"/>
                <w:b/>
                <w:i w:val="0"/>
                <w:color w:val="000000"/>
                <w:sz w:val="24"/>
              </w:rPr>
              <w:t>第二章 文献综述与理论基础</w:t>
            </w:r>
          </w:p>
          <w:p w14:paraId="47FF3FB8">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2.1 科研新手的论文阅读与文献批判性评价</w:t>
            </w:r>
          </w:p>
        </w:tc>
      </w:tr>
      <w:tr w14:paraId="73F7EF9A">
        <w:trPr>
          <w:jc w:val="center"/>
        </w:trPr>
        <w:tc>
          <w:tcPr>
            <w:tcW w:w="10440" w:type="dxa"/>
            <w:tcMar>
              <w:top w:w="0" w:type="dxa"/>
              <w:left w:w="160" w:type="dxa"/>
              <w:bottom w:w="0" w:type="dxa"/>
              <w:right w:w="160" w:type="dxa"/>
            </w:tcMar>
            <w:vAlign w:val="top"/>
          </w:tcPr>
          <w:p w14:paraId="5EB930E9">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2.2 文献批判性评价的任务与测量</w:t>
            </w:r>
          </w:p>
        </w:tc>
      </w:tr>
      <w:tr w14:paraId="00BD83EB">
        <w:trPr>
          <w:jc w:val="center"/>
        </w:trPr>
        <w:tc>
          <w:tcPr>
            <w:tcW w:w="10440" w:type="dxa"/>
            <w:tcMar>
              <w:top w:w="0" w:type="dxa"/>
              <w:left w:w="160" w:type="dxa"/>
              <w:bottom w:w="0" w:type="dxa"/>
              <w:right w:w="160" w:type="dxa"/>
            </w:tcMar>
            <w:vAlign w:val="top"/>
          </w:tcPr>
          <w:p w14:paraId="7BEB206F">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2.3 AI辅助学习及独立学习结果</w:t>
            </w:r>
          </w:p>
        </w:tc>
      </w:tr>
      <w:tr w14:paraId="6D3A7B36">
        <w:trPr>
          <w:jc w:val="center"/>
        </w:trPr>
        <w:tc>
          <w:tcPr>
            <w:tcW w:w="10440" w:type="dxa"/>
            <w:tcMar>
              <w:top w:w="0" w:type="dxa"/>
              <w:left w:w="160" w:type="dxa"/>
              <w:bottom w:w="0" w:type="dxa"/>
              <w:right w:w="160" w:type="dxa"/>
            </w:tcMar>
            <w:vAlign w:val="top"/>
          </w:tcPr>
          <w:p w14:paraId="7430EBF5">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2.4 AI论文阅读工具与苏格拉底式Agent研究</w:t>
            </w:r>
          </w:p>
        </w:tc>
      </w:tr>
      <w:tr w14:paraId="2768102D">
        <w:trPr>
          <w:jc w:val="center"/>
        </w:trPr>
        <w:tc>
          <w:tcPr>
            <w:tcW w:w="10440" w:type="dxa"/>
            <w:tcMar>
              <w:top w:w="0" w:type="dxa"/>
              <w:left w:w="160" w:type="dxa"/>
              <w:bottom w:w="0" w:type="dxa"/>
              <w:right w:w="160" w:type="dxa"/>
            </w:tcMar>
            <w:vAlign w:val="top"/>
          </w:tcPr>
          <w:p w14:paraId="57604968">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2.5 生成性学习与自我解释</w:t>
            </w:r>
          </w:p>
        </w:tc>
      </w:tr>
      <w:tr w14:paraId="0E12B6FC">
        <w:trPr>
          <w:jc w:val="center"/>
        </w:trPr>
        <w:tc>
          <w:tcPr>
            <w:tcW w:w="10440" w:type="dxa"/>
            <w:tcMar>
              <w:top w:w="0" w:type="dxa"/>
              <w:left w:w="160" w:type="dxa"/>
              <w:bottom w:w="0" w:type="dxa"/>
              <w:right w:w="160" w:type="dxa"/>
            </w:tcMar>
            <w:vAlign w:val="top"/>
          </w:tcPr>
          <w:p w14:paraId="1DA85BC6">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2.6 最近发展区、自适应支架与Toulmin论证模型</w:t>
            </w:r>
          </w:p>
        </w:tc>
      </w:tr>
      <w:tr w14:paraId="7EDEAF99">
        <w:trPr>
          <w:jc w:val="center"/>
        </w:trPr>
        <w:tc>
          <w:tcPr>
            <w:tcW w:w="10440" w:type="dxa"/>
            <w:tcMar>
              <w:top w:w="0" w:type="dxa"/>
              <w:left w:w="160" w:type="dxa"/>
              <w:bottom w:w="0" w:type="dxa"/>
              <w:right w:w="160" w:type="dxa"/>
            </w:tcMar>
            <w:vAlign w:val="top"/>
          </w:tcPr>
          <w:p w14:paraId="24B09FFC">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2.7 研究述评与研究问题</w:t>
            </w:r>
          </w:p>
        </w:tc>
      </w:tr>
      <w:tr w14:paraId="5FD29C66">
        <w:trPr>
          <w:jc w:val="center"/>
        </w:trPr>
        <w:tc>
          <w:tcPr>
            <w:tcW w:w="10440" w:type="dxa"/>
            <w:tcMar>
              <w:top w:w="0" w:type="dxa"/>
              <w:left w:w="160" w:type="dxa"/>
              <w:bottom w:w="0" w:type="dxa"/>
              <w:right w:w="160" w:type="dxa"/>
            </w:tcMar>
            <w:vAlign w:val="top"/>
          </w:tcPr>
          <w:p w14:paraId="0114972C">
            <w:pPr>
              <w:pStyle w:val="19"/>
              <w:keepNext/>
              <w:keepLines w:val="0"/>
              <w:widowControl/>
              <w:snapToGrid w:val="0"/>
              <w:spacing w:before="100" w:after="40" w:line="320" w:lineRule="exact"/>
              <w:ind w:left="0" w:right="0" w:firstLine="0"/>
              <w:jc w:val="both"/>
            </w:pPr>
            <w:r>
              <w:rPr>
                <w:rFonts w:ascii="Times New Roman" w:hAnsi="Times New Roman" w:eastAsia="宋体"/>
                <w:b/>
                <w:i w:val="0"/>
                <w:color w:val="000000"/>
                <w:sz w:val="24"/>
              </w:rPr>
              <w:t>第三章 研究一 设计依据与需求分析</w:t>
            </w:r>
          </w:p>
          <w:p w14:paraId="74B2CCC5">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3.1 研究目的与方法</w:t>
            </w:r>
          </w:p>
        </w:tc>
      </w:tr>
      <w:tr w14:paraId="77C3FA8B">
        <w:trPr>
          <w:jc w:val="center"/>
        </w:trPr>
        <w:tc>
          <w:tcPr>
            <w:tcW w:w="10440" w:type="dxa"/>
            <w:tcMar>
              <w:top w:w="0" w:type="dxa"/>
              <w:left w:w="160" w:type="dxa"/>
              <w:bottom w:w="0" w:type="dxa"/>
              <w:right w:w="160" w:type="dxa"/>
            </w:tcMar>
            <w:vAlign w:val="top"/>
          </w:tcPr>
          <w:p w14:paraId="40257252">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3.2 文献及同类工具比较</w:t>
            </w:r>
          </w:p>
        </w:tc>
      </w:tr>
      <w:tr w14:paraId="7E775883">
        <w:trPr>
          <w:jc w:val="center"/>
        </w:trPr>
        <w:tc>
          <w:tcPr>
            <w:tcW w:w="10440" w:type="dxa"/>
            <w:tcMar>
              <w:top w:w="0" w:type="dxa"/>
              <w:left w:w="160" w:type="dxa"/>
              <w:bottom w:w="0" w:type="dxa"/>
              <w:right w:w="160" w:type="dxa"/>
            </w:tcMar>
            <w:vAlign w:val="top"/>
          </w:tcPr>
          <w:p w14:paraId="3F914950">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3.3 参与者、访谈流程与分析方法</w:t>
            </w:r>
          </w:p>
        </w:tc>
      </w:tr>
      <w:tr w14:paraId="38A33C51">
        <w:trPr>
          <w:jc w:val="center"/>
        </w:trPr>
        <w:tc>
          <w:tcPr>
            <w:tcW w:w="10440" w:type="dxa"/>
            <w:tcMar>
              <w:top w:w="0" w:type="dxa"/>
              <w:left w:w="160" w:type="dxa"/>
              <w:bottom w:w="0" w:type="dxa"/>
              <w:right w:w="160" w:type="dxa"/>
            </w:tcMar>
            <w:vAlign w:val="top"/>
          </w:tcPr>
          <w:p w14:paraId="445685F9">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3.4 科研新手的阅读困难与支持需要</w:t>
            </w:r>
          </w:p>
        </w:tc>
      </w:tr>
      <w:tr w14:paraId="0A75A027">
        <w:trPr>
          <w:jc w:val="center"/>
        </w:trPr>
        <w:tc>
          <w:tcPr>
            <w:tcW w:w="10440" w:type="dxa"/>
            <w:tcMar>
              <w:top w:w="0" w:type="dxa"/>
              <w:left w:w="160" w:type="dxa"/>
              <w:bottom w:w="0" w:type="dxa"/>
              <w:right w:w="160" w:type="dxa"/>
            </w:tcMar>
            <w:vAlign w:val="top"/>
          </w:tcPr>
          <w:p w14:paraId="00ABBAC9">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3.5 Agent设计要求及其依据</w:t>
            </w:r>
          </w:p>
        </w:tc>
      </w:tr>
      <w:tr w14:paraId="5E673E8D">
        <w:trPr>
          <w:jc w:val="center"/>
        </w:trPr>
        <w:tc>
          <w:tcPr>
            <w:tcW w:w="10440" w:type="dxa"/>
            <w:tcMar>
              <w:top w:w="0" w:type="dxa"/>
              <w:left w:w="160" w:type="dxa"/>
              <w:bottom w:w="0" w:type="dxa"/>
              <w:right w:w="160" w:type="dxa"/>
            </w:tcMar>
            <w:vAlign w:val="top"/>
          </w:tcPr>
          <w:p w14:paraId="2D9FA7E5">
            <w:pPr>
              <w:pStyle w:val="19"/>
              <w:keepNext/>
              <w:keepLines w:val="0"/>
              <w:widowControl/>
              <w:snapToGrid w:val="0"/>
              <w:spacing w:before="100" w:after="40" w:line="320" w:lineRule="exact"/>
              <w:ind w:left="0" w:right="0" w:firstLine="0"/>
              <w:jc w:val="both"/>
            </w:pPr>
            <w:r>
              <w:rPr>
                <w:rFonts w:ascii="Times New Roman" w:hAnsi="Times New Roman" w:eastAsia="宋体"/>
                <w:b/>
                <w:i w:val="0"/>
                <w:color w:val="000000"/>
                <w:sz w:val="24"/>
              </w:rPr>
              <w:t>第四章 研究二 Agent开发与可用性测试</w:t>
            </w:r>
          </w:p>
          <w:p w14:paraId="51ADFAD2">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4.1 产品定位与整体架构</w:t>
            </w:r>
          </w:p>
        </w:tc>
      </w:tr>
      <w:tr w14:paraId="3DED8A42">
        <w:trPr>
          <w:jc w:val="center"/>
        </w:trPr>
        <w:tc>
          <w:tcPr>
            <w:tcW w:w="10440" w:type="dxa"/>
            <w:tcMar>
              <w:top w:w="0" w:type="dxa"/>
              <w:left w:w="160" w:type="dxa"/>
              <w:bottom w:w="0" w:type="dxa"/>
              <w:right w:w="160" w:type="dxa"/>
            </w:tcMar>
            <w:vAlign w:val="top"/>
          </w:tcPr>
          <w:p w14:paraId="4CD719AF">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4.2 阅读界面、信息输入与原文定位</w:t>
            </w:r>
          </w:p>
        </w:tc>
      </w:tr>
      <w:tr w14:paraId="4E06CA11">
        <w:trPr>
          <w:jc w:val="center"/>
        </w:trPr>
        <w:tc>
          <w:tcPr>
            <w:tcW w:w="10440" w:type="dxa"/>
            <w:tcMar>
              <w:top w:w="0" w:type="dxa"/>
              <w:left w:w="160" w:type="dxa"/>
              <w:bottom w:w="0" w:type="dxa"/>
              <w:right w:w="160" w:type="dxa"/>
            </w:tcMar>
            <w:vAlign w:val="top"/>
          </w:tcPr>
          <w:p w14:paraId="3967AAA2">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4.3 论证分析与追问策略</w:t>
            </w:r>
          </w:p>
        </w:tc>
      </w:tr>
      <w:tr w14:paraId="6B04196A">
        <w:trPr>
          <w:jc w:val="center"/>
        </w:trPr>
        <w:tc>
          <w:tcPr>
            <w:tcW w:w="10440" w:type="dxa"/>
            <w:tcMar>
              <w:top w:w="0" w:type="dxa"/>
              <w:left w:w="160" w:type="dxa"/>
              <w:bottom w:w="0" w:type="dxa"/>
              <w:right w:w="160" w:type="dxa"/>
            </w:tcMar>
            <w:vAlign w:val="top"/>
          </w:tcPr>
          <w:p w14:paraId="3AF78D23">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4.4 自适应帮助和跨轮讨论</w:t>
            </w:r>
          </w:p>
        </w:tc>
      </w:tr>
      <w:tr w14:paraId="098D200C">
        <w:trPr>
          <w:jc w:val="center"/>
        </w:trPr>
        <w:tc>
          <w:tcPr>
            <w:tcW w:w="10440" w:type="dxa"/>
            <w:tcMar>
              <w:top w:w="0" w:type="dxa"/>
              <w:left w:w="160" w:type="dxa"/>
              <w:bottom w:w="0" w:type="dxa"/>
              <w:right w:w="160" w:type="dxa"/>
            </w:tcMar>
            <w:vAlign w:val="top"/>
          </w:tcPr>
          <w:p w14:paraId="10EFB2C1">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4.5 系统实现与开发检查</w:t>
            </w:r>
          </w:p>
        </w:tc>
      </w:tr>
      <w:tr w14:paraId="10277A85">
        <w:trPr>
          <w:jc w:val="center"/>
        </w:trPr>
        <w:tc>
          <w:tcPr>
            <w:tcW w:w="10440" w:type="dxa"/>
            <w:tcMar>
              <w:top w:w="0" w:type="dxa"/>
              <w:left w:w="160" w:type="dxa"/>
              <w:bottom w:w="0" w:type="dxa"/>
              <w:right w:w="160" w:type="dxa"/>
            </w:tcMar>
            <w:vAlign w:val="top"/>
          </w:tcPr>
          <w:p w14:paraId="0EB9F6D3">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4.6 两轮可用性测试的方法、结果与迭代</w:t>
            </w:r>
          </w:p>
        </w:tc>
      </w:tr>
      <w:tr w14:paraId="0E9209CF">
        <w:trPr>
          <w:jc w:val="center"/>
        </w:trPr>
        <w:tc>
          <w:tcPr>
            <w:tcW w:w="10440" w:type="dxa"/>
            <w:tcMar>
              <w:top w:w="0" w:type="dxa"/>
              <w:left w:w="160" w:type="dxa"/>
              <w:bottom w:w="0" w:type="dxa"/>
              <w:right w:w="160" w:type="dxa"/>
            </w:tcMar>
            <w:vAlign w:val="top"/>
          </w:tcPr>
          <w:p w14:paraId="0998DD2E">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4.7 正式实验版本</w:t>
            </w:r>
          </w:p>
        </w:tc>
      </w:tr>
      <w:tr w14:paraId="11C9C0F1">
        <w:trPr>
          <w:jc w:val="center"/>
        </w:trPr>
        <w:tc>
          <w:tcPr>
            <w:tcW w:w="10440" w:type="dxa"/>
            <w:tcMar>
              <w:top w:w="0" w:type="dxa"/>
              <w:left w:w="160" w:type="dxa"/>
              <w:bottom w:w="0" w:type="dxa"/>
              <w:right w:w="160" w:type="dxa"/>
            </w:tcMar>
            <w:vAlign w:val="top"/>
          </w:tcPr>
          <w:p w14:paraId="148708CB">
            <w:pPr>
              <w:pStyle w:val="19"/>
              <w:keepNext/>
              <w:keepLines w:val="0"/>
              <w:widowControl/>
              <w:snapToGrid w:val="0"/>
              <w:spacing w:before="100" w:after="40" w:line="320" w:lineRule="exact"/>
              <w:ind w:left="0" w:right="0" w:firstLine="0"/>
              <w:jc w:val="both"/>
            </w:pPr>
            <w:r>
              <w:rPr>
                <w:rFonts w:ascii="Times New Roman" w:hAnsi="Times New Roman" w:eastAsia="宋体"/>
                <w:b/>
                <w:i w:val="0"/>
                <w:color w:val="000000"/>
                <w:sz w:val="24"/>
              </w:rPr>
              <w:t>第五章 研究三 效果实验</w:t>
            </w:r>
          </w:p>
          <w:p w14:paraId="73617775">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5.1 研究问题与假设</w:t>
            </w:r>
          </w:p>
        </w:tc>
      </w:tr>
      <w:tr w14:paraId="1258C112">
        <w:trPr>
          <w:jc w:val="center"/>
        </w:trPr>
        <w:tc>
          <w:tcPr>
            <w:tcW w:w="10440" w:type="dxa"/>
            <w:tcMar>
              <w:top w:w="0" w:type="dxa"/>
              <w:left w:w="160" w:type="dxa"/>
              <w:bottom w:w="0" w:type="dxa"/>
              <w:right w:w="160" w:type="dxa"/>
            </w:tcMar>
            <w:vAlign w:val="top"/>
          </w:tcPr>
          <w:p w14:paraId="035418E2">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5.2 实验设计、参与者与样本量</w:t>
            </w:r>
          </w:p>
        </w:tc>
      </w:tr>
      <w:tr w14:paraId="3713700B">
        <w:trPr>
          <w:jc w:val="center"/>
        </w:trPr>
        <w:tc>
          <w:tcPr>
            <w:tcW w:w="10440" w:type="dxa"/>
            <w:tcMar>
              <w:top w:w="0" w:type="dxa"/>
              <w:left w:w="160" w:type="dxa"/>
              <w:bottom w:w="0" w:type="dxa"/>
              <w:right w:w="160" w:type="dxa"/>
            </w:tcMar>
            <w:vAlign w:val="top"/>
          </w:tcPr>
          <w:p w14:paraId="05F58775">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5.3 材料准备与预实验</w:t>
            </w:r>
          </w:p>
        </w:tc>
      </w:tr>
      <w:tr w14:paraId="362015CE">
        <w:trPr>
          <w:jc w:val="center"/>
        </w:trPr>
        <w:tc>
          <w:tcPr>
            <w:tcW w:w="10440" w:type="dxa"/>
            <w:tcMar>
              <w:top w:w="0" w:type="dxa"/>
              <w:left w:w="160" w:type="dxa"/>
              <w:bottom w:w="0" w:type="dxa"/>
              <w:right w:w="160" w:type="dxa"/>
            </w:tcMar>
            <w:vAlign w:val="top"/>
          </w:tcPr>
          <w:p w14:paraId="2F07A1EF">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5.4 实验条件、变量测量与评分质量</w:t>
            </w:r>
          </w:p>
        </w:tc>
      </w:tr>
      <w:tr w14:paraId="12C32691">
        <w:trPr>
          <w:jc w:val="center"/>
        </w:trPr>
        <w:tc>
          <w:tcPr>
            <w:tcW w:w="10440" w:type="dxa"/>
            <w:tcMar>
              <w:top w:w="0" w:type="dxa"/>
              <w:left w:w="160" w:type="dxa"/>
              <w:bottom w:w="0" w:type="dxa"/>
              <w:right w:w="160" w:type="dxa"/>
            </w:tcMar>
            <w:vAlign w:val="top"/>
          </w:tcPr>
          <w:p w14:paraId="5862C882">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5.5 实验流程与数据分析</w:t>
            </w:r>
          </w:p>
        </w:tc>
      </w:tr>
      <w:tr w14:paraId="5AB1D3D4">
        <w:trPr>
          <w:jc w:val="center"/>
        </w:trPr>
        <w:tc>
          <w:tcPr>
            <w:tcW w:w="10440" w:type="dxa"/>
            <w:tcMar>
              <w:top w:w="0" w:type="dxa"/>
              <w:left w:w="160" w:type="dxa"/>
              <w:bottom w:w="0" w:type="dxa"/>
              <w:right w:w="160" w:type="dxa"/>
            </w:tcMar>
            <w:vAlign w:val="top"/>
          </w:tcPr>
          <w:p w14:paraId="5CD798E2">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5.6 缺陷识别、解释质量及概括结果</w:t>
            </w:r>
          </w:p>
        </w:tc>
      </w:tr>
      <w:tr w14:paraId="741B1085">
        <w:trPr>
          <w:jc w:val="center"/>
        </w:trPr>
        <w:tc>
          <w:tcPr>
            <w:tcW w:w="10440" w:type="dxa"/>
            <w:tcMar>
              <w:top w:w="0" w:type="dxa"/>
              <w:left w:w="160" w:type="dxa"/>
              <w:bottom w:w="0" w:type="dxa"/>
              <w:right w:w="160" w:type="dxa"/>
            </w:tcMar>
            <w:vAlign w:val="top"/>
          </w:tcPr>
          <w:p w14:paraId="27371EF4">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5.7 探索性调节与训练过程分析</w:t>
            </w:r>
          </w:p>
        </w:tc>
      </w:tr>
      <w:tr w14:paraId="4F788A5E">
        <w:trPr>
          <w:jc w:val="center"/>
        </w:trPr>
        <w:tc>
          <w:tcPr>
            <w:tcW w:w="10440" w:type="dxa"/>
            <w:tcMar>
              <w:top w:w="0" w:type="dxa"/>
              <w:left w:w="160" w:type="dxa"/>
              <w:bottom w:w="0" w:type="dxa"/>
              <w:right w:w="160" w:type="dxa"/>
            </w:tcMar>
            <w:vAlign w:val="top"/>
          </w:tcPr>
          <w:p w14:paraId="594183A4">
            <w:pPr>
              <w:pStyle w:val="19"/>
              <w:keepNext/>
              <w:keepLines w:val="0"/>
              <w:widowControl/>
              <w:snapToGrid w:val="0"/>
              <w:spacing w:before="100" w:after="40" w:line="320" w:lineRule="exact"/>
              <w:ind w:left="0" w:right="0" w:firstLine="0"/>
              <w:jc w:val="both"/>
            </w:pPr>
            <w:r>
              <w:rPr>
                <w:rFonts w:ascii="Times New Roman" w:hAnsi="Times New Roman" w:eastAsia="宋体"/>
                <w:b/>
                <w:i w:val="0"/>
                <w:color w:val="000000"/>
                <w:sz w:val="24"/>
              </w:rPr>
              <w:t>第六章 综合讨论</w:t>
            </w:r>
          </w:p>
          <w:p w14:paraId="6EF34566">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6.1 不同辅助方式与独立文献评价表现</w:t>
            </w:r>
          </w:p>
        </w:tc>
      </w:tr>
      <w:tr w14:paraId="0E45FE5E">
        <w:trPr>
          <w:jc w:val="center"/>
        </w:trPr>
        <w:tc>
          <w:tcPr>
            <w:tcW w:w="10440" w:type="dxa"/>
            <w:tcMar>
              <w:top w:w="0" w:type="dxa"/>
              <w:left w:w="160" w:type="dxa"/>
              <w:bottom w:w="0" w:type="dxa"/>
              <w:right w:w="160" w:type="dxa"/>
            </w:tcMar>
            <w:vAlign w:val="top"/>
          </w:tcPr>
          <w:p w14:paraId="37127ECF">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6.2 追问、自适应支持与自我解释过程</w:t>
            </w:r>
          </w:p>
        </w:tc>
      </w:tr>
      <w:tr w14:paraId="2DBD8CCD">
        <w:trPr>
          <w:jc w:val="center"/>
        </w:trPr>
        <w:tc>
          <w:tcPr>
            <w:tcW w:w="10440" w:type="dxa"/>
            <w:tcMar>
              <w:top w:w="0" w:type="dxa"/>
              <w:left w:w="160" w:type="dxa"/>
              <w:bottom w:w="0" w:type="dxa"/>
              <w:right w:w="160" w:type="dxa"/>
            </w:tcMar>
            <w:vAlign w:val="top"/>
          </w:tcPr>
          <w:p w14:paraId="675E886C">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6.3 科研新手阅读Agent的设计建议</w:t>
            </w:r>
          </w:p>
        </w:tc>
      </w:tr>
      <w:tr w14:paraId="14C27949">
        <w:trPr>
          <w:jc w:val="center"/>
        </w:trPr>
        <w:tc>
          <w:tcPr>
            <w:tcW w:w="10440" w:type="dxa"/>
            <w:tcMar>
              <w:top w:w="0" w:type="dxa"/>
              <w:left w:w="160" w:type="dxa"/>
              <w:bottom w:w="0" w:type="dxa"/>
              <w:right w:w="160" w:type="dxa"/>
            </w:tcMar>
            <w:vAlign w:val="top"/>
          </w:tcPr>
          <w:p w14:paraId="0F45E77A">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6.4 研究局限与后续研究</w:t>
            </w:r>
          </w:p>
        </w:tc>
      </w:tr>
      <w:tr w14:paraId="3938F101">
        <w:trPr>
          <w:jc w:val="center"/>
        </w:trPr>
        <w:tc>
          <w:tcPr>
            <w:tcW w:w="10440" w:type="dxa"/>
            <w:tcMar>
              <w:top w:w="0" w:type="dxa"/>
              <w:left w:w="160" w:type="dxa"/>
              <w:bottom w:w="0" w:type="dxa"/>
              <w:right w:w="160" w:type="dxa"/>
            </w:tcMar>
            <w:vAlign w:val="top"/>
          </w:tcPr>
          <w:p w14:paraId="5776B504">
            <w:pPr>
              <w:pStyle w:val="19"/>
              <w:keepNext/>
              <w:keepLines w:val="0"/>
              <w:widowControl/>
              <w:snapToGrid w:val="0"/>
              <w:spacing w:before="100" w:after="40" w:line="320" w:lineRule="exact"/>
              <w:ind w:left="0" w:right="0" w:firstLine="0"/>
              <w:jc w:val="both"/>
            </w:pPr>
            <w:r>
              <w:rPr>
                <w:rFonts w:ascii="Times New Roman" w:hAnsi="Times New Roman" w:eastAsia="宋体"/>
                <w:b/>
                <w:i w:val="0"/>
                <w:color w:val="000000"/>
                <w:sz w:val="24"/>
              </w:rPr>
              <w:t>第七章 结论</w:t>
            </w:r>
          </w:p>
          <w:p w14:paraId="1BA3620E">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参考文献</w:t>
            </w:r>
          </w:p>
        </w:tc>
      </w:tr>
      <w:tr w14:paraId="47BD74EA">
        <w:trPr>
          <w:jc w:val="center"/>
        </w:trPr>
        <w:tc>
          <w:tcPr>
            <w:tcW w:w="10440" w:type="dxa"/>
            <w:tcMar>
              <w:top w:w="0" w:type="dxa"/>
              <w:left w:w="160" w:type="dxa"/>
              <w:bottom w:w="0" w:type="dxa"/>
              <w:right w:w="160" w:type="dxa"/>
            </w:tcMar>
            <w:vAlign w:val="top"/>
          </w:tcPr>
          <w:p w14:paraId="00625423">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附录：访谈提纲、可用性测试材料、实验指导语、评分手册及Agent交互规则</w:t>
            </w:r>
          </w:p>
        </w:tc>
      </w:tr>
      <w:tr w14:paraId="4973D2D1">
        <w:trPr>
          <w:cantSplit/>
          <w:jc w:val="center"/>
        </w:trPr>
        <w:tc>
          <w:tcPr>
            <w:tcW w:w="10440" w:type="dxa"/>
            <w:tcMar>
              <w:top w:w="0" w:type="dxa"/>
              <w:left w:w="160" w:type="dxa"/>
              <w:bottom w:w="0" w:type="dxa"/>
              <w:right w:w="160" w:type="dxa"/>
            </w:tcMar>
            <w:vAlign w:val="top"/>
          </w:tcPr>
          <w:p w14:paraId="4329E6B1">
            <w:pPr>
              <w:keepNext w:val="0"/>
              <w:spacing w:before="0" w:after="160"/>
              <w:rPr>
                <w:rFonts w:hint="eastAsia"/>
                <w:bCs/>
                <w:sz w:val="28"/>
              </w:rPr>
            </w:pPr>
            <w:r>
              <w:rPr>
                <w:rFonts w:hint="eastAsia" w:ascii="Times New Roman" w:hAnsi="Times New Roman" w:eastAsia="宋体"/>
                <w:b/>
                <w:bCs/>
                <w:i w:val="0"/>
                <w:color w:val="000000"/>
                <w:sz w:val="28"/>
              </w:rPr>
              <w:t>四、主要参考文献</w:t>
            </w:r>
          </w:p>
          <w:p w14:paraId="1AA166E9">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Archila, P. A., Ortiz, B. T., &amp; Truscott de Mejía, A.-M. (2025). Beyond the passive absorption of information: Engaging students in the critical reading of scientific articles. </w:t>
            </w:r>
            <w:r>
              <w:rPr>
                <w:rFonts w:ascii="Times New Roman" w:hAnsi="Times New Roman" w:eastAsia="宋体"/>
                <w:b w:val="0"/>
                <w:i/>
                <w:color w:val="000000"/>
                <w:sz w:val="22"/>
              </w:rPr>
              <w:t>Science &amp; Education, 34</w:t>
            </w:r>
            <w:r>
              <w:rPr>
                <w:rFonts w:ascii="Times New Roman" w:hAnsi="Times New Roman" w:eastAsia="宋体"/>
                <w:b w:val="0"/>
                <w:i w:val="0"/>
                <w:color w:val="000000"/>
                <w:sz w:val="22"/>
              </w:rPr>
              <w:t>, 2189–2223. https://doi.org/10.1007/s11191-024-00507-1</w:t>
            </w:r>
          </w:p>
        </w:tc>
      </w:tr>
      <w:tr w14:paraId="3FBF2080">
        <w:trPr>
          <w:cantSplit/>
          <w:jc w:val="center"/>
        </w:trPr>
        <w:tc>
          <w:tcPr>
            <w:tcW w:w="10440" w:type="dxa"/>
            <w:tcMar>
              <w:top w:w="0" w:type="dxa"/>
              <w:left w:w="160" w:type="dxa"/>
              <w:bottom w:w="0" w:type="dxa"/>
              <w:right w:w="160" w:type="dxa"/>
            </w:tcMar>
            <w:vAlign w:val="top"/>
          </w:tcPr>
          <w:p w14:paraId="62AE5684">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Arriagada Anabalón, S., Nussbaum Voehl, M., Navarro, N., &amp; Araya, J. (2026). Technology-mediated scaffolding to support critical thinking in pre-service teachers’ academic writing. </w:t>
            </w:r>
            <w:r>
              <w:rPr>
                <w:rFonts w:ascii="Times New Roman" w:hAnsi="Times New Roman" w:eastAsia="宋体"/>
                <w:b w:val="0"/>
                <w:i/>
                <w:color w:val="000000"/>
                <w:sz w:val="22"/>
              </w:rPr>
              <w:t>Education Sciences, 16</w:t>
            </w:r>
            <w:r>
              <w:rPr>
                <w:rFonts w:ascii="Times New Roman" w:hAnsi="Times New Roman" w:eastAsia="宋体"/>
                <w:b w:val="0"/>
                <w:i w:val="0"/>
                <w:color w:val="000000"/>
                <w:sz w:val="22"/>
              </w:rPr>
              <w:t>(10), Article 1658. https://doi.org/10.3390/educsci16101658</w:t>
            </w:r>
          </w:p>
        </w:tc>
      </w:tr>
      <w:tr w14:paraId="30FE47FF">
        <w:trPr>
          <w:cantSplit/>
          <w:jc w:val="center"/>
        </w:trPr>
        <w:tc>
          <w:tcPr>
            <w:tcW w:w="10440" w:type="dxa"/>
            <w:tcMar>
              <w:top w:w="0" w:type="dxa"/>
              <w:left w:w="160" w:type="dxa"/>
              <w:bottom w:w="0" w:type="dxa"/>
              <w:right w:w="160" w:type="dxa"/>
            </w:tcMar>
            <w:vAlign w:val="top"/>
          </w:tcPr>
          <w:p w14:paraId="0E0C974A">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Bastani, H., Bastani, O., Sungu, A., Ge, H., Kabakcı, Ö., &amp; Mariman, R. (2025). Generative AI without guardrails can harm learning: Evidence from high school mathematics. </w:t>
            </w:r>
            <w:r>
              <w:rPr>
                <w:rFonts w:ascii="Times New Roman" w:hAnsi="Times New Roman" w:eastAsia="宋体"/>
                <w:b w:val="0"/>
                <w:i/>
                <w:color w:val="000000"/>
                <w:sz w:val="22"/>
              </w:rPr>
              <w:t>Proceedings of the National Academy of Sciences, 122</w:t>
            </w:r>
            <w:r>
              <w:rPr>
                <w:rFonts w:ascii="Times New Roman" w:hAnsi="Times New Roman" w:eastAsia="宋体"/>
                <w:b w:val="0"/>
                <w:i w:val="0"/>
                <w:color w:val="000000"/>
                <w:sz w:val="22"/>
              </w:rPr>
              <w:t>(26), Article e2422633122. https://doi.org/10.1073/pnas.2422633122</w:t>
            </w:r>
          </w:p>
        </w:tc>
      </w:tr>
      <w:tr w14:paraId="4632D288">
        <w:trPr>
          <w:cantSplit/>
          <w:jc w:val="center"/>
        </w:trPr>
        <w:tc>
          <w:tcPr>
            <w:tcW w:w="10440" w:type="dxa"/>
            <w:tcMar>
              <w:top w:w="0" w:type="dxa"/>
              <w:left w:w="160" w:type="dxa"/>
              <w:bottom w:w="0" w:type="dxa"/>
              <w:right w:w="160" w:type="dxa"/>
            </w:tcMar>
            <w:vAlign w:val="top"/>
          </w:tcPr>
          <w:p w14:paraId="610C3462">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Bjorn, G. (2024). The CERIC method plus social collaborative annotation improves critical reading of the primary literature in an interdisciplinary graduate course. </w:t>
            </w:r>
            <w:r>
              <w:rPr>
                <w:rFonts w:ascii="Times New Roman" w:hAnsi="Times New Roman" w:eastAsia="宋体"/>
                <w:b w:val="0"/>
                <w:i/>
                <w:color w:val="000000"/>
                <w:sz w:val="22"/>
              </w:rPr>
              <w:t>Frontiers in Education, 9</w:t>
            </w:r>
            <w:r>
              <w:rPr>
                <w:rFonts w:ascii="Times New Roman" w:hAnsi="Times New Roman" w:eastAsia="宋体"/>
                <w:b w:val="0"/>
                <w:i w:val="0"/>
                <w:color w:val="000000"/>
                <w:sz w:val="22"/>
              </w:rPr>
              <w:t>, Article 1257747. https://doi.org/10.3389/feduc.2024.1257747</w:t>
            </w:r>
          </w:p>
        </w:tc>
      </w:tr>
      <w:tr w14:paraId="113353B0">
        <w:trPr>
          <w:cantSplit/>
          <w:jc w:val="center"/>
        </w:trPr>
        <w:tc>
          <w:tcPr>
            <w:tcW w:w="10440" w:type="dxa"/>
            <w:tcMar>
              <w:top w:w="0" w:type="dxa"/>
              <w:left w:w="160" w:type="dxa"/>
              <w:bottom w:w="0" w:type="dxa"/>
              <w:right w:w="160" w:type="dxa"/>
            </w:tcMar>
            <w:vAlign w:val="top"/>
          </w:tcPr>
          <w:p w14:paraId="618BC2EA">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Brooke, J. (1996). SUS: A “quick and dirty” usability scale. In P. W. Jordan, B. Thomas, B. A. Weerdmeester, &amp; I. L. McClelland (Eds.), </w:t>
            </w:r>
            <w:r>
              <w:rPr>
                <w:rFonts w:ascii="Times New Roman" w:hAnsi="Times New Roman" w:eastAsia="宋体"/>
                <w:b w:val="0"/>
                <w:i/>
                <w:color w:val="000000"/>
                <w:sz w:val="22"/>
              </w:rPr>
              <w:t>Usability evaluation in industry</w:t>
            </w:r>
            <w:r>
              <w:rPr>
                <w:rFonts w:ascii="Times New Roman" w:hAnsi="Times New Roman" w:eastAsia="宋体"/>
                <w:b w:val="0"/>
                <w:i w:val="0"/>
                <w:color w:val="000000"/>
                <w:sz w:val="22"/>
              </w:rPr>
              <w:t xml:space="preserve"> (pp. 189–194). Taylor &amp; Francis. https://hci-studies.org/methods-and-measures/downloads/SUS_Brooke1996.pdf</w:t>
            </w:r>
          </w:p>
        </w:tc>
      </w:tr>
      <w:tr w14:paraId="1C797882">
        <w:trPr>
          <w:cantSplit/>
          <w:jc w:val="center"/>
        </w:trPr>
        <w:tc>
          <w:tcPr>
            <w:tcW w:w="10440" w:type="dxa"/>
            <w:tcMar>
              <w:top w:w="0" w:type="dxa"/>
              <w:left w:w="160" w:type="dxa"/>
              <w:bottom w:w="0" w:type="dxa"/>
              <w:right w:w="160" w:type="dxa"/>
            </w:tcMar>
            <w:vAlign w:val="top"/>
          </w:tcPr>
          <w:p w14:paraId="79584977">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Cai, Y. W., &amp; Chen, Z. (2025). The double-edged sword: The impact of generative artificial intelligence use on college students' critical thinking. </w:t>
            </w:r>
            <w:r>
              <w:rPr>
                <w:rFonts w:ascii="Times New Roman" w:hAnsi="Times New Roman" w:eastAsia="宋体"/>
                <w:b w:val="0"/>
                <w:i/>
                <w:color w:val="000000"/>
                <w:sz w:val="22"/>
              </w:rPr>
              <w:t>Journal of Central China Normal University (Humanities and Social Sciences), 64</w:t>
            </w:r>
            <w:r>
              <w:rPr>
                <w:rFonts w:ascii="Times New Roman" w:hAnsi="Times New Roman" w:eastAsia="宋体"/>
                <w:b w:val="0"/>
                <w:i w:val="0"/>
                <w:color w:val="000000"/>
                <w:sz w:val="22"/>
              </w:rPr>
              <w:t>(6), 146–159. https://journal.ccnu.edu.cn/sk/CN/abstract/abstract6513.shtml</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 xml:space="preserve">[蔡颖蔚, 陈茁. (2025). 双刃之剑：生成式人工智能对大学生批判性思维的影响. </w:t>
            </w:r>
            <w:r>
              <w:rPr>
                <w:rFonts w:ascii="Times New Roman" w:hAnsi="Times New Roman" w:eastAsia="宋体"/>
                <w:b w:val="0"/>
                <w:i/>
                <w:color w:val="000000"/>
                <w:sz w:val="22"/>
              </w:rPr>
              <w:t>华中师范大学学报（人文社会科学版）, 64</w:t>
            </w:r>
            <w:r>
              <w:rPr>
                <w:rFonts w:ascii="Times New Roman" w:hAnsi="Times New Roman" w:eastAsia="宋体"/>
                <w:b w:val="0"/>
                <w:i w:val="0"/>
                <w:color w:val="000000"/>
                <w:sz w:val="22"/>
              </w:rPr>
              <w:t>(6), 146–159.]</w:t>
            </w:r>
          </w:p>
        </w:tc>
      </w:tr>
      <w:tr w14:paraId="4302DC14">
        <w:trPr>
          <w:cantSplit/>
          <w:jc w:val="center"/>
        </w:trPr>
        <w:tc>
          <w:tcPr>
            <w:tcW w:w="10440" w:type="dxa"/>
            <w:tcMar>
              <w:top w:w="0" w:type="dxa"/>
              <w:left w:w="160" w:type="dxa"/>
              <w:bottom w:w="0" w:type="dxa"/>
              <w:right w:w="160" w:type="dxa"/>
            </w:tcMar>
            <w:vAlign w:val="top"/>
          </w:tcPr>
          <w:p w14:paraId="7E19D93F">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Chaparro-Banegas, N., Mas-Tur, A., &amp; Roig-Tierno, N. (2024). Challenging critical thinking in education: New paradigms of artificial intelligence. </w:t>
            </w:r>
            <w:r>
              <w:rPr>
                <w:rFonts w:ascii="Times New Roman" w:hAnsi="Times New Roman" w:eastAsia="宋体"/>
                <w:b w:val="0"/>
                <w:i/>
                <w:color w:val="000000"/>
                <w:sz w:val="22"/>
              </w:rPr>
              <w:t>Cogent Education, 11</w:t>
            </w:r>
            <w:r>
              <w:rPr>
                <w:rFonts w:ascii="Times New Roman" w:hAnsi="Times New Roman" w:eastAsia="宋体"/>
                <w:b w:val="0"/>
                <w:i w:val="0"/>
                <w:color w:val="000000"/>
                <w:sz w:val="22"/>
              </w:rPr>
              <w:t>(1), Article 2437899. https://doi.org/10.1080/2331186X.2024.2437899</w:t>
            </w:r>
          </w:p>
        </w:tc>
      </w:tr>
      <w:tr w14:paraId="5850096E">
        <w:trPr>
          <w:cantSplit/>
          <w:jc w:val="center"/>
        </w:trPr>
        <w:tc>
          <w:tcPr>
            <w:tcW w:w="10440" w:type="dxa"/>
            <w:tcMar>
              <w:top w:w="0" w:type="dxa"/>
              <w:left w:w="160" w:type="dxa"/>
              <w:bottom w:w="0" w:type="dxa"/>
              <w:right w:w="160" w:type="dxa"/>
            </w:tcMar>
            <w:vAlign w:val="top"/>
          </w:tcPr>
          <w:p w14:paraId="2C36CB2A">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Chi, M. T. H. (2000). Self-explaining expository texts: The dual processes of generating inferences and repairing mental models. In R. Glaser (Ed.), </w:t>
            </w:r>
            <w:r>
              <w:rPr>
                <w:rFonts w:ascii="Times New Roman" w:hAnsi="Times New Roman" w:eastAsia="宋体"/>
                <w:b w:val="0"/>
                <w:i/>
                <w:color w:val="000000"/>
                <w:sz w:val="22"/>
              </w:rPr>
              <w:t>Advances in instructional psychology</w:t>
            </w:r>
            <w:r>
              <w:rPr>
                <w:rFonts w:ascii="Times New Roman" w:hAnsi="Times New Roman" w:eastAsia="宋体"/>
                <w:b w:val="0"/>
                <w:i w:val="0"/>
                <w:color w:val="000000"/>
                <w:sz w:val="22"/>
              </w:rPr>
              <w:t xml:space="preserve"> (pp. 161–238). Lawrence Erlbaum Associates. https://education.asu.edu/lcl/publications/chi-m-t-h-2000-self-explaining-expository-texts-dual-processes-generating-0</w:t>
            </w:r>
          </w:p>
        </w:tc>
      </w:tr>
      <w:tr w14:paraId="6EB4C8F6">
        <w:trPr>
          <w:cantSplit/>
          <w:jc w:val="center"/>
        </w:trPr>
        <w:tc>
          <w:tcPr>
            <w:tcW w:w="10440" w:type="dxa"/>
            <w:tcMar>
              <w:top w:w="0" w:type="dxa"/>
              <w:left w:w="160" w:type="dxa"/>
              <w:bottom w:w="0" w:type="dxa"/>
              <w:right w:w="160" w:type="dxa"/>
            </w:tcMar>
            <w:vAlign w:val="top"/>
          </w:tcPr>
          <w:p w14:paraId="40921053">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Chi, M. T. H., de Leeuw, N., Chiu, M.-H., &amp; LaVancher, C. (1994). Eliciting self-explanations improves understanding. </w:t>
            </w:r>
            <w:r>
              <w:rPr>
                <w:rFonts w:ascii="Times New Roman" w:hAnsi="Times New Roman" w:eastAsia="宋体"/>
                <w:b w:val="0"/>
                <w:i/>
                <w:color w:val="000000"/>
                <w:sz w:val="22"/>
              </w:rPr>
              <w:t>Cognitive Science, 18</w:t>
            </w:r>
            <w:r>
              <w:rPr>
                <w:rFonts w:ascii="Times New Roman" w:hAnsi="Times New Roman" w:eastAsia="宋体"/>
                <w:b w:val="0"/>
                <w:i w:val="0"/>
                <w:color w:val="000000"/>
                <w:sz w:val="22"/>
              </w:rPr>
              <w:t>(3), 439–477. https://doi.org/10.1207/s15516709cog1803_3</w:t>
            </w:r>
          </w:p>
        </w:tc>
      </w:tr>
      <w:tr w14:paraId="1EA59078">
        <w:trPr>
          <w:cantSplit/>
          <w:jc w:val="center"/>
        </w:trPr>
        <w:tc>
          <w:tcPr>
            <w:tcW w:w="10440" w:type="dxa"/>
            <w:tcMar>
              <w:top w:w="0" w:type="dxa"/>
              <w:left w:w="160" w:type="dxa"/>
              <w:bottom w:w="0" w:type="dxa"/>
              <w:right w:w="160" w:type="dxa"/>
            </w:tcMar>
            <w:vAlign w:val="top"/>
          </w:tcPr>
          <w:p w14:paraId="6D4E958D">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Facione, P. A. (1990). </w:t>
            </w:r>
            <w:r>
              <w:rPr>
                <w:rFonts w:ascii="Times New Roman" w:hAnsi="Times New Roman" w:eastAsia="宋体"/>
                <w:b w:val="0"/>
                <w:i/>
                <w:color w:val="000000"/>
                <w:sz w:val="22"/>
              </w:rPr>
              <w:t>Critical thinking: A statement of expert consensus for purposes of educational assessment and instruction. Research findings and recommendations</w:t>
            </w:r>
            <w:r>
              <w:rPr>
                <w:rFonts w:ascii="Times New Roman" w:hAnsi="Times New Roman" w:eastAsia="宋体"/>
                <w:b w:val="0"/>
                <w:i w:val="0"/>
                <w:color w:val="000000"/>
                <w:sz w:val="22"/>
              </w:rPr>
              <w:t xml:space="preserve"> (ED315423). American Philosophical Association. https://eric.ed.gov/?id=ED315423</w:t>
            </w:r>
          </w:p>
        </w:tc>
      </w:tr>
      <w:tr w14:paraId="745CFFD5">
        <w:trPr>
          <w:cantSplit/>
          <w:jc w:val="center"/>
        </w:trPr>
        <w:tc>
          <w:tcPr>
            <w:tcW w:w="10440" w:type="dxa"/>
            <w:tcMar>
              <w:top w:w="0" w:type="dxa"/>
              <w:left w:w="160" w:type="dxa"/>
              <w:bottom w:w="0" w:type="dxa"/>
              <w:right w:w="160" w:type="dxa"/>
            </w:tcMar>
            <w:vAlign w:val="top"/>
          </w:tcPr>
          <w:p w14:paraId="1828BC95">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Fan, Y., Tang, L., Le, H., Shen, K., Tan, S., Zhao, Y., Shen, Y., Li, X., &amp; Gašević, D. (2025). Beware of metacognitive laziness: Effects of generative artificial intelligence on learning motivation, processes, and performance. </w:t>
            </w:r>
            <w:r>
              <w:rPr>
                <w:rFonts w:ascii="Times New Roman" w:hAnsi="Times New Roman" w:eastAsia="宋体"/>
                <w:b w:val="0"/>
                <w:i/>
                <w:color w:val="000000"/>
                <w:sz w:val="22"/>
              </w:rPr>
              <w:t>British Journal of Educational Technology, 56</w:t>
            </w:r>
            <w:r>
              <w:rPr>
                <w:rFonts w:ascii="Times New Roman" w:hAnsi="Times New Roman" w:eastAsia="宋体"/>
                <w:b w:val="0"/>
                <w:i w:val="0"/>
                <w:color w:val="000000"/>
                <w:sz w:val="22"/>
              </w:rPr>
              <w:t>(2), 489–530. https://doi.org/10.1111/bjet.13544</w:t>
            </w:r>
          </w:p>
        </w:tc>
      </w:tr>
      <w:tr w14:paraId="10A67BCB">
        <w:trPr>
          <w:cantSplit/>
          <w:jc w:val="center"/>
        </w:trPr>
        <w:tc>
          <w:tcPr>
            <w:tcW w:w="10440" w:type="dxa"/>
            <w:tcMar>
              <w:top w:w="0" w:type="dxa"/>
              <w:left w:w="160" w:type="dxa"/>
              <w:bottom w:w="0" w:type="dxa"/>
              <w:right w:w="160" w:type="dxa"/>
            </w:tcMar>
            <w:vAlign w:val="top"/>
          </w:tcPr>
          <w:p w14:paraId="6AE65FC4">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Fang, X., Xu, A., Yang, C.-L., Lin, Y.-F., Malacria, S., &amp; Yatani, K. (2026). LLM-based in-situ thought exchanges for critical paper reading. In </w:t>
            </w:r>
            <w:r>
              <w:rPr>
                <w:rFonts w:ascii="Times New Roman" w:hAnsi="Times New Roman" w:eastAsia="宋体"/>
                <w:b w:val="0"/>
                <w:i/>
                <w:color w:val="000000"/>
                <w:sz w:val="22"/>
              </w:rPr>
              <w:t>Proceedings of the 31st International Conference on Intelligent User Interfaces</w:t>
            </w:r>
            <w:r>
              <w:rPr>
                <w:rFonts w:ascii="Times New Roman" w:hAnsi="Times New Roman" w:eastAsia="宋体"/>
                <w:b w:val="0"/>
                <w:i w:val="0"/>
                <w:color w:val="000000"/>
                <w:sz w:val="22"/>
              </w:rPr>
              <w:t>. Association for Computing Machinery. https://doi.org/10.1145/3742413.3789069</w:t>
            </w:r>
          </w:p>
        </w:tc>
      </w:tr>
      <w:tr w14:paraId="5709BE4D">
        <w:trPr>
          <w:cantSplit/>
          <w:jc w:val="center"/>
        </w:trPr>
        <w:tc>
          <w:tcPr>
            <w:tcW w:w="10440" w:type="dxa"/>
            <w:tcMar>
              <w:top w:w="0" w:type="dxa"/>
              <w:left w:w="160" w:type="dxa"/>
              <w:bottom w:w="0" w:type="dxa"/>
              <w:right w:w="160" w:type="dxa"/>
            </w:tcMar>
            <w:vAlign w:val="top"/>
          </w:tcPr>
          <w:p w14:paraId="0E8DFDEE">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Faul, F., Erdfelder, E., Buchner, A., &amp; Lang, A.-G. (2009). Statistical power analyses using G*Power 3.1: Tests for correlation and regression analyses. </w:t>
            </w:r>
            <w:r>
              <w:rPr>
                <w:rFonts w:ascii="Times New Roman" w:hAnsi="Times New Roman" w:eastAsia="宋体"/>
                <w:b w:val="0"/>
                <w:i/>
                <w:color w:val="000000"/>
                <w:sz w:val="22"/>
              </w:rPr>
              <w:t>Behavior Research Methods, 41</w:t>
            </w:r>
            <w:r>
              <w:rPr>
                <w:rFonts w:ascii="Times New Roman" w:hAnsi="Times New Roman" w:eastAsia="宋体"/>
                <w:b w:val="0"/>
                <w:i w:val="0"/>
                <w:color w:val="000000"/>
                <w:sz w:val="22"/>
              </w:rPr>
              <w:t>(4), 1149–1160. https://doi.org/10.3758/BRM.41.4.1149</w:t>
            </w:r>
          </w:p>
        </w:tc>
      </w:tr>
      <w:tr w14:paraId="73136B54">
        <w:trPr>
          <w:cantSplit/>
          <w:jc w:val="center"/>
        </w:trPr>
        <w:tc>
          <w:tcPr>
            <w:tcW w:w="10440" w:type="dxa"/>
            <w:tcMar>
              <w:top w:w="0" w:type="dxa"/>
              <w:left w:w="160" w:type="dxa"/>
              <w:bottom w:w="0" w:type="dxa"/>
              <w:right w:w="160" w:type="dxa"/>
            </w:tcMar>
            <w:vAlign w:val="top"/>
          </w:tcPr>
          <w:p w14:paraId="2C1A9A89">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Fiorella, L., &amp; Mayer, R. E. (2016). Eight ways to promote generative learning. </w:t>
            </w:r>
            <w:r>
              <w:rPr>
                <w:rFonts w:ascii="Times New Roman" w:hAnsi="Times New Roman" w:eastAsia="宋体"/>
                <w:b w:val="0"/>
                <w:i/>
                <w:color w:val="000000"/>
                <w:sz w:val="22"/>
              </w:rPr>
              <w:t>Educational Psychology Review, 28</w:t>
            </w:r>
            <w:r>
              <w:rPr>
                <w:rFonts w:ascii="Times New Roman" w:hAnsi="Times New Roman" w:eastAsia="宋体"/>
                <w:b w:val="0"/>
                <w:i w:val="0"/>
                <w:color w:val="000000"/>
                <w:sz w:val="22"/>
              </w:rPr>
              <w:t>(4), 717–741. https://doi.org/10.1007/s10648-015-9348-9</w:t>
            </w:r>
          </w:p>
        </w:tc>
      </w:tr>
      <w:tr w14:paraId="61612DB4">
        <w:trPr>
          <w:cantSplit/>
          <w:jc w:val="center"/>
        </w:trPr>
        <w:tc>
          <w:tcPr>
            <w:tcW w:w="10440" w:type="dxa"/>
            <w:tcMar>
              <w:top w:w="0" w:type="dxa"/>
              <w:left w:w="160" w:type="dxa"/>
              <w:bottom w:w="0" w:type="dxa"/>
              <w:right w:w="160" w:type="dxa"/>
            </w:tcMar>
            <w:vAlign w:val="top"/>
          </w:tcPr>
          <w:p w14:paraId="5822DFF8">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Gerlich, M. (2025). AI tools in society: Impacts on cognitive offloading and the future of critical thinking. </w:t>
            </w:r>
            <w:r>
              <w:rPr>
                <w:rFonts w:ascii="Times New Roman" w:hAnsi="Times New Roman" w:eastAsia="宋体"/>
                <w:b w:val="0"/>
                <w:i/>
                <w:color w:val="000000"/>
                <w:sz w:val="22"/>
              </w:rPr>
              <w:t>Societies, 15</w:t>
            </w:r>
            <w:r>
              <w:rPr>
                <w:rFonts w:ascii="Times New Roman" w:hAnsi="Times New Roman" w:eastAsia="宋体"/>
                <w:b w:val="0"/>
                <w:i w:val="0"/>
                <w:color w:val="000000"/>
                <w:sz w:val="22"/>
              </w:rPr>
              <w:t>(1), Article 6. https://doi.org/10.3390/soc15010006</w:t>
            </w:r>
          </w:p>
        </w:tc>
      </w:tr>
      <w:tr w14:paraId="685ECDAE">
        <w:trPr>
          <w:cantSplit/>
          <w:jc w:val="center"/>
        </w:trPr>
        <w:tc>
          <w:tcPr>
            <w:tcW w:w="10440" w:type="dxa"/>
            <w:tcMar>
              <w:top w:w="0" w:type="dxa"/>
              <w:left w:w="160" w:type="dxa"/>
              <w:bottom w:w="0" w:type="dxa"/>
              <w:right w:w="160" w:type="dxa"/>
            </w:tcMar>
            <w:vAlign w:val="top"/>
          </w:tcPr>
          <w:p w14:paraId="481BB601">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Hart, S. G., &amp; Staveland, L. E. (1988). Development of NASA-TLX (Task Load Index): Results of empirical and theoretical research. In P. A. Hancock &amp; N. Meshkati (Eds.), </w:t>
            </w:r>
            <w:r>
              <w:rPr>
                <w:rFonts w:ascii="Times New Roman" w:hAnsi="Times New Roman" w:eastAsia="宋体"/>
                <w:b w:val="0"/>
                <w:i/>
                <w:color w:val="000000"/>
                <w:sz w:val="22"/>
              </w:rPr>
              <w:t>Human mental workload</w:t>
            </w:r>
            <w:r>
              <w:rPr>
                <w:rFonts w:ascii="Times New Roman" w:hAnsi="Times New Roman" w:eastAsia="宋体"/>
                <w:b w:val="0"/>
                <w:i w:val="0"/>
                <w:color w:val="000000"/>
                <w:sz w:val="22"/>
              </w:rPr>
              <w:t xml:space="preserve"> (pp. 139–183). North-Holland. https://doi.org/10.1016/S0166-4115(08)62386-9</w:t>
            </w:r>
          </w:p>
        </w:tc>
      </w:tr>
      <w:tr w14:paraId="6E6E8642">
        <w:trPr>
          <w:cantSplit/>
          <w:jc w:val="center"/>
        </w:trPr>
        <w:tc>
          <w:tcPr>
            <w:tcW w:w="10440" w:type="dxa"/>
            <w:tcMar>
              <w:top w:w="0" w:type="dxa"/>
              <w:left w:w="160" w:type="dxa"/>
              <w:bottom w:w="0" w:type="dxa"/>
              <w:right w:w="160" w:type="dxa"/>
            </w:tcMar>
            <w:vAlign w:val="top"/>
          </w:tcPr>
          <w:p w14:paraId="2C032493">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Holm, S. (1979). A simple sequentially rejective multiple test procedure. </w:t>
            </w:r>
            <w:r>
              <w:rPr>
                <w:rFonts w:ascii="Times New Roman" w:hAnsi="Times New Roman" w:eastAsia="宋体"/>
                <w:b w:val="0"/>
                <w:i/>
                <w:color w:val="000000"/>
                <w:sz w:val="22"/>
              </w:rPr>
              <w:t>Scandinavian Journal of Statistics, 6</w:t>
            </w:r>
            <w:r>
              <w:rPr>
                <w:rFonts w:ascii="Times New Roman" w:hAnsi="Times New Roman" w:eastAsia="宋体"/>
                <w:b w:val="0"/>
                <w:i w:val="0"/>
                <w:color w:val="000000"/>
                <w:sz w:val="22"/>
              </w:rPr>
              <w:t>(2), 65–70. https://www.jstor.org/stable/4615733</w:t>
            </w:r>
          </w:p>
        </w:tc>
      </w:tr>
      <w:tr w14:paraId="424ECEA6">
        <w:trPr>
          <w:cantSplit/>
          <w:jc w:val="center"/>
        </w:trPr>
        <w:tc>
          <w:tcPr>
            <w:tcW w:w="10440" w:type="dxa"/>
            <w:tcMar>
              <w:top w:w="0" w:type="dxa"/>
              <w:left w:w="160" w:type="dxa"/>
              <w:bottom w:w="0" w:type="dxa"/>
              <w:right w:w="160" w:type="dxa"/>
            </w:tcMar>
            <w:vAlign w:val="top"/>
          </w:tcPr>
          <w:p w14:paraId="1EB5DED8">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Hu, J. Y., Yan, T. M., &amp; Zhang, T. T. (2026). Breaking through cognitive outsourcing: Designing a human-machine collaborative argumentation system for critical thinking. </w:t>
            </w:r>
            <w:r>
              <w:rPr>
                <w:rFonts w:ascii="Times New Roman" w:hAnsi="Times New Roman" w:eastAsia="宋体"/>
                <w:b w:val="0"/>
                <w:i/>
                <w:color w:val="000000"/>
                <w:sz w:val="22"/>
              </w:rPr>
              <w:t>e-Education Research, 47</w:t>
            </w:r>
            <w:r>
              <w:rPr>
                <w:rFonts w:ascii="Times New Roman" w:hAnsi="Times New Roman" w:eastAsia="宋体"/>
                <w:b w:val="0"/>
                <w:i w:val="0"/>
                <w:color w:val="000000"/>
                <w:sz w:val="22"/>
              </w:rPr>
              <w:t>(3), 54–63. https://doi.org/10.13811/j.cnki.eer.2026.03.007</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 xml:space="preserve">[胡金艳, 闫恬萌, 张彤彤. (2026). 突破认知外包：面向批判性思维的人机协作辩论系统设计. </w:t>
            </w:r>
            <w:r>
              <w:rPr>
                <w:rFonts w:ascii="Times New Roman" w:hAnsi="Times New Roman" w:eastAsia="宋体"/>
                <w:b w:val="0"/>
                <w:i/>
                <w:color w:val="000000"/>
                <w:sz w:val="22"/>
              </w:rPr>
              <w:t>电化教育研究, 47</w:t>
            </w:r>
            <w:r>
              <w:rPr>
                <w:rFonts w:ascii="Times New Roman" w:hAnsi="Times New Roman" w:eastAsia="宋体"/>
                <w:b w:val="0"/>
                <w:i w:val="0"/>
                <w:color w:val="000000"/>
                <w:sz w:val="22"/>
              </w:rPr>
              <w:t>(3), 54–63.]</w:t>
            </w:r>
          </w:p>
        </w:tc>
      </w:tr>
      <w:tr w14:paraId="63218177">
        <w:trPr>
          <w:cantSplit/>
          <w:jc w:val="center"/>
        </w:trPr>
        <w:tc>
          <w:tcPr>
            <w:tcW w:w="10440" w:type="dxa"/>
            <w:tcMar>
              <w:top w:w="0" w:type="dxa"/>
              <w:left w:w="160" w:type="dxa"/>
              <w:bottom w:w="0" w:type="dxa"/>
              <w:right w:w="160" w:type="dxa"/>
            </w:tcMar>
            <w:vAlign w:val="top"/>
          </w:tcPr>
          <w:p w14:paraId="4BB3E89A">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Hugenroth, P., Danry, V., &amp; Maes, P. (2026). </w:t>
            </w:r>
            <w:r>
              <w:rPr>
                <w:rFonts w:ascii="Times New Roman" w:hAnsi="Times New Roman" w:eastAsia="宋体"/>
                <w:b w:val="0"/>
                <w:i/>
                <w:color w:val="000000"/>
                <w:sz w:val="22"/>
              </w:rPr>
              <w:t>Critical Inker: Scaffolding critical thinking in AI-assisted writing through Socratic questioning</w:t>
            </w:r>
            <w:r>
              <w:rPr>
                <w:rFonts w:ascii="Times New Roman" w:hAnsi="Times New Roman" w:eastAsia="宋体"/>
                <w:b w:val="0"/>
                <w:i w:val="0"/>
                <w:color w:val="000000"/>
                <w:sz w:val="22"/>
              </w:rPr>
              <w:t xml:space="preserve"> [Preprint]. arXiv. https://doi.org/10.48550/arXiv.2604.07167</w:t>
            </w:r>
          </w:p>
        </w:tc>
      </w:tr>
      <w:tr w14:paraId="709030BB">
        <w:trPr>
          <w:cantSplit/>
          <w:jc w:val="center"/>
        </w:trPr>
        <w:tc>
          <w:tcPr>
            <w:tcW w:w="10440" w:type="dxa"/>
            <w:tcMar>
              <w:top w:w="0" w:type="dxa"/>
              <w:left w:w="160" w:type="dxa"/>
              <w:bottom w:w="0" w:type="dxa"/>
              <w:right w:w="160" w:type="dxa"/>
            </w:tcMar>
            <w:vAlign w:val="top"/>
          </w:tcPr>
          <w:p w14:paraId="59A8B17D">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Insight Assessment. (n.d.). </w:t>
            </w:r>
            <w:r>
              <w:rPr>
                <w:rFonts w:ascii="Times New Roman" w:hAnsi="Times New Roman" w:eastAsia="宋体"/>
                <w:b w:val="0"/>
                <w:i/>
                <w:color w:val="000000"/>
                <w:sz w:val="22"/>
              </w:rPr>
              <w:t>California Critical Thinking Disposition Inventory</w:t>
            </w:r>
            <w:r>
              <w:rPr>
                <w:rFonts w:ascii="Times New Roman" w:hAnsi="Times New Roman" w:eastAsia="宋体"/>
                <w:b w:val="0"/>
                <w:i w:val="0"/>
                <w:color w:val="000000"/>
                <w:sz w:val="22"/>
              </w:rPr>
              <w:t>. Retrieved October 26, 2026, from https://insightassessment.com/iaproduct/california-critical-thinking-disposition-inventory/</w:t>
            </w:r>
          </w:p>
        </w:tc>
      </w:tr>
      <w:tr w14:paraId="5DB071E2">
        <w:trPr>
          <w:cantSplit/>
          <w:jc w:val="center"/>
        </w:trPr>
        <w:tc>
          <w:tcPr>
            <w:tcW w:w="10440" w:type="dxa"/>
            <w:tcMar>
              <w:top w:w="0" w:type="dxa"/>
              <w:left w:w="160" w:type="dxa"/>
              <w:bottom w:w="0" w:type="dxa"/>
              <w:right w:w="160" w:type="dxa"/>
            </w:tcMar>
            <w:vAlign w:val="top"/>
          </w:tcPr>
          <w:p w14:paraId="0439928E">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Kang, H. B., Wu, S. T., Chang, J. C., &amp; Kittur, A. (2023). Synergi: A mixed-initiative system for scholarly synthesis and sensemaking. In </w:t>
            </w:r>
            <w:r>
              <w:rPr>
                <w:rFonts w:ascii="Times New Roman" w:hAnsi="Times New Roman" w:eastAsia="宋体"/>
                <w:b w:val="0"/>
                <w:i/>
                <w:color w:val="000000"/>
                <w:sz w:val="22"/>
              </w:rPr>
              <w:t>Proceedings of the 36th Annual ACM Symposium on User Interface Software and Technology</w:t>
            </w:r>
            <w:r>
              <w:rPr>
                <w:rFonts w:ascii="Times New Roman" w:hAnsi="Times New Roman" w:eastAsia="宋体"/>
                <w:b w:val="0"/>
                <w:i w:val="0"/>
                <w:color w:val="000000"/>
                <w:sz w:val="22"/>
              </w:rPr>
              <w:t xml:space="preserve"> (pp. 1–19). Association for Computing Machinery. https://doi.org/10.1145/3586183.3606759</w:t>
            </w:r>
          </w:p>
        </w:tc>
      </w:tr>
      <w:tr w14:paraId="46B66A7C">
        <w:trPr>
          <w:cantSplit/>
          <w:jc w:val="center"/>
        </w:trPr>
        <w:tc>
          <w:tcPr>
            <w:tcW w:w="10440" w:type="dxa"/>
            <w:tcMar>
              <w:top w:w="0" w:type="dxa"/>
              <w:left w:w="160" w:type="dxa"/>
              <w:bottom w:w="0" w:type="dxa"/>
              <w:right w:w="160" w:type="dxa"/>
            </w:tcMar>
            <w:vAlign w:val="top"/>
          </w:tcPr>
          <w:p w14:paraId="1C8BC322">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Lee, S., Zhong, M., Foster, C., Segura-Totten, M., &amp; McCartney, M. (2022). From novice to expert: An assessment to measure strategies students implement while learning to read primary scientific literature. </w:t>
            </w:r>
            <w:r>
              <w:rPr>
                <w:rFonts w:ascii="Times New Roman" w:hAnsi="Times New Roman" w:eastAsia="宋体"/>
                <w:b w:val="0"/>
                <w:i/>
                <w:color w:val="000000"/>
                <w:sz w:val="22"/>
              </w:rPr>
              <w:t>Journal of Microbiology &amp; Biology Education, 23</w:t>
            </w:r>
            <w:r>
              <w:rPr>
                <w:rFonts w:ascii="Times New Roman" w:hAnsi="Times New Roman" w:eastAsia="宋体"/>
                <w:b w:val="0"/>
                <w:i w:val="0"/>
                <w:color w:val="000000"/>
                <w:sz w:val="22"/>
              </w:rPr>
              <w:t>(3), Article e00126-22. https://doi.org/10.1128/jmbe.00126-22</w:t>
            </w:r>
          </w:p>
        </w:tc>
      </w:tr>
      <w:tr w14:paraId="7D30745D">
        <w:trPr>
          <w:cantSplit/>
          <w:jc w:val="center"/>
        </w:trPr>
        <w:tc>
          <w:tcPr>
            <w:tcW w:w="10440" w:type="dxa"/>
            <w:tcMar>
              <w:top w:w="0" w:type="dxa"/>
              <w:left w:w="160" w:type="dxa"/>
              <w:bottom w:w="0" w:type="dxa"/>
              <w:right w:w="160" w:type="dxa"/>
            </w:tcMar>
            <w:vAlign w:val="top"/>
          </w:tcPr>
          <w:p w14:paraId="323B3D63">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Li, H. F., Wang, W., Li, G. X., &amp; Wang, Y. (2024). Teaching method of intelligent midwifery: Taking the teaching practice of Socratic chatbot as an example. </w:t>
            </w:r>
            <w:r>
              <w:rPr>
                <w:rFonts w:ascii="Times New Roman" w:hAnsi="Times New Roman" w:eastAsia="宋体"/>
                <w:b w:val="0"/>
                <w:i/>
                <w:color w:val="000000"/>
                <w:sz w:val="22"/>
              </w:rPr>
              <w:t>Open Education Research, 30</w:t>
            </w:r>
            <w:r>
              <w:rPr>
                <w:rFonts w:ascii="Times New Roman" w:hAnsi="Times New Roman" w:eastAsia="宋体"/>
                <w:b w:val="0"/>
                <w:i w:val="0"/>
                <w:color w:val="000000"/>
                <w:sz w:val="22"/>
              </w:rPr>
              <w:t>(2), 89–99. https://doi.org/10.13966/j.cnki.kfjyyj.2024.02.010</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 xml:space="preserve">[李海峰, 王炜, 李广鑫, 王媛. (2024). 智能助产术教学法——以“智能苏格拉底会话机器人”教学实践为例. </w:t>
            </w:r>
            <w:r>
              <w:rPr>
                <w:rFonts w:ascii="Times New Roman" w:hAnsi="Times New Roman" w:eastAsia="宋体"/>
                <w:b w:val="0"/>
                <w:i/>
                <w:color w:val="000000"/>
                <w:sz w:val="22"/>
              </w:rPr>
              <w:t>开放教育研究, 30</w:t>
            </w:r>
            <w:r>
              <w:rPr>
                <w:rFonts w:ascii="Times New Roman" w:hAnsi="Times New Roman" w:eastAsia="宋体"/>
                <w:b w:val="0"/>
                <w:i w:val="0"/>
                <w:color w:val="000000"/>
                <w:sz w:val="22"/>
              </w:rPr>
              <w:t>(2), 89–99.]</w:t>
            </w:r>
          </w:p>
        </w:tc>
      </w:tr>
      <w:tr w14:paraId="4C19EE98">
        <w:trPr>
          <w:cantSplit/>
          <w:jc w:val="center"/>
        </w:trPr>
        <w:tc>
          <w:tcPr>
            <w:tcW w:w="10440" w:type="dxa"/>
            <w:tcMar>
              <w:top w:w="0" w:type="dxa"/>
              <w:left w:w="160" w:type="dxa"/>
              <w:bottom w:w="0" w:type="dxa"/>
              <w:right w:w="160" w:type="dxa"/>
            </w:tcMar>
            <w:vAlign w:val="top"/>
          </w:tcPr>
          <w:p w14:paraId="59FC2735">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Meltzoff, J., &amp; Cooper, H. (2018). </w:t>
            </w:r>
            <w:r>
              <w:rPr>
                <w:rFonts w:ascii="Times New Roman" w:hAnsi="Times New Roman" w:eastAsia="宋体"/>
                <w:b w:val="0"/>
                <w:i/>
                <w:color w:val="000000"/>
                <w:sz w:val="22"/>
              </w:rPr>
              <w:t>Critical thinking about research: Psychology and related fields</w:t>
            </w:r>
            <w:r>
              <w:rPr>
                <w:rFonts w:ascii="Times New Roman" w:hAnsi="Times New Roman" w:eastAsia="宋体"/>
                <w:b w:val="0"/>
                <w:i w:val="0"/>
                <w:color w:val="000000"/>
                <w:sz w:val="22"/>
              </w:rPr>
              <w:t xml:space="preserve"> (2nd ed.). American Psychological Association. https://doi.org/10.1037/0000052-000</w:t>
            </w:r>
          </w:p>
        </w:tc>
      </w:tr>
      <w:tr w14:paraId="5A60AAEF">
        <w:trPr>
          <w:cantSplit/>
          <w:jc w:val="center"/>
        </w:trPr>
        <w:tc>
          <w:tcPr>
            <w:tcW w:w="10440" w:type="dxa"/>
            <w:tcMar>
              <w:top w:w="0" w:type="dxa"/>
              <w:left w:w="160" w:type="dxa"/>
              <w:bottom w:w="0" w:type="dxa"/>
              <w:right w:w="160" w:type="dxa"/>
            </w:tcMar>
            <w:vAlign w:val="top"/>
          </w:tcPr>
          <w:p w14:paraId="1760F356">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Namaziandost, E., &amp; Teng, M. F. (2026). AI-supported Socratic dialogue agents vs. generic AI chatbots for intermediate EFL learners’ critical thinking, epistemic beliefs, and argumentation: Mixed-methods evidence. </w:t>
            </w:r>
            <w:r>
              <w:rPr>
                <w:rFonts w:ascii="Times New Roman" w:hAnsi="Times New Roman" w:eastAsia="宋体"/>
                <w:b w:val="0"/>
                <w:i/>
                <w:color w:val="000000"/>
                <w:sz w:val="22"/>
              </w:rPr>
              <w:t>International Journal of Applied Linguistics</w:t>
            </w:r>
            <w:r>
              <w:rPr>
                <w:rFonts w:ascii="Times New Roman" w:hAnsi="Times New Roman" w:eastAsia="宋体"/>
                <w:b w:val="0"/>
                <w:i w:val="0"/>
                <w:color w:val="000000"/>
                <w:sz w:val="22"/>
              </w:rPr>
              <w:t>. Advance online publication. https://doi.org/10.1111/ijal.70268</w:t>
            </w:r>
          </w:p>
        </w:tc>
      </w:tr>
      <w:tr w14:paraId="621015EE">
        <w:trPr>
          <w:cantSplit/>
          <w:jc w:val="center"/>
        </w:trPr>
        <w:tc>
          <w:tcPr>
            <w:tcW w:w="10440" w:type="dxa"/>
            <w:tcMar>
              <w:top w:w="0" w:type="dxa"/>
              <w:left w:w="160" w:type="dxa"/>
              <w:bottom w:w="0" w:type="dxa"/>
              <w:right w:w="160" w:type="dxa"/>
            </w:tcMar>
            <w:vAlign w:val="top"/>
          </w:tcPr>
          <w:p w14:paraId="33E961E3">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Qi, J., Xu, Y. R., Liu, J. A., &amp; Xue, K. (2024). The impact of generative artificial intelligence tools on college students' critical thinking and autonomous learning ability. </w:t>
            </w:r>
            <w:r>
              <w:rPr>
                <w:rFonts w:ascii="Times New Roman" w:hAnsi="Times New Roman" w:eastAsia="宋体"/>
                <w:b w:val="0"/>
                <w:i/>
                <w:color w:val="000000"/>
                <w:sz w:val="22"/>
              </w:rPr>
              <w:t>e-Education Research, 45</w:t>
            </w:r>
            <w:r>
              <w:rPr>
                <w:rFonts w:ascii="Times New Roman" w:hAnsi="Times New Roman" w:eastAsia="宋体"/>
                <w:b w:val="0"/>
                <w:i w:val="0"/>
                <w:color w:val="000000"/>
                <w:sz w:val="22"/>
              </w:rPr>
              <w:t>(12), 67–74. https://doi.org/10.13811/j.cnki.eer.2024.12.009</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 xml:space="preserve">[戚佳, 徐艳茹, 刘继安, 薛凯. (2024). 生成式人工智能工具使用对高校学生批判性思维与自主学习能力的影响. </w:t>
            </w:r>
            <w:r>
              <w:rPr>
                <w:rFonts w:ascii="Times New Roman" w:hAnsi="Times New Roman" w:eastAsia="宋体"/>
                <w:b w:val="0"/>
                <w:i/>
                <w:color w:val="000000"/>
                <w:sz w:val="22"/>
              </w:rPr>
              <w:t>电化教育研究, 45</w:t>
            </w:r>
            <w:r>
              <w:rPr>
                <w:rFonts w:ascii="Times New Roman" w:hAnsi="Times New Roman" w:eastAsia="宋体"/>
                <w:b w:val="0"/>
                <w:i w:val="0"/>
                <w:color w:val="000000"/>
                <w:sz w:val="22"/>
              </w:rPr>
              <w:t>(12), 67–74.]</w:t>
            </w:r>
          </w:p>
        </w:tc>
      </w:tr>
      <w:tr w14:paraId="5A3EF7DF">
        <w:trPr>
          <w:cantSplit/>
          <w:jc w:val="center"/>
        </w:trPr>
        <w:tc>
          <w:tcPr>
            <w:tcW w:w="10440" w:type="dxa"/>
            <w:tcMar>
              <w:top w:w="0" w:type="dxa"/>
              <w:left w:w="160" w:type="dxa"/>
              <w:bottom w:w="0" w:type="dxa"/>
              <w:right w:w="160" w:type="dxa"/>
            </w:tcMar>
            <w:vAlign w:val="top"/>
          </w:tcPr>
          <w:p w14:paraId="61BC1BF9">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Shi, M., Wang, J., Ni, J., Pal Chowdhury, S., &amp; Sachan, M. (2026). Tackling the root of misinformation by teaching laypeople about logical fallacies via Socratic questioning and critical argumentation. In </w:t>
            </w:r>
            <w:r>
              <w:rPr>
                <w:rFonts w:ascii="Times New Roman" w:hAnsi="Times New Roman" w:eastAsia="宋体"/>
                <w:b w:val="0"/>
                <w:i/>
                <w:color w:val="000000"/>
                <w:sz w:val="22"/>
              </w:rPr>
              <w:t>Proceedings of the 64th Annual Meeting of the Association for Computational Linguistics (Volume 1: Long Papers)</w:t>
            </w:r>
            <w:r>
              <w:rPr>
                <w:rFonts w:ascii="Times New Roman" w:hAnsi="Times New Roman" w:eastAsia="宋体"/>
                <w:b w:val="0"/>
                <w:i w:val="0"/>
                <w:color w:val="000000"/>
                <w:sz w:val="22"/>
              </w:rPr>
              <w:t xml:space="preserve"> (pp. 47821–47868). Association for Computational Linguistics. https://doi.org/10.18653/v1/2026.acl-long.2209</w:t>
            </w:r>
          </w:p>
        </w:tc>
      </w:tr>
      <w:tr w14:paraId="6E26ECBE">
        <w:trPr>
          <w:cantSplit/>
          <w:jc w:val="center"/>
        </w:trPr>
        <w:tc>
          <w:tcPr>
            <w:tcW w:w="10440" w:type="dxa"/>
            <w:tcMar>
              <w:top w:w="0" w:type="dxa"/>
              <w:left w:w="160" w:type="dxa"/>
              <w:bottom w:w="0" w:type="dxa"/>
              <w:right w:w="160" w:type="dxa"/>
            </w:tcMar>
            <w:vAlign w:val="top"/>
          </w:tcPr>
          <w:p w14:paraId="24FF75B6">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Stadler, M., Bannert, M., &amp; Sailer, M. (2024). Cognitive ease at a cost: LLMs reduce mental effort but compromise depth in student scientific inquiry. </w:t>
            </w:r>
            <w:r>
              <w:rPr>
                <w:rFonts w:ascii="Times New Roman" w:hAnsi="Times New Roman" w:eastAsia="宋体"/>
                <w:b w:val="0"/>
                <w:i/>
                <w:color w:val="000000"/>
                <w:sz w:val="22"/>
              </w:rPr>
              <w:t>Computers in Human Behavior, 160</w:t>
            </w:r>
            <w:r>
              <w:rPr>
                <w:rFonts w:ascii="Times New Roman" w:hAnsi="Times New Roman" w:eastAsia="宋体"/>
                <w:b w:val="0"/>
                <w:i w:val="0"/>
                <w:color w:val="000000"/>
                <w:sz w:val="22"/>
              </w:rPr>
              <w:t>, Article 108386. https://doi.org/10.1016/j.chb.2024.108386</w:t>
            </w:r>
          </w:p>
        </w:tc>
      </w:tr>
      <w:tr w14:paraId="7253ADA0">
        <w:trPr>
          <w:cantSplit/>
          <w:jc w:val="center"/>
        </w:trPr>
        <w:tc>
          <w:tcPr>
            <w:tcW w:w="10440" w:type="dxa"/>
            <w:tcMar>
              <w:top w:w="0" w:type="dxa"/>
              <w:left w:w="160" w:type="dxa"/>
              <w:bottom w:w="0" w:type="dxa"/>
              <w:right w:w="160" w:type="dxa"/>
            </w:tcMar>
            <w:vAlign w:val="top"/>
          </w:tcPr>
          <w:p w14:paraId="767329EE">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Sternberg, R. J., &amp; Sternberg, K. (2017). Measuring scientific reasoning for graduate admissions in psychology and related disciplines. </w:t>
            </w:r>
            <w:r>
              <w:rPr>
                <w:rFonts w:ascii="Times New Roman" w:hAnsi="Times New Roman" w:eastAsia="宋体"/>
                <w:b w:val="0"/>
                <w:i/>
                <w:color w:val="000000"/>
                <w:sz w:val="22"/>
              </w:rPr>
              <w:t>Journal of Intelligence, 5</w:t>
            </w:r>
            <w:r>
              <w:rPr>
                <w:rFonts w:ascii="Times New Roman" w:hAnsi="Times New Roman" w:eastAsia="宋体"/>
                <w:b w:val="0"/>
                <w:i w:val="0"/>
                <w:color w:val="000000"/>
                <w:sz w:val="22"/>
              </w:rPr>
              <w:t>(3), Article 29. https://doi.org/10.3390/jintelligence5030029</w:t>
            </w:r>
          </w:p>
        </w:tc>
      </w:tr>
      <w:tr w14:paraId="0E696C8D">
        <w:trPr>
          <w:cantSplit/>
          <w:jc w:val="center"/>
        </w:trPr>
        <w:tc>
          <w:tcPr>
            <w:tcW w:w="10440" w:type="dxa"/>
            <w:tcMar>
              <w:top w:w="0" w:type="dxa"/>
              <w:left w:w="160" w:type="dxa"/>
              <w:bottom w:w="0" w:type="dxa"/>
              <w:right w:w="160" w:type="dxa"/>
            </w:tcMar>
            <w:vAlign w:val="top"/>
          </w:tcPr>
          <w:p w14:paraId="53D45428">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Tian, J., &amp; Zhang, R. (2025). Learners’ AI dependence and critical thinking: The psychological mechanism of fatigue and the social buffering role of AI literacy. </w:t>
            </w:r>
            <w:r>
              <w:rPr>
                <w:rFonts w:ascii="Times New Roman" w:hAnsi="Times New Roman" w:eastAsia="宋体"/>
                <w:b w:val="0"/>
                <w:i/>
                <w:color w:val="000000"/>
                <w:sz w:val="22"/>
              </w:rPr>
              <w:t>Acta Psychologica, 260</w:t>
            </w:r>
            <w:r>
              <w:rPr>
                <w:rFonts w:ascii="Times New Roman" w:hAnsi="Times New Roman" w:eastAsia="宋体"/>
                <w:b w:val="0"/>
                <w:i w:val="0"/>
                <w:color w:val="000000"/>
                <w:sz w:val="22"/>
              </w:rPr>
              <w:t>, Article 105725. https://doi.org/10.1016/j.actpsy.2025.105725</w:t>
            </w:r>
          </w:p>
        </w:tc>
      </w:tr>
      <w:tr w14:paraId="1177E4C1">
        <w:trPr>
          <w:cantSplit/>
          <w:jc w:val="center"/>
        </w:trPr>
        <w:tc>
          <w:tcPr>
            <w:tcW w:w="10440" w:type="dxa"/>
            <w:tcMar>
              <w:top w:w="0" w:type="dxa"/>
              <w:left w:w="160" w:type="dxa"/>
              <w:bottom w:w="0" w:type="dxa"/>
              <w:right w:w="160" w:type="dxa"/>
            </w:tcMar>
            <w:vAlign w:val="top"/>
          </w:tcPr>
          <w:p w14:paraId="60A77061">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Timmerman, B. E. C., Strickland, D. C., Johnson, R. L., &amp; Payne, J. R. (2011). Development of a ‘universal’ rubric for assessing undergraduates’ scientific reasoning skills using scientific writing. </w:t>
            </w:r>
            <w:r>
              <w:rPr>
                <w:rFonts w:ascii="Times New Roman" w:hAnsi="Times New Roman" w:eastAsia="宋体"/>
                <w:b w:val="0"/>
                <w:i/>
                <w:color w:val="000000"/>
                <w:sz w:val="22"/>
              </w:rPr>
              <w:t>Assessment &amp; Evaluation in Higher Education, 36</w:t>
            </w:r>
            <w:r>
              <w:rPr>
                <w:rFonts w:ascii="Times New Roman" w:hAnsi="Times New Roman" w:eastAsia="宋体"/>
                <w:b w:val="0"/>
                <w:i w:val="0"/>
                <w:color w:val="000000"/>
                <w:sz w:val="22"/>
              </w:rPr>
              <w:t>(5), 509–547. https://doi.org/10.1080/02602930903540991</w:t>
            </w:r>
          </w:p>
        </w:tc>
      </w:tr>
      <w:tr w14:paraId="5B172520">
        <w:trPr>
          <w:cantSplit/>
          <w:jc w:val="center"/>
        </w:trPr>
        <w:tc>
          <w:tcPr>
            <w:tcW w:w="10440" w:type="dxa"/>
            <w:tcMar>
              <w:top w:w="0" w:type="dxa"/>
              <w:left w:w="160" w:type="dxa"/>
              <w:bottom w:w="0" w:type="dxa"/>
              <w:right w:w="160" w:type="dxa"/>
            </w:tcMar>
            <w:vAlign w:val="top"/>
          </w:tcPr>
          <w:p w14:paraId="3D09CB7E">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Toulmin, S. E. (2003). </w:t>
            </w:r>
            <w:r>
              <w:rPr>
                <w:rFonts w:ascii="Times New Roman" w:hAnsi="Times New Roman" w:eastAsia="宋体"/>
                <w:b w:val="0"/>
                <w:i/>
                <w:color w:val="000000"/>
                <w:sz w:val="22"/>
              </w:rPr>
              <w:t>The uses of argument</w:t>
            </w:r>
            <w:r>
              <w:rPr>
                <w:rFonts w:ascii="Times New Roman" w:hAnsi="Times New Roman" w:eastAsia="宋体"/>
                <w:b w:val="0"/>
                <w:i w:val="0"/>
                <w:color w:val="000000"/>
                <w:sz w:val="22"/>
              </w:rPr>
              <w:t xml:space="preserve"> (Updated ed.). Cambridge University Press. https://doi.org/10.1017/CBO9780511840005</w:t>
            </w:r>
          </w:p>
        </w:tc>
      </w:tr>
      <w:tr w14:paraId="31CCF9C8">
        <w:trPr>
          <w:cantSplit/>
          <w:jc w:val="center"/>
        </w:trPr>
        <w:tc>
          <w:tcPr>
            <w:tcW w:w="10440" w:type="dxa"/>
            <w:tcMar>
              <w:top w:w="0" w:type="dxa"/>
              <w:left w:w="160" w:type="dxa"/>
              <w:bottom w:w="0" w:type="dxa"/>
              <w:right w:w="160" w:type="dxa"/>
            </w:tcMar>
            <w:vAlign w:val="top"/>
          </w:tcPr>
          <w:p w14:paraId="6D5002EA">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Vendrell, M., &amp; Johnston, S.-K. (2026). Scaffolding critical thinking with generative AI: Design principles for integrating large language models in higher education. </w:t>
            </w:r>
            <w:r>
              <w:rPr>
                <w:rFonts w:ascii="Times New Roman" w:hAnsi="Times New Roman" w:eastAsia="宋体"/>
                <w:b w:val="0"/>
                <w:i/>
                <w:color w:val="000000"/>
                <w:sz w:val="22"/>
              </w:rPr>
              <w:t>Computers and Education: Artificial Intelligence, 10</w:t>
            </w:r>
            <w:r>
              <w:rPr>
                <w:rFonts w:ascii="Times New Roman" w:hAnsi="Times New Roman" w:eastAsia="宋体"/>
                <w:b w:val="0"/>
                <w:i w:val="0"/>
                <w:color w:val="000000"/>
                <w:sz w:val="22"/>
              </w:rPr>
              <w:t>, Article 100572. https://doi.org/10.1016/j.caeai.2026.100572</w:t>
            </w:r>
          </w:p>
        </w:tc>
      </w:tr>
      <w:tr w14:paraId="4AD18262">
        <w:trPr>
          <w:cantSplit/>
          <w:jc w:val="center"/>
        </w:trPr>
        <w:tc>
          <w:tcPr>
            <w:tcW w:w="10440" w:type="dxa"/>
            <w:tcMar>
              <w:top w:w="0" w:type="dxa"/>
              <w:left w:w="160" w:type="dxa"/>
              <w:bottom w:w="0" w:type="dxa"/>
              <w:right w:w="160" w:type="dxa"/>
            </w:tcMar>
            <w:vAlign w:val="top"/>
          </w:tcPr>
          <w:p w14:paraId="57487014">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Vickers, A. J., &amp; Altman, D. G. (2001). Analysing controlled trials with baseline and follow up measurements. </w:t>
            </w:r>
            <w:r>
              <w:rPr>
                <w:rFonts w:ascii="Times New Roman" w:hAnsi="Times New Roman" w:eastAsia="宋体"/>
                <w:b w:val="0"/>
                <w:i/>
                <w:color w:val="000000"/>
                <w:sz w:val="22"/>
              </w:rPr>
              <w:t>BMJ, 323</w:t>
            </w:r>
            <w:r>
              <w:rPr>
                <w:rFonts w:ascii="Times New Roman" w:hAnsi="Times New Roman" w:eastAsia="宋体"/>
                <w:b w:val="0"/>
                <w:i w:val="0"/>
                <w:color w:val="000000"/>
                <w:sz w:val="22"/>
              </w:rPr>
              <w:t>(7321), 1123–1124. https://doi.org/10.1136/bmj.323.7321.1123</w:t>
            </w:r>
          </w:p>
        </w:tc>
      </w:tr>
      <w:tr w14:paraId="1ECC66B0">
        <w:trPr>
          <w:cantSplit/>
          <w:jc w:val="center"/>
        </w:trPr>
        <w:tc>
          <w:tcPr>
            <w:tcW w:w="10440" w:type="dxa"/>
            <w:tcMar>
              <w:top w:w="0" w:type="dxa"/>
              <w:left w:w="160" w:type="dxa"/>
              <w:bottom w:w="0" w:type="dxa"/>
              <w:right w:w="160" w:type="dxa"/>
            </w:tcMar>
            <w:vAlign w:val="top"/>
          </w:tcPr>
          <w:p w14:paraId="152A7D8D">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Vygotsky, L. S. (1978). </w:t>
            </w:r>
            <w:r>
              <w:rPr>
                <w:rFonts w:ascii="Times New Roman" w:hAnsi="Times New Roman" w:eastAsia="宋体"/>
                <w:b w:val="0"/>
                <w:i/>
                <w:color w:val="000000"/>
                <w:sz w:val="22"/>
              </w:rPr>
              <w:t>Mind in society: The development of higher psychological processes</w:t>
            </w:r>
            <w:r>
              <w:rPr>
                <w:rFonts w:ascii="Times New Roman" w:hAnsi="Times New Roman" w:eastAsia="宋体"/>
                <w:b w:val="0"/>
                <w:i w:val="0"/>
                <w:color w:val="000000"/>
                <w:sz w:val="22"/>
              </w:rPr>
              <w:t xml:space="preserve"> (M. Cole, V. John-Steiner, S. Scribner, &amp; E. Souberman, Eds.). Harvard University Press. https://www.hup.harvard.edu/books/9780674576292</w:t>
            </w:r>
          </w:p>
        </w:tc>
      </w:tr>
      <w:tr w14:paraId="07B5067E">
        <w:trPr>
          <w:cantSplit/>
          <w:jc w:val="center"/>
        </w:trPr>
        <w:tc>
          <w:tcPr>
            <w:tcW w:w="10440" w:type="dxa"/>
            <w:tcMar>
              <w:top w:w="0" w:type="dxa"/>
              <w:left w:w="160" w:type="dxa"/>
              <w:bottom w:w="0" w:type="dxa"/>
              <w:right w:w="160" w:type="dxa"/>
            </w:tcMar>
            <w:vAlign w:val="top"/>
          </w:tcPr>
          <w:p w14:paraId="67AE1BBD">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Wittrock, M. C. (2010). Learning as a generative process. </w:t>
            </w:r>
            <w:r>
              <w:rPr>
                <w:rFonts w:ascii="Times New Roman" w:hAnsi="Times New Roman" w:eastAsia="宋体"/>
                <w:b w:val="0"/>
                <w:i/>
                <w:color w:val="000000"/>
                <w:sz w:val="22"/>
              </w:rPr>
              <w:t>Educational Psychologist, 45</w:t>
            </w:r>
            <w:r>
              <w:rPr>
                <w:rFonts w:ascii="Times New Roman" w:hAnsi="Times New Roman" w:eastAsia="宋体"/>
                <w:b w:val="0"/>
                <w:i w:val="0"/>
                <w:color w:val="000000"/>
                <w:sz w:val="22"/>
              </w:rPr>
              <w:t>(1), 40–45. https://doi.org/10.1080/00461520903433554 (Original work published 1974)</w:t>
            </w:r>
          </w:p>
        </w:tc>
      </w:tr>
      <w:tr w14:paraId="3D2212E7">
        <w:trPr>
          <w:cantSplit/>
          <w:jc w:val="center"/>
        </w:trPr>
        <w:tc>
          <w:tcPr>
            <w:tcW w:w="10440" w:type="dxa"/>
            <w:tcMar>
              <w:top w:w="0" w:type="dxa"/>
              <w:left w:w="160" w:type="dxa"/>
              <w:bottom w:w="0" w:type="dxa"/>
              <w:right w:w="160" w:type="dxa"/>
            </w:tcMar>
            <w:vAlign w:val="top"/>
          </w:tcPr>
          <w:p w14:paraId="33547269">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Xi, L., Zhang, Y., &amp; Wang, Q. (2026). Investigating the effects of an LLM-based Socratic conversational agent on students’ academic performance and reflective thinking in higher education. </w:t>
            </w:r>
            <w:r>
              <w:rPr>
                <w:rFonts w:ascii="Times New Roman" w:hAnsi="Times New Roman" w:eastAsia="宋体"/>
                <w:b w:val="0"/>
                <w:i/>
                <w:color w:val="000000"/>
                <w:sz w:val="22"/>
              </w:rPr>
              <w:t>Computers &amp; Education, 241</w:t>
            </w:r>
            <w:r>
              <w:rPr>
                <w:rFonts w:ascii="Times New Roman" w:hAnsi="Times New Roman" w:eastAsia="宋体"/>
                <w:b w:val="0"/>
                <w:i w:val="0"/>
                <w:color w:val="000000"/>
                <w:sz w:val="22"/>
              </w:rPr>
              <w:t>, Article 105494. https://doi.org/10.1016/j.compedu.2025.105494</w:t>
            </w:r>
          </w:p>
        </w:tc>
      </w:tr>
      <w:tr w14:paraId="5BB5FD97">
        <w:trPr>
          <w:cantSplit/>
          <w:jc w:val="center"/>
        </w:trPr>
        <w:tc>
          <w:tcPr>
            <w:tcW w:w="10440" w:type="dxa"/>
            <w:tcMar>
              <w:top w:w="0" w:type="dxa"/>
              <w:left w:w="160" w:type="dxa"/>
              <w:bottom w:w="0" w:type="dxa"/>
              <w:right w:w="160" w:type="dxa"/>
            </w:tcMar>
            <w:vAlign w:val="top"/>
          </w:tcPr>
          <w:p w14:paraId="3033E1D0">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Yuan, K., Lin, H., Cao, S., Peng, Z., Guo, Q., &amp; Ma, X. (2023). CriTrainer: An adaptive training tool for critical paper reading. In </w:t>
            </w:r>
            <w:r>
              <w:rPr>
                <w:rFonts w:ascii="Times New Roman" w:hAnsi="Times New Roman" w:eastAsia="宋体"/>
                <w:b w:val="0"/>
                <w:i/>
                <w:color w:val="000000"/>
                <w:sz w:val="22"/>
              </w:rPr>
              <w:t>Proceedings of the 36th Annual ACM Symposium on User Interface Software and Technology</w:t>
            </w:r>
            <w:r>
              <w:rPr>
                <w:rFonts w:ascii="Times New Roman" w:hAnsi="Times New Roman" w:eastAsia="宋体"/>
                <w:b w:val="0"/>
                <w:i w:val="0"/>
                <w:color w:val="000000"/>
                <w:sz w:val="22"/>
              </w:rPr>
              <w:t xml:space="preserve"> (pp. 1–17). Association for Computing Machinery. https://doi.org/10.1145/3586183.3606816</w:t>
            </w:r>
          </w:p>
        </w:tc>
      </w:tr>
      <w:tr w14:paraId="6E27BE67">
        <w:trPr>
          <w:cantSplit/>
          <w:jc w:val="center"/>
        </w:trPr>
        <w:tc>
          <w:tcPr>
            <w:tcW w:w="10440" w:type="dxa"/>
            <w:tcMar>
              <w:top w:w="0" w:type="dxa"/>
              <w:left w:w="160" w:type="dxa"/>
              <w:bottom w:w="0" w:type="dxa"/>
              <w:right w:w="160" w:type="dxa"/>
            </w:tcMar>
            <w:vAlign w:val="top"/>
          </w:tcPr>
          <w:p w14:paraId="7B774079">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Yurt, E. (2026). The effects of AI-assisted flipped learning on critical thinking skills, dispositions, and motivation in higher education. </w:t>
            </w:r>
            <w:r>
              <w:rPr>
                <w:rFonts w:ascii="Times New Roman" w:hAnsi="Times New Roman" w:eastAsia="宋体"/>
                <w:b w:val="0"/>
                <w:i/>
                <w:color w:val="000000"/>
                <w:sz w:val="22"/>
              </w:rPr>
              <w:t>Discover Artificial Intelligence, 6</w:t>
            </w:r>
            <w:r>
              <w:rPr>
                <w:rFonts w:ascii="Times New Roman" w:hAnsi="Times New Roman" w:eastAsia="宋体"/>
                <w:b w:val="0"/>
                <w:i w:val="0"/>
                <w:color w:val="000000"/>
                <w:sz w:val="22"/>
              </w:rPr>
              <w:t>, Article 1510. https://doi.org/10.1007/s44163-026-01773-4</w:t>
            </w:r>
          </w:p>
        </w:tc>
      </w:tr>
      <w:tr w14:paraId="61D8AA13">
        <w:trPr>
          <w:cantSplit/>
          <w:jc w:val="center"/>
        </w:trPr>
        <w:tc>
          <w:tcPr>
            <w:tcW w:w="10440" w:type="dxa"/>
            <w:tcMar>
              <w:top w:w="0" w:type="dxa"/>
              <w:left w:w="160" w:type="dxa"/>
              <w:bottom w:w="0" w:type="dxa"/>
              <w:right w:w="160" w:type="dxa"/>
            </w:tcMar>
            <w:vAlign w:val="top"/>
          </w:tcPr>
          <w:p w14:paraId="51CFA13A">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赵晓伟, 王师晓, 李情, 沈书生, 祝智庭. (2025). 苏格拉底式问题支架：促进学生向AI大模型提出高质量问题. </w:t>
            </w:r>
            <w:r>
              <w:rPr>
                <w:rFonts w:ascii="Times New Roman" w:hAnsi="Times New Roman" w:eastAsia="宋体"/>
                <w:b w:val="0"/>
                <w:i/>
                <w:color w:val="000000"/>
                <w:sz w:val="22"/>
              </w:rPr>
              <w:t>现代远程教育研究, 37</w:t>
            </w:r>
            <w:r>
              <w:rPr>
                <w:rFonts w:ascii="Times New Roman" w:hAnsi="Times New Roman" w:eastAsia="宋体"/>
                <w:b w:val="0"/>
                <w:i w:val="0"/>
                <w:color w:val="000000"/>
                <w:sz w:val="22"/>
              </w:rPr>
              <w:t>(1), 102–112. https://doi.org/10.3969/j.issn.1009-5195.2025.01.011</w:t>
            </w:r>
          </w:p>
        </w:tc>
      </w:tr>
    </w:tbl>
    <w:p w14:paraId="226EDE1E">
      <w:pPr>
        <w:keepNext/>
        <w:pageBreakBefore/>
        <w:spacing w:before="0" w:after="160"/>
        <w:rPr>
          <w:rFonts w:hint="eastAsia"/>
          <w:bCs/>
          <w:sz w:val="28"/>
        </w:rPr>
      </w:pPr>
      <w:r>
        <w:rPr>
          <w:rFonts w:hint="eastAsia" w:ascii="Times New Roman" w:hAnsi="Times New Roman" w:eastAsia="宋体"/>
          <w:b/>
          <w:bCs/>
          <w:i w:val="0"/>
          <w:color w:val="000000"/>
          <w:sz w:val="28"/>
        </w:rPr>
        <w:t>五、导师意见</w:t>
      </w:r>
    </w:p>
    <w:tbl>
      <w:tblPr>
        <w:tblStyle w:val="7"/>
        <w:tblW w:w="10440" w:type="dxa"/>
        <w:jc w:val="center"/>
        <w:tblLayout w:type="fixed"/>
        <w:tblCellMar>
          <w:top w:w="0" w:type="dxa"/>
          <w:left w:w="108" w:type="dxa"/>
          <w:bottom w:w="0" w:type="dxa"/>
          <w:right w:w="108" w:type="dxa"/>
        </w:tblCellMar>
      </w:tblPr>
      <w:tblGrid>
        <w:gridCol w:w="10440"/>
      </w:tblGrid>
      <w:tr w14:paraId="0573673C">
        <w:trPr>
          <w:jc w:val="center"/>
        </w:trPr>
        <w:tc>
          <w:tcPr>
            <w:tcW w:w="10440" w:type="dxa"/>
            <w:tcBorders>
              <w:top w:val="single" w:color="000000" w:sz="4" w:space="0"/>
              <w:left w:val="single" w:color="000000" w:sz="4" w:space="0"/>
              <w:bottom w:val="single" w:color="000000" w:sz="4" w:space="0"/>
              <w:right w:val="single" w:color="000000" w:sz="4" w:space="0"/>
            </w:tcBorders>
            <w:tcMar>
              <w:top w:w="100" w:type="dxa"/>
              <w:left w:w="160" w:type="dxa"/>
              <w:bottom w:w="100" w:type="dxa"/>
              <w:right w:w="160" w:type="dxa"/>
            </w:tcMar>
            <w:vAlign w:val="top"/>
          </w:tcPr>
          <w:p w14:paraId="4D9B948B"/>
          <w:p w14:paraId="5CD05CAB">
            <w:pPr>
              <w:spacing w:line="360" w:lineRule="auto"/>
            </w:pPr>
          </w:p>
          <w:p w14:paraId="13AB4B98">
            <w:pPr>
              <w:spacing w:line="360" w:lineRule="auto"/>
            </w:pPr>
          </w:p>
          <w:p w14:paraId="01D2AD38">
            <w:pPr>
              <w:spacing w:line="360" w:lineRule="auto"/>
            </w:pPr>
          </w:p>
          <w:p w14:paraId="6E59C41B">
            <w:pPr>
              <w:spacing w:line="360" w:lineRule="auto"/>
            </w:pPr>
          </w:p>
          <w:p w14:paraId="39F7E0CB">
            <w:pPr>
              <w:spacing w:line="360" w:lineRule="auto"/>
            </w:pPr>
          </w:p>
          <w:p w14:paraId="19B28C48">
            <w:pPr>
              <w:spacing w:line="360" w:lineRule="auto"/>
            </w:pPr>
          </w:p>
          <w:p w14:paraId="45AD6082">
            <w:pPr>
              <w:spacing w:line="360" w:lineRule="auto"/>
            </w:pPr>
          </w:p>
          <w:p w14:paraId="2C5CAA6D">
            <w:pPr>
              <w:spacing w:line="360" w:lineRule="auto"/>
            </w:pPr>
          </w:p>
          <w:p w14:paraId="524DD824">
            <w:pPr>
              <w:spacing w:line="360" w:lineRule="auto"/>
            </w:pPr>
          </w:p>
          <w:p w14:paraId="7FD8A97E">
            <w:pPr>
              <w:spacing w:line="360" w:lineRule="auto"/>
            </w:pPr>
          </w:p>
          <w:p w14:paraId="0DF936E8">
            <w:pPr>
              <w:spacing w:line="360" w:lineRule="auto"/>
            </w:pPr>
          </w:p>
          <w:p w14:paraId="391675CA">
            <w:pPr>
              <w:spacing w:line="360" w:lineRule="auto"/>
            </w:pPr>
          </w:p>
          <w:p w14:paraId="7A4D9B57">
            <w:pPr>
              <w:jc w:val="right"/>
            </w:pPr>
            <w:r>
              <w:rPr>
                <w:rFonts w:ascii="Times New Roman" w:hAnsi="Times New Roman" w:eastAsia="宋体"/>
                <w:b w:val="0"/>
                <w:i w:val="0"/>
                <w:color w:val="000000"/>
                <w:sz w:val="24"/>
              </w:rPr>
              <w:t>导师签名：________________</w:t>
            </w:r>
          </w:p>
          <w:p w14:paraId="7F16842F">
            <w:pPr>
              <w:jc w:val="right"/>
            </w:pPr>
            <w:r>
              <w:rPr>
                <w:rFonts w:ascii="Times New Roman" w:hAnsi="Times New Roman" w:eastAsia="宋体"/>
                <w:b w:val="0"/>
                <w:i w:val="0"/>
                <w:color w:val="000000"/>
                <w:sz w:val="24"/>
              </w:rPr>
              <w:t>年       月       日</w:t>
            </w:r>
          </w:p>
        </w:tc>
      </w:tr>
    </w:tbl>
    <w:p w14:paraId="6E2B21F2"/>
    <w:sectPr>
      <w:footerReference r:id="rId4" w:type="first"/>
      <w:footerReference r:id="rId3" w:type="default"/>
      <w:pgSz w:w="11906" w:h="16838"/>
      <w:pgMar w:top="1440" w:right="1797" w:bottom="1440" w:left="1797" w:header="0" w:footer="992" w:gutter="0"/>
      <w:pgNumType w:fmt="decimal"/>
      <w:cols w:space="720" w:num="1"/>
      <w:formProt w:val="0"/>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Noto Sans">
    <w:altName w:val="苹方-简"/>
    <w:panose1 w:val="00000000000000000000"/>
    <w:charset w:val="00"/>
    <w:family w:val="auto"/>
    <w:pitch w:val="default"/>
    <w:sig w:usb0="00000000" w:usb1="00000000" w:usb2="00000000" w:usb3="00000000" w:csb0="00000000" w:csb1="00000000"/>
  </w:font>
  <w:font w:name="Liberation Serif">
    <w:altName w:val="Thonburi"/>
    <w:panose1 w:val="00000000000000000000"/>
    <w:charset w:val="01"/>
    <w:family w:val="roman"/>
    <w:pitch w:val="default"/>
    <w:sig w:usb0="00000000" w:usb1="00000000" w:usb2="00000000" w:usb3="00000000" w:csb0="00000000" w:csb1="00000000"/>
  </w:font>
  <w:font w:name="Linux Libertine G">
    <w:altName w:val="宋体-简"/>
    <w:panose1 w:val="00000000000000000000"/>
    <w:charset w:val="86"/>
    <w:family w:val="auto"/>
    <w:pitch w:val="default"/>
    <w:sig w:usb0="00000000" w:usb1="00000000" w:usb2="00000000" w:usb3="00000000" w:csb0="00000000" w:csb1="00000000"/>
  </w:font>
  <w:font w:name="宋体;SimSun">
    <w:altName w:val="汉仪书宋二KW"/>
    <w:panose1 w:val="00000000000000000000"/>
    <w:charset w:val="00"/>
    <w:family w:val="auto"/>
    <w:pitch w:val="default"/>
    <w:sig w:usb0="00000000" w:usb1="00000000" w:usb2="00000000" w:usb3="00000000" w:csb0="00000000" w:csb1="00000000"/>
  </w:font>
  <w:font w:name="Liberation Sans">
    <w:altName w:val="Thonburi"/>
    <w:panose1 w:val="00000000000000000000"/>
    <w:charset w:val="01"/>
    <w:family w:val="swiss"/>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Thonburi">
    <w:panose1 w:val="00000400000000000000"/>
    <w:charset w:val="00"/>
    <w:family w:val="auto"/>
    <w:pitch w:val="default"/>
    <w:sig w:usb0="01000000" w:usb1="00000000" w:usb2="00000000" w:usb3="00000000" w:csb0="20000193" w:csb1="4D000000"/>
  </w:font>
  <w:font w:name="汉仪中黑KW">
    <w:panose1 w:val="00020600040101010101"/>
    <w:charset w:val="86"/>
    <w:family w:val="auto"/>
    <w:pitch w:val="default"/>
    <w:sig w:usb0="A00002BF" w:usb1="18EF7CFA" w:usb2="00000016"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37F686">
    <w:pPr>
      <w:jc w:val="right"/>
    </w:pPr>
    <w:r>
      <w:rPr>
        <w:rFonts w:hint="eastAsia"/>
        <w:kern w:val="0"/>
      </w:rPr>
      <w:t xml:space="preserve"> 第 </w:t>
    </w:r>
    <w:r>
      <w:rPr>
        <w:kern w:val="0"/>
      </w:rPr>
      <w:fldChar w:fldCharType="begin"/>
    </w:r>
    <w:r>
      <w:rPr>
        <w:kern w:val="0"/>
      </w:rPr>
      <w:instrText xml:space="preserve"> PAGE </w:instrText>
    </w:r>
    <w:r>
      <w:rPr>
        <w:kern w:val="0"/>
      </w:rPr>
      <w:fldChar w:fldCharType="separate"/>
    </w:r>
    <w:r>
      <w:rPr>
        <w:kern w:val="0"/>
      </w:rPr>
      <w:t>7</w:t>
    </w:r>
    <w:r>
      <w:rPr>
        <w:kern w:val="0"/>
      </w:rPr>
      <w:fldChar w:fldCharType="end"/>
    </w:r>
    <w:r>
      <w:rPr>
        <w:rFonts w:hint="eastAsia"/>
        <w:kern w:val="0"/>
      </w:rPr>
      <w:t xml:space="preserve"> 页 共 </w:t>
    </w:r>
    <w:r>
      <w:rPr>
        <w:kern w:val="0"/>
      </w:rPr>
      <w:fldChar w:fldCharType="begin"/>
    </w:r>
    <w:r>
      <w:rPr>
        <w:kern w:val="0"/>
      </w:rPr>
      <w:instrText xml:space="preserve"> NUMPAGES \* ARABIC </w:instrText>
    </w:r>
    <w:r>
      <w:rPr>
        <w:kern w:val="0"/>
      </w:rPr>
      <w:fldChar w:fldCharType="separate"/>
    </w:r>
    <w:r>
      <w:rPr>
        <w:kern w:val="0"/>
      </w:rPr>
      <w:t>7</w:t>
    </w:r>
    <w:r>
      <w:rPr>
        <w:kern w:val="0"/>
      </w:rPr>
      <w:fldChar w:fldCharType="end"/>
    </w:r>
    <w:r>
      <w:rPr>
        <w:rFonts w:hint="eastAsia"/>
        <w:kern w:val="0"/>
      </w:rPr>
      <w:t xml:space="preserve"> 页              教务部培养办公室</w:t>
    </w:r>
    <w:r>
      <w:rPr>
        <w:rFonts w:hint="eastAsia"/>
        <w:sz w:val="24"/>
        <w:szCs w:val="24"/>
      </w:rPr>
      <w:t>制表</w:t>
    </w:r>
    <w:r>
      <mc:AlternateContent>
        <mc:Choice Requires="wps">
          <w:drawing>
            <wp:anchor distT="0" distB="0" distL="0" distR="0" simplePos="0" relativeHeight="251659264" behindDoc="0" locked="0" layoutInCell="0" allowOverlap="1">
              <wp:simplePos x="0" y="0"/>
              <wp:positionH relativeFrom="margin">
                <wp:align>right</wp:align>
              </wp:positionH>
              <wp:positionV relativeFrom="paragraph">
                <wp:posOffset>635</wp:posOffset>
              </wp:positionV>
              <wp:extent cx="14605" cy="131445"/>
              <wp:effectExtent l="0" t="0" r="0" b="0"/>
              <wp:wrapSquare wrapText="bothSides"/>
              <wp:docPr id="1" name="Frame1"/>
              <wp:cNvGraphicFramePr/>
              <a:graphic xmlns:a="http://schemas.openxmlformats.org/drawingml/2006/main">
                <a:graphicData uri="http://schemas.microsoft.com/office/word/2010/wordprocessingShape">
                  <wps:wsp>
                    <wps:cNvSpPr txBox="1"/>
                    <wps:spPr>
                      <a:xfrm>
                        <a:off x="0" y="0"/>
                        <a:ext cx="14605" cy="131445"/>
                      </a:xfrm>
                      <a:prstGeom prst="rect">
                        <a:avLst/>
                      </a:prstGeom>
                      <a:solidFill>
                        <a:srgbClr val="FFFFFF">
                          <a:alpha val="0"/>
                        </a:srgbClr>
                      </a:solidFill>
                    </wps:spPr>
                    <wps:txbx>
                      <w:txbxContent>
                        <w:p w14:paraId="2885A077">
                          <w:pPr>
                            <w:pStyle w:val="4"/>
                            <w:rPr>
                              <w:rStyle w:val="9"/>
                            </w:rPr>
                          </w:pPr>
                        </w:p>
                      </w:txbxContent>
                    </wps:txbx>
                    <wps:bodyPr lIns="0" tIns="0" rIns="0" bIns="0" anchor="t">
                      <a:noAutofit/>
                    </wps:bodyPr>
                  </wps:wsp>
                </a:graphicData>
              </a:graphic>
            </wp:anchor>
          </w:drawing>
        </mc:Choice>
        <mc:Fallback>
          <w:pict>
            <v:shape id="Frame1" o:spid="_x0000_s1026" o:spt="202" type="#_x0000_t202" style="position:absolute;left:0pt;margin-top:0.05pt;height:10.35pt;width:1.15pt;mso-position-horizontal:right;mso-position-horizontal-relative:margin;mso-wrap-distance-bottom:0pt;mso-wrap-distance-left:0pt;mso-wrap-distance-right:0pt;mso-wrap-distance-top:0pt;z-index:251659264;mso-width-relative:page;mso-height-relative:page;" fillcolor="#FFFFFF" filled="t" stroked="f" coordsize="21600,21600" o:allowincell="f" o:gfxdata="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BiZkn+0QAAAAIBAAAPAAAAAAAAAAEAIAAAACIAAABkcnMvZG93bnJldi54&#10;bWxQSwECFAAUAAAACACHTuJALpb3KcgBAACyAwAADgAAAAAAAAABACAAAAAgAQAAZHJzL2Uyb0Rv&#10;Yy54bWxQSwUGAAAAAAYABgBZAQAAWgUAAAAA&#10;">
              <v:fill on="t" opacity="0f" focussize="0,0"/>
              <v:stroke on="f"/>
              <v:imagedata o:title=""/>
              <o:lock v:ext="edit" aspectratio="f"/>
              <v:textbox inset="0mm,0mm,0mm,0mm">
                <w:txbxContent>
                  <w:p w14:paraId="2885A077">
                    <w:pPr>
                      <w:pStyle w:val="4"/>
                      <w:rPr>
                        <w:rStyle w:val="9"/>
                      </w:rPr>
                    </w:pPr>
                  </w:p>
                </w:txbxContent>
              </v:textbox>
              <w10:wrap type="squar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8AE829">
    <w:pPr>
      <w:pStyle w:val="4"/>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cumentProtection w:enforcement="0"/>
  <w:defaultTabStop w:val="425"/>
  <w:autoHyphenation/>
  <w:hyphenationZone w:val="0"/>
  <w:compat>
    <w:doNotExpandShiftReturn/>
    <w:doNotBreakWrappedTables/>
    <w:useFELayout/>
    <w:compatSetting w:name="compatibilityMode" w:uri="http://schemas.microsoft.com/office/word" w:val="15"/>
  </w:compat>
  <w:docVars>
    <w:docVar w:name="commondata" w:val="eyJoZGlkIjoiOGZkZDBjMDRhYjBmMDk5NzNhZWZmYTUxMWM2OGQ2ZjIifQ=="/>
  </w:docVars>
  <w:rsids>
    <w:rsidRoot w:val="00000000"/>
    <w:rsid w:val="7EBF8D76"/>
    <w:rsid w:val="7FFE882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Linux Libertine G" w:cs="Noto San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jc w:val="both"/>
    </w:pPr>
    <w:rPr>
      <w:rFonts w:ascii="Times New Roman" w:hAnsi="Times New Roman" w:eastAsia="宋体;SimSun" w:cs="Times New Roman"/>
      <w:color w:val="auto"/>
      <w:kern w:val="2"/>
      <w:sz w:val="21"/>
      <w:szCs w:val="20"/>
      <w:lang w:val="en-US" w:eastAsia="zh-CN" w:bidi="ar-SA"/>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2">
    <w:name w:val="caption"/>
    <w:basedOn w:val="1"/>
    <w:qFormat/>
    <w:uiPriority w:val="0"/>
    <w:pPr>
      <w:suppressLineNumbers/>
      <w:spacing w:before="120" w:after="120"/>
    </w:pPr>
    <w:rPr>
      <w:rFonts w:cs="Noto Sans"/>
      <w:i/>
      <w:iCs/>
      <w:sz w:val="24"/>
      <w:szCs w:val="24"/>
    </w:rPr>
  </w:style>
  <w:style w:type="paragraph" w:styleId="3">
    <w:name w:val="Body Text"/>
    <w:basedOn w:val="1"/>
    <w:uiPriority w:val="0"/>
    <w:pPr>
      <w:spacing w:before="0" w:after="140" w:line="276" w:lineRule="auto"/>
    </w:p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pBdr>
        <w:bottom w:val="single" w:color="000000" w:sz="6" w:space="1"/>
      </w:pBdr>
      <w:tabs>
        <w:tab w:val="center" w:pos="4153"/>
        <w:tab w:val="right" w:pos="8306"/>
      </w:tabs>
      <w:snapToGrid w:val="0"/>
      <w:jc w:val="center"/>
    </w:pPr>
    <w:rPr>
      <w:sz w:val="18"/>
      <w:szCs w:val="18"/>
    </w:rPr>
  </w:style>
  <w:style w:type="paragraph" w:styleId="6">
    <w:name w:val="List"/>
    <w:basedOn w:val="3"/>
    <w:uiPriority w:val="0"/>
    <w:rPr>
      <w:rFonts w:cs="Noto Sans"/>
    </w:rPr>
  </w:style>
  <w:style w:type="character" w:styleId="9">
    <w:name w:val="page number"/>
    <w:uiPriority w:val="0"/>
  </w:style>
  <w:style w:type="character" w:customStyle="1" w:styleId="10">
    <w:name w:val="默认段落字体1"/>
    <w:qFormat/>
    <w:uiPriority w:val="0"/>
  </w:style>
  <w:style w:type="paragraph" w:customStyle="1" w:styleId="11">
    <w:name w:val="Heading"/>
    <w:basedOn w:val="1"/>
    <w:next w:val="3"/>
    <w:qFormat/>
    <w:uiPriority w:val="0"/>
    <w:pPr>
      <w:keepNext/>
      <w:spacing w:before="240" w:after="120"/>
    </w:pPr>
    <w:rPr>
      <w:rFonts w:ascii="Liberation Sans" w:hAnsi="Liberation Sans" w:eastAsia="Linux Libertine G" w:cs="Noto Sans"/>
      <w:sz w:val="28"/>
      <w:szCs w:val="28"/>
    </w:rPr>
  </w:style>
  <w:style w:type="paragraph" w:customStyle="1" w:styleId="12">
    <w:name w:val="Index"/>
    <w:basedOn w:val="1"/>
    <w:qFormat/>
    <w:uiPriority w:val="0"/>
    <w:pPr>
      <w:suppressLineNumbers/>
    </w:pPr>
    <w:rPr>
      <w:rFonts w:cs="Noto Sans"/>
    </w:rPr>
  </w:style>
  <w:style w:type="paragraph" w:customStyle="1" w:styleId="13">
    <w:name w:val="批注框文本1"/>
    <w:basedOn w:val="1"/>
    <w:qFormat/>
    <w:uiPriority w:val="0"/>
    <w:rPr>
      <w:sz w:val="18"/>
      <w:szCs w:val="18"/>
    </w:rPr>
  </w:style>
  <w:style w:type="paragraph" w:customStyle="1" w:styleId="14">
    <w:name w:val="Header and Footer"/>
    <w:basedOn w:val="1"/>
    <w:qFormat/>
    <w:uiPriority w:val="0"/>
    <w:pPr>
      <w:suppressLineNumbers/>
      <w:tabs>
        <w:tab w:val="center" w:pos="4819"/>
        <w:tab w:val="right" w:pos="9638"/>
      </w:tabs>
    </w:pPr>
  </w:style>
  <w:style w:type="paragraph" w:customStyle="1" w:styleId="15">
    <w:name w:val="Table Contents"/>
    <w:basedOn w:val="1"/>
    <w:qFormat/>
    <w:uiPriority w:val="0"/>
    <w:pPr>
      <w:widowControl w:val="0"/>
      <w:suppressLineNumbers/>
    </w:pPr>
  </w:style>
  <w:style w:type="paragraph" w:customStyle="1" w:styleId="16">
    <w:name w:val="Table Heading"/>
    <w:basedOn w:val="15"/>
    <w:qFormat/>
    <w:uiPriority w:val="0"/>
    <w:pPr>
      <w:suppressLineNumbers/>
      <w:jc w:val="center"/>
    </w:pPr>
    <w:rPr>
      <w:b/>
      <w:bCs/>
    </w:rPr>
  </w:style>
  <w:style w:type="paragraph" w:customStyle="1" w:styleId="17">
    <w:name w:val="Frame Contents"/>
    <w:basedOn w:val="1"/>
    <w:qFormat/>
    <w:uiPriority w:val="0"/>
  </w:style>
  <w:style w:type="paragraph" w:customStyle="1" w:styleId="18">
    <w:name w:val="heading 1"/>
    <w:basedOn w:val="1"/>
    <w:uiPriority w:val="0"/>
    <w:pPr>
      <w:outlineLvl w:val="0"/>
    </w:pPr>
  </w:style>
  <w:style w:type="paragraph" w:customStyle="1" w:styleId="19">
    <w:name w:val="heading 2"/>
    <w:basedOn w:val="1"/>
    <w:uiPriority w:val="0"/>
    <w:pPr>
      <w:outlineLvl w:val="1"/>
    </w:pPr>
  </w:style>
  <w:style w:type="paragraph" w:customStyle="1" w:styleId="20">
    <w:name w:val="heading 3"/>
    <w:basedOn w:val="1"/>
    <w:uiPriority w:val="0"/>
    <w:pPr>
      <w:outlineLvl w:val="2"/>
    </w:pPr>
  </w:style>
  <w:style w:type="paragraph" w:customStyle="1" w:styleId="21">
    <w:name w:val="heading 4"/>
    <w:basedOn w:val="1"/>
    <w:uiPriority w:val="0"/>
    <w:pPr>
      <w:outlineLvl w:val="3"/>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42</Pages>
  <TotalTime>26</TotalTime>
  <ScaleCrop>false</ScaleCrop>
  <LinksUpToDate>false</LinksUpToDate>
  <Application>WPS Office_12.1.26046.26046_F1E327BC-269C-435d-A152-05C5408002CA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2023-04-25T17:09:00Z</dcterms:created>
  <dc:creator>OwO</dc:creator>
  <cp:lastModifiedBy>OwO</cp:lastModifiedBy>
  <cp:lastPrinted>2007-01-08T19:41:00Z</cp:lastPrinted>
  <dcterms:modified xsi:type="dcterms:W3CDTF">2026-10-26T09:51:00Z</dcterms:modified>
  <dc:subject>北京师范大学应用心理专业学位论文开题报告</dc:subject>
  <dc:title>苏格拉底式智能体辅助阅读对科研新手文献批判性评价表现的影响</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B92A1A436B1C4722AF9D271BB4DE41FA_12</vt:lpwstr>
  </property>
  <property fmtid="{D5CDD505-2E9C-101B-9397-08002B2CF9AE}" pid="3" name="KSOProductBuildVer">
    <vt:lpwstr>2052-12.1.26046.26046</vt:lpwstr>
  </property>
</Properties>
</file>