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科研文献中的批判性评价涉及对研究问题、设计、证据和结论的审查。Meltzoff和Cooper（2018）围绕样本选择、分组、测量、分析及解释讨论研究评价，强调需要结合具体研究条件判断方法是否适当、推断是否成立。这一取向将一般批判性思维落实到研究活动中的具体判断，也使论文评价区别于仅提取信息或复述作者观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批判性思维技能与批判性思维倾向关注不同方面。前者涉及能否分析信息、评价证据并作出有依据的判断；后者涉及是否愿意寻求理由、考虑证据和认真检查判断。CCTDI用于评价批判性思维倾向（Insight Assessment, n.d.），与要求参与者实际完成分析或评价的表现性任务有所区别。因而，阅读研究采用何种测量，会影响其结果能够说明的是思维倾向、主观感受，还是实际评价表现。</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识别研究中的问题与解释问题为何成立，体现了评价活动的不同要求。学生可能注意到研究没有随机分组，却只能笼统地说“不够科学”；也可能指出原有组间差异，并解释它如何构成结果的替代解释。Meltzoff和Cooper（2018）的配套评析不仅指出研究中的问题，也讨论其对研究解释的影响，为理解这两类表现提供了具体示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评价需要考虑方法与研究目标是否匹配，以及具体做法对推断的影响。泛泛地要求“样本应更大”“方法应更多”，并不足以说明某项研究存在缺陷。评价也可能支持作者的某项设计、否定一条批评，或指出现有报告不足以作出判断。因此，批判性评价的关键在于依据证据审查推断，而不能简单等同于提出更多负面意见（Meltzoff &amp; Cooper, 2018）。</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其分维度评分呈现了不同思维表现，但固定任务顺序且缺少对照组的设计，使学习效果仍需结合更充分的比较证据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呈现了不同的评价取向：审稿人任务关注能否发现研究问题，科学写作量规则关注假设、方法、证据和论证是否充分，文本理解任务则关注能否准确把握材料内容。它们虽然都涉及科学研究材料，但所要求的认知活动与产出并不相同。因而，“批判性阅读有所改善”需要结合具体任务和评分内容解释，不能仅依据测验或量表的名称判断其测量范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现有测量方式的差异与适用范围</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测量可从作答方式和评价对象两个方面比较。Sternberg和Sternberg（2017）的开放式研究评价要求参与者自主发现问题；Meltzoff和Cooper（2018）的模拟研究与配套评析提供具体方法问题及其解释；Timmerman等人（2011）通过科学写作量规评价研究论证；CriTrainer则分别评价论文概括和学生提出的批判性问题（Yuan et al., 2023）。这些方法分别侧重问题发现、方法审查、论证质量或提问质量。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主发现问题与评价已给出的问题具有不同的任务要求；指出问题与说明理由也不能相互替代。同样，问卷中的自我判断与开放任务中的实际表现提供不同证据。综合现有研究时，需要同时考察参与者阅读了什么、独立完成了什么，以及评分针对内容准确性、问题相关性还是推理质量，才能判断研究之间的发现是否具有可比性。</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评价方式并不相同：阅读策略问卷关注学生认为自己怎样阅读，阅读测验与论证评分则关注学生实际完成了什么。协作批注、讨论和回答修订也常与阅读指导结合使用，因此，观察到的改善既需要结合训练活动解释，也需要区分讨论中的产出变化与个人独立阅读表现的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其结果支持在阅读中设置主动加工和反馈环节；不过，提问质量、章节作答表现与对完整研究的方法和证据作出评价，仍涉及不同的任务要求。现有发现尚不足以说明持续追问对于独立研究评价的作用。</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项研究同时比较苏格拉底式AI、通用AI与无AI，使教学互动策略与AI支持整体的作用能够得到不同层面的比较。其持续追问将“为什么这样认为”落实到具体依据、隐含前提和替代解释，但任务发生在外语学习情境，主要测量又采用自评形式。因此，它提供了论证对话的设计与效果证据，其结果能否延伸到科研论文的方法评价，仍需结合相应任务考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自适应对话、写作反馈与翻转课堂共同构成了干预，因而还需要进一步区分各类支持在学习改善中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Inker则进一步将论证分析与下一步对话策略联系起来。这些系统在学习活动组织、对话主动性和反馈方式上的差异，说明苏格拉底式支持具有多种实现方式。</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的验证覆盖了不同层面：论证抽取准确性与策略执行情况反映技术实现；用户对清晰度、便利性和参与体验的评价反映可用性；独立测验则提供学习结果的证据。初步试用和对话质量评价能够支持系统的可行性，但尚不足以判断使用者能否在撤去帮助后独立完成同类评价活动。这是比较现有系统验证程度时需要区分的内容。</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研究关注学习者是否生成了理解所需的联系，而非仅仅增加发言长度。Fiorella和Mayer（2016）指出，有效的自我解释涉及组织材料、生成推论，并将新信息与已有知识相联系；解释提示的效果也取决于学习者能否生成有质量的解释。部分学习者因此需要更聚焦的提示或指导。由此，对话轮次、回答长度和重复材料的数量，不能直接替代对生成性加工的判断。</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