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52"/>
        </w:rPr>
      </w:pPr>
      <w:r>
        <w:rPr>
          <w:rFonts w:hint="eastAsia"/>
          <w:b/>
          <w:sz w:val="52"/>
        </w:rPr>
      </w:r>
    </w:p>
    <w:p>
      <w:pPr>
        <w:pStyle w:val="Normal"/>
        <w:jc w:val="center"/>
        <w:rPr>
          <w:rFonts w:hint="eastAsia"/>
          <w:b/>
          <w:sz w:val="72"/>
        </w:rPr>
      </w:pPr>
      <w:r>
        <w:rPr>
          <w:rFonts w:hint="eastAsia"/>
          <w:b/>
          <w:sz w:val="72"/>
        </w:rPr>
        <w:t>北 京 师 范 大 学</w:t>
      </w:r>
    </w:p>
    <w:p>
      <w:pPr>
        <w:pStyle w:val="Normal"/>
        <w:jc w:val="center"/>
        <w:rPr>
          <w:rFonts w:hint="eastAsia"/>
          <w:b/>
          <w:sz w:val="48"/>
          <w:szCs w:val="48"/>
        </w:rPr>
      </w:pPr>
      <w:r>
        <w:rPr>
          <w:rFonts w:hint="eastAsia"/>
          <w:b/>
          <w:sz w:val="48"/>
          <w:szCs w:val="48"/>
        </w:rPr>
        <w:t>硕士研究生学位论文开题报告</w:t>
      </w:r>
    </w:p>
    <w:p>
      <w:pPr>
        <w:pStyle w:val="Normal"/>
        <w:rPr>
          <w:rFonts w:hint="eastAsia"/>
          <w:b/>
          <w:sz w:val="28"/>
          <w:szCs w:val="48"/>
        </w:rPr>
      </w:pPr>
      <w:r>
        <w:rPr>
          <w:rFonts w:hint="eastAsia"/>
          <w:b/>
          <w:sz w:val="28"/>
          <w:szCs w:val="48"/>
        </w:rPr>
      </w:r>
    </w:p>
    <w:p>
      <w:pPr>
        <w:pStyle w:val="Normal"/>
        <w:rPr>
          <w:rFonts w:hint="eastAsia"/>
          <w:sz w:val="28"/>
        </w:rPr>
      </w:pPr>
      <w:r>
        <w:rPr>
          <w:rFonts w:hint="eastAsia"/>
          <w:sz w:val="28"/>
        </w:rPr>
      </w:r>
    </w:p>
    <w:p>
      <w:pPr>
        <w:pStyle w:val="Normal"/>
        <w:rPr>
          <w:rFonts w:hint="eastAsia"/>
          <w:sz w:val="28"/>
          <w:u w:val="single"/>
        </w:rPr>
      </w:pPr>
      <w:r>
        <w:rPr>
          <w:rFonts w:ascii="Times New Roman" w:hAnsi="Times New Roman" w:eastAsia="宋体"/>
          <w:b w:val="0"/>
          <w:i w:val="0"/>
          <w:color w:val="000000"/>
          <w:sz w:val="28"/>
        </w:rPr>
        <w:t>研 究 生 姓 名  __________________</w:t>
      </w:r>
    </w:p>
    <w:p>
      <w:pPr>
        <w:pStyle w:val="Normal"/>
        <w:rPr>
          <w:sz w:val="28"/>
          <w:u w:val="single"/>
        </w:rPr>
      </w:pPr>
      <w:r>
        <w:rPr>
          <w:rFonts w:ascii="Times New Roman" w:hAnsi="Times New Roman" w:eastAsia="宋体"/>
          <w:b w:val="0"/>
          <w:i w:val="0"/>
          <w:color w:val="000000"/>
          <w:sz w:val="28"/>
        </w:rPr>
        <w:t>学        号  __________________</w:t>
      </w:r>
    </w:p>
    <w:p>
      <w:pPr>
        <w:pStyle w:val="Normal"/>
        <w:rPr>
          <w:rFonts w:hint="eastAsia"/>
          <w:sz w:val="28"/>
          <w:u w:val="single"/>
        </w:rPr>
      </w:pPr>
      <w:r>
        <w:rPr>
          <w:rFonts w:ascii="Times New Roman" w:hAnsi="Times New Roman" w:eastAsia="宋体"/>
          <w:b w:val="0"/>
          <w:i w:val="0"/>
          <w:color w:val="000000"/>
          <w:sz w:val="28"/>
        </w:rPr>
        <w:t>导师姓名、职称  __________________</w:t>
      </w:r>
    </w:p>
    <w:p>
      <w:pPr>
        <w:pStyle w:val="Normal"/>
        <w:rPr>
          <w:rFonts w:hint="eastAsia"/>
          <w:sz w:val="28"/>
          <w:u w:val="single"/>
        </w:rPr>
      </w:pPr>
      <w:r>
        <w:rPr>
          <w:rFonts w:hint="eastAsia"/>
          <w:sz w:val="28"/>
        </w:rPr>
        <w:t xml:space="preserve">           </w:t>
      </w:r>
      <w:r>
        <w:rPr>
          <w:rFonts w:hint="eastAsia"/>
          <w:sz w:val="28"/>
        </w:rPr>
        <w:t>培  养  单  位</w:t>
      </w:r>
      <w:r>
        <w:rPr>
          <w:rFonts w:hint="eastAsia"/>
          <w:sz w:val="28"/>
          <w:u w:val="single"/>
        </w:rPr>
        <w:t xml:space="preserve">   心理学部      </w:t>
      </w:r>
    </w:p>
    <w:p>
      <w:pPr>
        <w:pStyle w:val="Normal"/>
        <w:rPr>
          <w:rFonts w:hint="eastAsia"/>
          <w:sz w:val="28"/>
          <w:u w:val="single"/>
        </w:rPr>
      </w:pPr>
      <w:r>
        <w:rPr>
          <w:rFonts w:hint="eastAsia"/>
          <w:sz w:val="28"/>
        </w:rPr>
        <w:t xml:space="preserve">           </w:t>
      </w:r>
      <w:r>
        <w:rPr>
          <w:rFonts w:hint="eastAsia"/>
          <w:sz w:val="28"/>
        </w:rPr>
        <w:t>专          业</w:t>
      </w:r>
      <w:r>
        <w:rPr>
          <w:rFonts w:hint="eastAsia"/>
          <w:sz w:val="28"/>
          <w:u w:val="single"/>
        </w:rPr>
        <w:t xml:space="preserve">   应用心理     </w:t>
      </w:r>
    </w:p>
    <w:p>
      <w:pPr>
        <w:pStyle w:val="Normal"/>
        <w:spacing w:line="336" w:lineRule="auto"/>
        <w:rPr>
          <w:rFonts w:hint="eastAsia"/>
          <w:sz w:val="28"/>
          <w:u w:val="single"/>
        </w:rPr>
      </w:pPr>
      <w:r>
        <w:rPr>
          <w:rFonts w:ascii="Times New Roman" w:hAnsi="Times New Roman" w:eastAsia="宋体"/>
          <w:b w:val="0"/>
          <w:i w:val="0"/>
          <w:color w:val="000000"/>
          <w:sz w:val="28"/>
        </w:rPr>
        <w:t>研 究 方 向  用户体验（UX）</w:t>
      </w:r>
    </w:p>
    <w:p>
      <w:pPr>
        <w:pStyle w:val="Normal"/>
        <w:rPr>
          <w:rFonts w:hint="eastAsia"/>
          <w:sz w:val="28"/>
          <w:u w:val="single"/>
        </w:rPr>
      </w:pPr>
      <w:r>
        <w:rPr>
          <w:rFonts w:hint="eastAsia"/>
          <w:sz w:val="28"/>
        </w:rPr>
        <w:t xml:space="preserve">           </w:t>
      </w:r>
      <w:r>
        <w:rPr>
          <w:rFonts w:hint="eastAsia"/>
          <w:sz w:val="28"/>
        </w:rPr>
        <w:t>入  学  时  间</w:t>
      </w:r>
      <w:r>
        <w:rPr>
          <w:rFonts w:hint="eastAsia"/>
          <w:sz w:val="28"/>
          <w:u w:val="single"/>
        </w:rPr>
        <w:t xml:space="preserve">   </w:t>
      </w:r>
      <w:r>
        <w:rPr>
          <w:rFonts w:hint="eastAsia"/>
          <w:sz w:val="28"/>
          <w:u w:val="single"/>
        </w:rPr>
        <w:t xml:space="preserve">20   </w:t>
      </w:r>
      <w:r>
        <w:rPr>
          <w:rFonts w:hint="eastAsia"/>
          <w:sz w:val="28"/>
          <w:u w:val="single"/>
        </w:rPr>
        <w:t xml:space="preserve">年   月  </w:t>
      </w:r>
    </w:p>
    <w:p>
      <w:pPr>
        <w:pStyle w:val="Normal"/>
        <w:rPr>
          <w:rFonts w:hint="eastAsia"/>
          <w:sz w:val="28"/>
          <w:u w:val="single"/>
        </w:rPr>
      </w:pPr>
      <w:r>
        <w:rPr>
          <w:rFonts w:hint="eastAsia"/>
          <w:sz w:val="28"/>
          <w:u w:val="single"/>
        </w:rPr>
      </w:r>
    </w:p>
    <w:p>
      <w:pPr>
        <w:pStyle w:val="Normal"/>
        <w:rPr>
          <w:rFonts w:hint="eastAsia"/>
          <w:sz w:val="28"/>
        </w:rPr>
      </w:pPr>
      <w:r>
        <w:rPr>
          <w:rFonts w:hint="eastAsia"/>
          <w:sz w:val="28"/>
        </w:rPr>
      </w:r>
    </w:p>
    <w:p>
      <w:pPr>
        <w:pStyle w:val="Normal"/>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pPr>
        <w:pStyle w:val="Normal"/>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（选题的研究意义、国内外研究现状分析）</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1．选题的研究意义</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研究背景与问题提出</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式人工智能（AI）的发展为科研中的文献查找、阅读与分析提供了新的支持。传统文献工作主要依靠研究者通过数据库和搜索引擎检索资料，逐篇阅读、记录笔记并整合观点。如今，AI科研工具已开始帮助用户发现文献、提取信息、比较论文和组织研究主题，使部分原本需要人工完成的工作能够在人机协作中开展（Kang et al., 2023）。</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科研实践经验有限的新手，即使能够借助AI理解论文内容，也未必能够独立判断研究设计是否合理、结果是否足以支持结论。他们需要在阅读中学习检查研究方法、证据与结论之间的联系，并形成自己的判断。Meltzoff和Cooper（2018）强调，研究评价需要审查样本、设计、测量、分析和解释等具体环节，识别问题并说明理由。本研究所关注的文献批判性评价，是在理解论文内容的基础上，判断研究方法与结果能否支持作者的结论，并说明判断的依据。这既关系到新手如何使用已有研究，也关系到他们后续如何设计和解释自己的研究。已有研究开始探索AI和交互工具对这一学习过程的支持。例如，Yuan等（2023）发现，接受CriTrainer训练的学生，相比接受一般阅读指导的学生，能够在撤去工具后对新论文提出质量更高的批判性问题；Fang等（2026）发现，在论文阅读中加入AI观点交流，相比无AI阅读能够改善参与者的批判性思维得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与此同时，AI使用中的认知卸载及其学习后果也引起了广泛讨论。Gerlich（2025）发现，较频繁的AI工具使用与更多认知卸载及较低的批判性思维得分相关。Tian和Zhang（2025）对大学生的调查也发现，较高的AI依赖与较低的批判性思维水平相关。在学习情境中，Bastani等（2025）的随机实验发现，普通GPT辅助提高了高中生的数学练习表现，但撤去工具后的独立考试表现低于未使用AI的对照组，而面向学习的引导式设计缓解了这一负面效应。这些研究提示，工具支持下的表现改善与用户自身的学习收获需要加以区分，AI如何参与学习过程也值得进一步考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围绕AI如何引导学习者思考，已有研究将苏格拉底式追问融入对话Agent，要求学生澄清观点、说明理由并检验自己的判断。Xi等（2026）在研究方法课程中发现，相比非苏格拉底式Agent，苏格拉底式Agent支持下的小组研究方案质量更高，学生的反思性思维问卷得分也更高。Namaziandost和Teng（2026）在英语学习中比较苏格拉底式AI、通用AI与无AI三种条件，发现苏格拉底式AI组在批判性思维和论证技能的自评量表上提升更大。这些研究为采用追问支持学生推理提供了依据，但其评价主要围绕合作完成的研究方案或学习者的自报表现；前述论文阅读研究则侧重引言中的概括与提问，或AI观点交流的作用。对于需要检查整篇论文的研究方法、结果与结论依据的科研新手，苏格拉底式追问相较于通用AI帮助能否带来独立评价表现的改善，仍需直接检验。因此，本研究关注：苏格拉底式追问能否帮助科研新手在撤去AI后，更准确地识别研究缺陷，并解释这些缺陷为什么影响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为这种追问提供了学习理论依据。学习者需要主动组织材料，并将其与已有知识联系起来，形成自己的理解；自我解释是促进这一过程的重要学习活动，涉及生成推论、补充材料中未明示的联系及修正原有理解（Chi, 2000; Fiorella &amp; Mayer, 2016）。在论文评价中，追问“这一研究做法为什么影响结论”，就是引导学生联系原文信息与方法学知识，说明自己的判断如何成立。为帮助学生完成这些推理，本研究借鉴最近发展区的观点，根据其当前表现调整提示和讲解的程度，并在能够自主推进时减少支持（Vygotsky, 1978）。同时，Toulmin（2003）论证模型为追问内容提供框架，引导Agent检查主张、证据、连接二者的理由，以及判断成立的条件。由此，Agent通过针对性的追问与适度支持，促使学生自己建立证据与判断之间的联系，为提高缺陷识别与解释质量提供学习机会。</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基于上述研究与理论依据，本研究拟设计面向科研新手的苏格拉底式文献阅读Agent，围绕学生的疑问与判断追问证据、理由和结论边界，并根据其困难提供适度支持。在基础AI能力一致的条件下，将其与通用Agent辅助阅读进行比较，同时设置无AI独立阅读组，考察训练后撤去工具时的缺陷识别与解释质量。研究将检验持续追问相较于通用AI帮助是否带来额外的学习收益，为理解AI支持方式与科研新手独立评价表现的关系提供证据。研究成果将为AI文献阅读工具提供设计依据，从而帮助科研新手提高批判性论文阅读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理论意义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实践意义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2．国内外研究现状分析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文献批判性评价的概念与测量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cione（1990）的专家共识将批判性思维描述为有目的、自我调节的判断，涉及解释、分析、评价、推论、说明和自我调节等技能。其中，分析证据与主张的联系、评价推断是否成立、说明判断的理由，与研究论文阅读直接相关。科研文献批判性评价需要将这些技能与具体的方法学知识结合。例如，学生不能仅凭论文提到“实验组”就接受因果结论，而应进一步检查分组方式、比较条件以及可能的替代解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文献批判性评价表现界定为：学习者在理解论文的基础上，识别具体、成立的研究缺陷，并结合文中信息解释该缺陷为什么影响研究判断的表现。相应地，评价重点包括缺陷识别与解释质量。论文内容概括作为理解表现单独测量，用于观察学生是否准确把握研究问题、方法、主要结果和作者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批判性思维技能与批判性思维倾向也需要分别测量。前者表现为在具体任务中能否作出有效判断；后者涉及是否愿意寻求理由、考虑证据和认真检查判断。CCTDI用于评价批判性思维倾向（Insight Assessment, n.d.）。本研究以实际论文任务作为主要结果测量，将初始倾向用于探索学习者差异。</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2.1.1 从内容理解到研究评价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理解为评价提供基础。研究者需要先确认作者提出的问题、变量如何测量、研究采用何种比较以及结果实际显示了什么，才能判断结论是否得到支持。概括得分能够呈现这类信息是否被正确理解，但完整概括一篇论文并不自动包含对证据质量的判断。相应地，批判性评价要求学习者进一步检查研究做法与推断之间的关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与“解释质量”也包含不同要求。学生可能发现了研究没有随机分组，却只能笼统地说“不够科学”；也可能只发现一个问题，但能明确解释原有差异如何形成替代解释。本研究将这两类表现分别计分，以观察训练是在扩展学生能够发现的问题范围，还是帮助其更充分地论证已经形成的评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价对象限定为研究中的具体问题及其对推断的影响。泛泛地要求“样本应更大”“方法应更多”并不足以说明缺陷成立；学生需要结合研究目标和实际信息解释为什么需要这样改进。研究评价还可能得出某项设计合理、某一批评不成立或现有报告不足以判断的结论。因此，训练中的对话围绕证据是否支持判断展开，测验则记录学生提出的有效缺陷与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2.1.2 基于研究报告的表现性测量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本研究拟从中选择篇幅、知识要求和评价难度相近的材料，形成训练与前后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仅计算发现的问题数量，还不能充分反映学生评价的质量。Timmerman等人（2011）开发的科学写作评分量规，将研究假设、设计、数据分析和讨论等环节转化为可观察的科学推理表现，强调评价理由与证据之间的联系。Arriagada Anabalón等人（2026）依据批判性思维框架，对师范生学术写作中的解释、分析、说明和评价分别评分，并报告独立评分的一致性。该研究为解释质量分档提供了参考，其固定任务顺序且缺少对照组的设计，也提示学习效果需要结合合适的比较条件判断。</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据此，本研究拟以“有效缺陷数占预设有效缺陷总数的比例”反映缺陷识别击中率，以有效缺陷解释的平均得分反映解释质量，并补充计算有效缺陷占全部所提不同缺陷的比例，即缺陷识别精确率。三者分别回答发现了多少有效问题、解释得怎么样，以及提出的批评中有多少成立。评分标准将结合具体论文、专家评析与试评结果制定。</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2.1.3 测量依据与本研究指标的对应</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文献为本研究提供的是相互补充的测量依据。Sternberg和Sternberg（2017）支持让学生以开放文本评价模拟研究；Meltzoff和Cooper（2018）为选择文章、梳理研究问题及核对评价依据提供材料基础；Timmerman等人（2011）和Arriagada Anabalón等人（2026）为根据证据与推理质量划分表现水平提供参考；CriTrainer则展示了把内容概括与批判性阅读产出分开评价的实验思路（Yuan et al., 2023）。</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据此编制与所选文章相匹配的评分手册。手册既说明哪些问题成立，也说明何种文字足以体现学生识别了该问题，以及解释达到不同水平时有哪些可观察特征。采用四位评分者独立盲评和一致性分析，使评分依据能够在不同参与者、不同时间的回答之间保持一致。具体计分与质量控制安排在研究方案中展开。</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国内相关实证研究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AI使用与批判性思维的关系</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近年的调查研究表明，AI使用与批判性思维的关系需要结合使用方式考察。戚佳等人（2024）基于1,781份高校学生问卷，发现使用生成式AI工具的学生以及持续使用者，在批判性思维与自主学习能力指标上表现较好；同时，多数学生向AI提出的问题仍以封闭式问题为主。这说明“是否使用AI”之外，还需要关注学生在互动中完成了什么思考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两项研究均提示，使用AI不能简单等同于认知能力的提高或降低。问卷能够揭示学生使用行为与自报能力的关联，而要判断具体支持方式的学习效果，还需要控制条件的实验与实际任务测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苏格拉底式支持与人机互动设计</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研究已从使用情况调查推进到提问支架和对话系统设计，但结果并不一致：部分研究观察到提问或对话质量改善，也有研究未发现批判性思维的显著组间差异。这些差异提示，应把干预策略、训练任务与测量对象对应起来。对于科研新手，学生能否在无AI条件下识别研究缺陷并解释理由，是比一般使用体验或互动频次更直接的学习结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国外及国际合作相关实证研究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科学论文阅读训练与表现性评价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将批判性阅读转化为有依据的论证产出，为本研究评价学生理由的质量提供了参考，也说明理解内容之后的讨论与修订值得纳入训练设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研究采用的结果并不相同：阅读策略问卷关注学生认为自己怎样阅读，阅读测验和论证评分则关注学生实际完成了什么。本研究采用论文任务评价缺陷识别与解释质量，并将概括得分单独记录，以观察内容理解与研究评价的不同变化。</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AI辅助表现与独立学习结果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国际合作研究进一步说明，评价AI支持时应同时考虑有工具的产出和学习者自身获得的知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对于本研究，这些发现支持将训练中的帮助与后测独立表现分别测量，并保持两个AI组的信息条件一致。</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面向论文阅读的AI训练系统</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两项研究使论文阅读工具的评价从满意度延伸到独立表现，也提供了不同的训练活动：概括与自主提问、章节作答与反馈修订。本研究进一步围绕学生对研究方法和结论的判断展开连续讨论，既考察能否发现有效缺陷，也考察是否能够说明缺陷成立的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苏格拉底式Agent的效果及实现</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与本课题的接近之处，在于将追问落实到研究问题、变量、操作定义和方法选择。</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本研究借鉴其任务化追问与跨轮记忆，并在实验中进一步统一两个AI组的模型条件，以个人独立论文评价作为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围绕理由、文本证据、替代解释及观点限定进行追问，并借助Toulmin模型组织论证内容。这些结果主要来自改编量表与参与者反馈，说明学习者在该教学情境下的自报思维与论证表现有所改善。其设计将追问理由、要求文本证据、提出反例和限定判断联系起来，并根据上轮回应调整后续问题；当学生难以继续时提供提示，能够自主完成时减少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为本研究提供了两项具体借鉴：一是设置通用AI和无AI两个比较条件，分别了解教学互动策略与AI支持整体的作用；二是围绕学生当前论证选择追问内容，将“为什么这样认为”落实到具体依据、隐含前提和替代解释。其任务发生在外语学习中，本研究将这些设计原则转化为科研论文中的方法与证据检查，并采用实际表现评价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但尚不能将效果单独归于某一对话策略。本研究因此保持两个AI组的底层模型、材料及工具条件一致，将主要差异设置为教学互动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在实现层面，Shi等人（2026）的LFTutor依据论证内容与学生回应选择教学意图，并记录未解决的分歧，自动评价及20名参与者的人类评价主要支持其导师对话质量。Hugenroth等人（2026）的Critical Inker预印本则将论证结构分析、可视化反馈与苏格拉底式对话用于写作，报告技术评价和初步试用结果。这类工作为“理解当前论证—选择追问对象—继续反馈”的实现提供参考，但对话质量与技术指标仍需和独立学习结果分别评价。</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相关系统设计与评价的综合比较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已有系统对“支持思考”的实现方式存在差异。CriTrainer主要把批判性阅读分解为概括与提问活动；Fang等人（2026）把思考组织为章节问题、作答、反馈与修订；S-ICA、Socrat.ai和Namaziandost与Teng（2026）的系统更强调持续对话；LFTutor和Critical Inker则进一步将论证分析与下一步对话策略联系起来。这些差异有助于明确本研究究竟要设计哪种交互。</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  相关系统的支持方式与验证内容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研究或系统</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学习活动与支持方式</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主要验证内容</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对本研究的设计启示</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CriTrainer（Yuan et al., 2023）</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概括辅助、关键内容提示、自主提出批判性问题</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无工具前后测中的概括及问题质量</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用独立阅读产出评价训练，并把理解与评价分开</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Fang等（2026）论文阅读系统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章节问题、用户作答、AI反馈和修订</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两周使用及独立前后测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将讨论与论文具体位置关联，反馈后保留修订机会</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S-ICA（Xi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围绕研究方案的澄清、理由与改进追问</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知识、方案、反思量表和对话过程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围绕研究任务组织提示，保留跨轮判断与设计选择</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Namaziandost和Teng（2026）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理由、证据、反例与限定条件的自适应对话</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三组学习比较及量表、访谈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在共同任务下比较三种支持方式，按论证需要调整追问</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Socrat.ai（Yurt,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自适应追问、跨轮记忆和写作反馈</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十周课程中的技能、倾向与动机</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将追问与反馈结合，联系学生先前的判断</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LFTutor（Shi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论证分析、教学意图选择、策略执行与检查</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自动评价、消融及真人对话评价</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让策略选择有明确依据，并检查实际回复是否执行该策略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Critical Inker（Hugenroth et al., 2026）</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论证结构分析、原文定位、问题计划和对话反馈</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技术指标及小规模试用</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围绕具体支持关系展开讨论，避免连续重复已回答的问题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些研究也说明，系统评价需要覆盖不同层面。论证抽取准确、追问策略执行稳定，是系统能够正常工作的条件；用户愿意讨论、认为提示清楚，是可用性和体验证据；学生撤去工具后能否独立发现并解释研究缺陷，则需要单独的学习实验。本研究将这三类工作分别安排到产品开发、可用性测试和效果实验之中。</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Agent设计的理论依据</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生成性学习与自我解释</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强调学习者主动建立意义。Wittrock（1974/2010）指出，理解涉及学习者在材料各部分之间、以及材料与已有知识之间生成联系。Fiorella和Mayer（2016）进一步从选择、组织和整合信息的角度解释生成性学习活动：学习者选择重要内容，将其组织成有意义的关系，并与已有知识联系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我解释是实现这种加工的一种活动。学习者为自己解释材料中的关系、原理或推理过程，补充文本没有直接说明的联系，并修正原有理解。Chi等人（1994）通过提示学生进行自我解释，发现其文本理解优于未接受相应提示的条件；Chi（2000）进一步从生成推论和修复心理模型两个过程解释自我解释的作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科研文献评价中，学生说“分组不合理”只表达了结论；如果进一步说明“参与者自行选择是否接受干预，原有动机可能同时影响分组和结果，因此观察到的差异不能直接归因于干预”，就建立了研究做法、方法学原则和推断结果之间的联系。本研究拟通过“原文依据在哪里”“这一做法为什么影响结论”“还有什么解释可能成立”等问题，引导学生完成这些联系。Agent随后根据学生生成的解释继续提供反馈，使学生有机会完善推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与自我解释之间可以理解为总体加工要求与具体学习活动的关系。选择、组织和整合说明学习者需要怎样处理信息，自我解释则让学习者把这些联系表达出来。例如，在阅读一项自愿参加的培训研究时，选择是注意到分组方式和结果差异，组织是把两组的形成过程与比较结果联系起来，整合则是运用已有的混淆变量知识解释为什么差异未必由培训造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种解释能够由问题引发。Agent询问“除了培训，还有什么可能造成两组成绩不同”，使学生从结果描述转向替代解释；继续询问“你为什么认为这个因素会同时影响参加培训和考试成绩”，则要求学生把替代解释的作用路径说清楚。如果学生随后发现自己把观察到的差异直接当成了因果作用，并据此修改判断，就发生了对原有理解的修正（Chi, 2000）。</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  生成性加工与追问设计的对应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生成性加工</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科研论文阅读中的表现</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Agent如何引导</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可观察的学生回应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选择重要信息</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识别与当前结论有关的方法、结果或限制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询问判断针对哪项结论、原文依据在哪里</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指出相关段落、变量、比较条件或结果</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组织信息关系</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联系研究问题、做法、证据与结论</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询问某项做法如何影响证据或推断</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说明信息之间的支持、限制或矛盾关系</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整合已有知识</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运用方法学原则解释具体研究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询问为什么适用某条原则、适用条件是什么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把研究情境与概念或原则连接起来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生成推论和修正理解</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补出隐含前提，比较替代解释，调整结论</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追问未说明的前提、可能反例及修正理由</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提出有依据的新联系并说明判断为何变化</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自我解释的观察以学生是否生成了理解所需的联系为重点。单纯重复AI刚给出的结论、复述论文原句或增加发言长度，都可能没有补充新的推理。因而，Agent在反馈时需要关注学生具体建立了什么关系，在过程分析中也要区分自主生成、提示后生成和复述AI内容。研究通过这一对应关系，将学习理论转化为可执行的追问目标。</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最近发展区与自适应支架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Vygotsky（1978）用最近发展区描述学习者当前独立完成的水平与在适当指导或合作下能够达到的水平之间的距离。这一观点启发本研究根据学生实际困难调整支持程度。当学生已有判断但理由不足时，可以通过追问保留其自行推理的空间；当学生缺少必要概念时，应先提供讲解；当学生已能定位依据并说明关系时，则减少相应提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这一原则落实为开放引导、方向提示、具体支持和必要讲解四种帮助程度。Agent根据回应与求助调整支持，而不要求每次对话依次经过所有层级。帮助的目标是使学生能够继续分析和解释，并逐步承担原先需要支持才能完成的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本研究中，自适应主要体现为对帮助程度的调整。一个学生可能已经知道研究是观察性的，却不清楚这一点对因果解释意味着什么；另一个学生可能连“随机分配”与“随机抽样”都尚未区分。前者适合被追问推断依据，后者需要先获得概念说明。依据学生的实际回应选择支持，可以让讨论集中在当前可推进的问题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也随同一学生的讨论进展变化。最初需要Agent定位方法段落的学生，后续若已经能够自行查找相关信息，系统就不再重复提供定位线索；对于已经解释清楚的关系，系统确认后转向新的疑问。最近发展区在此提供调整支持的理论原则，四级帮助及停止规则是本研究结合阅读任务提出的具体实现方案。</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Toulmin论证模型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Toulmin（2003）的论证模型区分主张、依据、连接依据与主张的论证理由、对理由的支持、限定条件与反驳。它为检查“有什么证据”“证据为什么支持判断”“判断在什么条件下成立”提供了具体框架。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该模型用于组织追问内容，并辅助判断下一步教学动作。Agent首先区分作者的研究主张与学生对论文的评价，再检查当前论证中需要澄清的部分。例如，对“这个样本太小，所以研究无效”的评价，可以先询问学生认为哪种推断受到影响，再讨论样本量、估计不确定性与结论强度之间的关系。论证模型由此将笼统的“批判性提问”转化为针对依据、推理和边界的追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也帮助区分两层论证。一层是作者如何从研究结果提出结论，另一层是学生如何依据文章信息评价作者的结论。Agent首先确认当前讨论对象，再分析该层论证中需要检查的联系。例如，作者认为培训提高成绩，学生则认为这一因果判断证据不足。此时系统既要帮助学生准确理解作者的证据，也要检验学生提出的批评本身是否成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  Toulmin论证成分与论文评价</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论证成分</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在论文评价中的含义</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需要解释的关系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主张（Claim）</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作者的研究结论或学生的评价判断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当前到底在肯定、否定或限定什么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依据（Data/Grounds）</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方法、数据、结果及文中的具体陈述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哪些文章信息支持这一判断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论证理由（Warrant）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把依据与主张连接起来的推断原则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为什么这些信息能够支持或限制结论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支持（Backing）</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使方法原则合理且适用的知识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为什么该原则适用于当前研究情境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限定（Qualifier）</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结论的范围、强度和条件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评价应当限定到什么程度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反驳或例外（Rebuttal）</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替代解释、反证及可能改变判断的情形</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在什么情况下当前判断需要修改</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把这些成分作为理解学生论证和选择追问的参照。对于已经说明依据的回答，下一步可集中在依据与结论的联系；对于理由完整但结论过强的回答，则讨论限定条件。这样的策略选择可以记录为当前讨论对象、已有依据、待澄清关系与拟采取的教学动作，并由模型生成自然语言回复。论证成分服务于对话推进，学生无需先学习整套术语再开始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项理论依据承担相互衔接的作用：生成性学习与自我解释说明希望学生完成什么加工；最近发展区指导帮助程度的调整；Toulmin模型规定需要检查和讨论哪些论证关系。本研究据此形成Agent设计，并通过独立任务表现与对话过程记录考察设计效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研究述评与本研究问题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据此将问题落实为：如何围绕论文原文、方法学原则及学生当前判断形成连续而适度的追问；这种支持相较于通用Agent和独立阅读，能否改善撤去AI后的缺陷识别与解释质量。研究依次开展设计依据与需求分析、Agent开发与可用性测试及三组效果实验，并探索初始批判性思维倾向与训练收益的关系。</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二、研究方案</w:t>
            </w:r>
          </w:p>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1．研究目标、研究内容和拟解决的关键问题</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研究目标与研究内容</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表4  三个研究的内容与阶段产出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主要研究内容</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采用的方法</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阶段产出及用途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研究一：设计依据与需求分析</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梳理支持科研新手评价论文的理论与系统，了解真实阅读中的困难和支持需要</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文献梳理、同类工具比较、6—8人半结构化访谈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形成设计依据、典型困难和功能要求，指导Agent规则与界面设计</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研究二：产品开发与可用性测试</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将追问内容、帮助程度和跨轮讨论规则转化为可运行系统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原型与Agent开发、两轮各5—6人的可用性测试</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形成正式实验可用的系统、交互规范及迭代记录</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研究三：效果实验</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检验三种辅助方式对独立缺陷识别、解释质量和概括表现的影响</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4人预实验、三组随机前后测实验、盲评及统计分析</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形成独立表现证据、过程描述及产品设计建议</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拟解决的关键问题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研究问题与假设</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RQ1：苏格拉底式Agent辅助阅读能否提升科研新手在撤去AI后的文献批判性评价表现？</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H1a：控制对应前测及材料顺序后，苏格拉底式Agent组的后测缺陷识别击中率高于通用Agent组。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H1b：控制对应前测及材料顺序后，苏格拉底式Agent组的后测缺陷识别击中率高于无AI组。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H1c：控制对应前测及材料顺序后，苏格拉底式Agent组的后测平均解释质量高于通用Agent组。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H1d：控制对应前测及材料顺序后，苏格拉底式Agent组的后测平均解释质量高于无AI组。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RQ2：不同辅助方式是否影响科研新手对论文内容的理解表现？本研究控制前测概括得分与材料顺序，比较三组后测论文内容概括表现，不预设组间差异方向。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3：初始批判性思维倾向是否调节苏格拉底式Agent相对通用Agent的训练效果？该问题作为探索性分析。H3a：初始倾向越低，苏格拉底式Agent相对通用Agent在后测缺陷识别击中率上的优势越大。H3b：初始倾向越低，苏格拉底式Agent相对通用Agent在后测平均解释质量上的优势越大。其依据是，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表5  研究问题与测量指标的对应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研究问题</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对应结果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主要比较或检验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RQ1：独立批判性评价能否改善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缺陷识别击中率、平均解释质量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每个指标比较苏格拉底组与通用组、无AI组，对应H1a—H1d</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RQ2：内容理解是否受到影响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控制前测概括得分后比较三组后测</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RQ3：初始倾向是否影响收益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两个主要结果与CCTDI总分</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检验苏格拉底组相对通用组的优势是否随初始倾向变化，对应H3a、H3b</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2．拟采取的研究方法（或技术路线、实验方案）、安全论证及可行性分析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总体技术路线</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研究一 设计依据与需求分析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研究目的与方法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同类工具比较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表6  同类工具比较维度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比较维度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具体记录内容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用户与任务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面向谁，训练概括、提问、论证还是研究设计</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确定科研新手论文评价任务的范围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材料与上下文</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能读取全文、选中文本、图表或用户笔记中的哪些内容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确定Agent接入信息及原文定位方式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对话入口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由章节问题、用户疑问、已有判断或预设活动启动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设计多种进入讨论的方式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追问与反馈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怎样根据回答继续追问，何时给解释或直接反馈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形成教学动作与选择规则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帮助调整</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是否区分开放问题、方向提示和具体线索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形成自适应帮助层级</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是否保留已解释内容、分歧及未解决问题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减少重复，支持连续讨论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是否支持求助、暂停、跳过和返回原文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明确节奏控制与退出入口</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评价方法</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系统性能、使用体验、学习过程及独立结果分别怎样测</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确定开发测试和效果实验的分工</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2.2.3 参与者招募与访谈准备</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2.2.4 访谈流程与提纲</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表7  半结构化访谈流程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阅读背景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了解课程基础、科研经历、平时阅读任务及AI使用情况</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回顾具体经历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约10分钟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围绕准备的论文重述阅读过程，定位困难及当时采取的行动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讨论关键困难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10—15分钟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追问内容理解、证据定位、评价形成与理由说明中的问题</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讨论支持方式</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结合具体情境了解需要解释、提示还是追问，以及希望怎样控制节奏</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确认与补充</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约2分钟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确认主要困难和未解决问题，补充遗漏信息</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表8  访谈提纲及对应设计决策</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关注点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访谈问题示例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对应设计决策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阅读目标与过程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当时为什么读这篇？先看了哪里，后来为什么跳到这里？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Agent如何了解当前任务，怎样衔接原文与对话</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内容理解困难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这里当时哪里没看懂？后来怎么弄懂的？</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哪些情境需要先解释术语、概念或研究步骤</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研究判断形成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为什么认为这里有问题或没有问题？哪些信息支持这个判断？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怎样接住用户已有判断并追问依据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推理中的困难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从这些信息到判断，中间哪一步最拿不准？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是追问推理联系，还是补充方法知识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核对与修正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有没有回看其他部分或改变判断？是什么促成变化？</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怎样支持原文核对、替代解释与判断修正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AI帮助的使用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看完这段回复后，你接着做了什么？还有什么没解决？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现有回复是否帮助用户继续分析</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帮助程度与节奏</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如果当时先问一个问题，你能继续吗？还需要什么支持？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何时给方向、具体线索、讲解或结束讨论</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2.2.5 资料分析与设计要求形成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表9  阅读困难的辨别与支持方式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候选困难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需要进一步辨别的情况</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可能对应的支持</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看不懂术语和方法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缺少基础知识，还是文章表达不清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概念解释、句子澄清或研究步骤说明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找不到相关信息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不知道在哪里找，还是找到后仍不理解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原文定位或联系上下文解释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不知道如何评价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缺少检查方向，还是知道原则却不会应用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中性方向提示或方法适用性追问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提出批评但说不清理由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推理尚未建立，还是已有理解但表达困难</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追问推理联系或帮助整理已有解释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不知道批评是否成立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是否核对原文、寻找反证或寻求帮助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证据检查、替代解释和判断限定</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阅读中断或负担过高</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材料太难、信息过多，还是追问打断阅读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调整帮助程度、回复长度及控制入口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研究二 Agent开发与可用性测试</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产品定位与基本功能</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表10  两个Agent的信息与功能条件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输入或功能</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通用Agent</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苏格拉底式Agent</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论文全文、统一译文和图表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段落编号与引用定位能力</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当前用户对话、主动发送的选中文本和笔记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专家评析、预设缺陷清单和评分答案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联网或外部检索</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正式实验版本与另一组保持一致；初版关闭外网检索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同左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教学互动规则</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按请求提供解释、总结、答疑和分析</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分析当前论证，自适应追问并提供必要帮助</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tc>
      </w:tr>
      <w:tr>
        <w:trPr>
          <w:cantSplit/>
        </w:trPr>
        <w:tc>
          <w:tcPr>
            <w:tcW w:w="10440" w:type="dxa"/>
            <w:vAlign w:val="top"/>
            <w:tcMar>
              <w:top w:w="0" w:type="dxa"/>
              <w:bottom w:w="0" w:type="dxa"/>
              <w:left w:w="160" w:type="dxa"/>
              <w:right w:w="160" w:type="dxa"/>
            </w:tcMar>
          </w:tcPr>
          <w:p>
            <w:pPr>
              <w:pStyle w:val="Heading4"/>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从理论到交互规则</w:t>
            </w:r>
          </w:p>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表11  理论依据与交互规则的对应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理论或框架</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设计中的作用</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具体交互安排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生成性学习与自我解释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促使学生组织信息，并连接研究做法、方法原则与结论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追问依据为什么支持判断，保留关键推理让学生完成，再依据回答反馈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最近发展区与自适应支架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根据当前困难调整帮助程度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在开放引导、方向提示、具体支持和必要讲解之间调整，能够自主完成时减少提示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Toulmin论证模型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组织追问内容，分析论证中尚不清楚的联系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检查主张、依据、论证理由、支持、限定条件与反驳</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表12  学生进入讨论的方式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学生进入讨论的方式</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Agent如何回应</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讨论如何继续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不理解内容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解释术语、句子或研究步骤，并关联原文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理解得到澄清后，按需要联系到研究判断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已经形成判断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确认判断对象，检查原文依据和推理联系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针对尚不充分的关系追问，讨论结论边界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不知道从哪里开始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邀请选择一处结论或不确定之处；仍困难时提供中性检查方向</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从选定问题开始检查依据，逐渐形成自己的判断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下表把学生表现、教学动作与希望诱发的自我解释对应起来，作为Agent提示规则和后续交互检查的依据。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表13  学生表现、教学动作与生成性加工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学生当前表现</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Agent的教学动作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希望学生完成的加工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作出判断但没有依据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追问相关原文及其作用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把判断与具体信息联系起来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有依据但缺少推理联系</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补出证据与结论之间的推理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判断依赖未说明的前提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询问结论成立需要满足的条件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将隐含前提明确化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机械使用方法学原则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追问原则的含义及在本研究中的适用性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把方法知识与具体情境整合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只考虑一种解释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邀请提出其他解释，并核对是否与证据相容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比较解释并检查原有判断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发现矛盾后改变判断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请学生说明修正内容与理由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修复原有理解并形成更充分的解释</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已经给出充分解释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确认其依据和推理，允许结束或转向下一问题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保留已完成的思考，避免重复</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自适应帮助与每轮流程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表14  自适应帮助程度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帮助程度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Agent提供什么</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学生保留的任务</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开放引导</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提出问题，不指定检查方向</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自行选择依据并组织解释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缩小检查范围，如关注组间可比性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判断哪些信息有关，说明其作用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具体支持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指向有关段落、表格或需要比较的信息</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完成关键推断并形成评价</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必要讲解</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解释所缺概念、示范局部推理；必要时直接解释当前问题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结合文章理解讲解，尝试重新组织判断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表15  Agent每轮交互流程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每轮环节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确定讨论对象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明确涉及的作者结论、研究做法或学生评价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当前主题、相关段落与用户意图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核对理解和依据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检查原文是否支持当前理解，必要时先澄清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已确认信息与待核对信息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判断主张、依据、理由或限定条件中哪部分需要推进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已有论证及待澄清关系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在澄清、追问、提示、讲解、确认和结束之间选择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本轮动作及选择依据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确定帮助程度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根据回答、求助和已有提示调整支持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当前帮助层级与已提供线索</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生成并检查回复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生成自然语言，核对事实、引用及策略执行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最终回复、引用位置及检查结果</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更新讨论状态</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保存学生新生成的解释、修正和未解决问题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后续对话可用的跨轮记录</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交互示例与开发检查</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表16  苏格拉底式对话示例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对话进展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回复或行动示例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学生接受作者结论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学生：“培训组分数更高，说明培训有效。”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确认学生已经形成判断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Agent核对依据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“文章中的两组是怎样形成的？这与你刚才的判断有什么关系？”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引导关注与因果判断有关的方法信息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学生找到分组信息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学生：“是学生自己决定是否参加，但我不知道这有什么影响。”</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识别其已有依据而缺少推理联系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Agent给方向提示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“参加之前，两组可能在哪些方面就不一样？这些差异会影响考试成绩吗？”</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缩小范围，保留替代解释让学生生成</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学生：“愿意参加的人可能本来就更有动力，动力也可能让成绩更高。”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把分组方式、第三变量与结果联系起来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Agent追问判断边界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“如果存在这种可能，你会怎样修改‘培训提高了成绩’这个说法？”</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引导区分观察差异与因果结论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学生修正判断</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学生：“现在只能说明参加者成绩更高，还不能确定差异来自培训。”</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形成有理由且有限定的评价</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表17  开发检查情境与预期表现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检查情境</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预期表现</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调整方向</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用户请求基础概念解释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给出与原文有关、便于理解的说明</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修改入口识别与概念解释规则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用户判断正确但理由不足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围绕缺失关系继续追问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明确当前推理目标，减少泛泛提问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用户提出不成立的批评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回到原文检验依据及方法原则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改善事实核对，避免直接附和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用户已经充分解释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确认并允许转向下一问题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完善结束条件与记忆更新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用户多次求助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提供更具体线索或必要讲解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调整帮助层级的选择</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用户切换或停止讨论</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执行其选择并保留已有记录</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完善用户控制与状态切换</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可用性测试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表18  可用性测试观察内容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测试方面</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重点观察</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主要资料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阅读与对话操作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能否找到段落、发送选中文本、查看回复并返回原文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操作成功、错误、求助及录屏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追问可理解性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是否明白问题并知道怎样回应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澄清请求、答非所问与回顾说明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追问与困难的匹配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需要解释时是否得到解释，有判断时是否围绕依据讨论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对话片段与访谈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帮助程度适切性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提示是否过于笼统、直接或冗长，卡住时是否得到支持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停滞、重复提问、请求讲解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对话连续性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是否联系已经表达的判断，避免重复追问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跨轮记录与用户反馈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节奏与控制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能否请求提示、讲解、切换或结束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操作记录与回顾访谈</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总体可用性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系统是否易于学习和使用</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SUS及开放意见</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研究三 效果实验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设计与参与者</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表19  随机分组与材料顺序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757"/>
              <w:gridCol w:w="1417"/>
              <w:gridCol w:w="1417"/>
              <w:gridCol w:w="2494"/>
              <w:gridCol w:w="2835"/>
            </w:tblGrid>
            <w:tr>
              <w:trPr>
                <w:cantSplit/>
                <w:tblHeader/>
              </w:trPr>
              <w:tc>
                <w:tcPr>
                  <w:tcW w:type="dxa" w:w="175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前测顺序一</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前测顺序二</w:t>
                  </w:r>
                </w:p>
              </w:tc>
              <w:tc>
                <w:tcPr>
                  <w:tcW w:type="dxa" w:w="249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训练材料及支持</w:t>
                  </w:r>
                </w:p>
              </w:tc>
              <w:tc>
                <w:tcPr>
                  <w:tcW w:type="dxa" w:w="28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后测</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B，独立阅读</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B，通用Agent辅助</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苏格拉底式Agent组，目标有效30人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B，苏格拉底式Agent辅助</w:t>
                  </w:r>
                </w:p>
              </w:tc>
              <w:tc>
                <w:tcPr>
                  <w:tcW w:type="dxa" w:w="28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材料准备与预实验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表20  实验材料准备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材料准备项目</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形成的文件或记录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文章A、B、C选择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篇幅、方法知识、结构及评价难度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材料匹配说明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统一译文与图表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术语、数值、统计表述和上下文一致</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参与者阅读版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段落编号、表格标识与引用对应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两个Agent共享的材料版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候选缺陷整理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依据、成立理由、相互重复及独立性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每篇文章的候选缺陷表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专家审查</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缺陷是否成立、边界是否清楚、难度是否适合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修订后的缺陷清单和评分依据</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代表性答案</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概括及解释不同分档的典型特征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评分训练材料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表21  预实验检查与调整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预实验重点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观察与检查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可能的调整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任务理解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能否区分概括与评价，是否知道需要结合原文说明理由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修改指导语和界面提示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材料难度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术语是否超出基础，回答是否过度集中于最低或最高水平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调整候选材料及译文</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时间与疲劳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各阶段完成进度、休息需要及后半程状态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固定适合的时限和休息安排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三组训练活动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无AI组是否有可持续的研读任务，AI是否帮助或打断讨论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调整任务说明、材料和交互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Agent表现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原文理解、回复准确性、帮助程度和重复追问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修订提示和对话规则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评分可执行性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缺陷能否划分，分档是否清楚，评分耗时是否可行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补充示例并修订评分手册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数据完整性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文本、笔记、问卷、日志与阶段权限是否正确保存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修复记录与权限问题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自变量与控制变量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（1）自变量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表22  三组训练条件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训练阶段的支持</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参与者开展的活动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论文、统一译文、基础阅读、标注和笔记工具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独立阅读、回看、核对依据并记录判断与疑问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相同基础工具，加通用Agent</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可请AI解释、总结、答疑和分析，并围绕论文讨论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相同基础工具与底层模型，加自适应追问规则</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与AI讨论判断，通过追问和必要提示检查、完善理由</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（2）控制变量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表23  实验控制安排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控制方面</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具体安排</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参与者资格与分组</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材料与任务</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材料顺序</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时间与施测环境</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操作培训与实验员支持</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 AI 组的技术与信息条件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测验期间的工具限制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评分程序</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2.4.4 实验流程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表24  训练当天流程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98"/>
              <w:gridCol w:w="1474"/>
              <w:gridCol w:w="6350"/>
            </w:tblGrid>
            <w:tr>
              <w:trPr>
                <w:cantSplit/>
                <w:tblHeader/>
              </w:trPr>
              <w:tc>
                <w:tcPr>
                  <w:tcW w:type="dxa" w:w="209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w:t>
                  </w:r>
                </w:p>
              </w:tc>
              <w:tc>
                <w:tcPr>
                  <w:tcW w:type="dxa" w:w="147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暂定时长</w:t>
                  </w:r>
                </w:p>
              </w:tc>
              <w:tc>
                <w:tcPr>
                  <w:tcW w:type="dxa" w:w="6350"/>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说明与界面熟悉</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用不涉及正式材料的示例介绍操作</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独立阅读A或C，完成研究概括与研究评价</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暂停任务，不讨论文章</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分组工具说明</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熟悉所属阅读工具与Agent入口</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三组研读论文B，按共同任务要求记录判断、依据或疑问</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主观任务负荷</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完成NASA-TLX六个维度评分</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训练后休息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暂停任务，不查看AI、笔记或评析</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后测规则提醒</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确认独立完成的要求</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独立阅读另一篇C或A，完成相同类型任务</w:t>
                  </w:r>
                </w:p>
              </w:tc>
            </w:tr>
            <w:tr>
              <w:trPr>
                <w:cantSplit/>
              </w:trPr>
              <w:tc>
                <w:tcPr>
                  <w:tcW w:type="dxa" w:w="209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收尾</w:t>
                  </w:r>
                </w:p>
              </w:tc>
              <w:tc>
                <w:tcPr>
                  <w:tcW w:type="dxa" w:w="147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确认完成情况并结束实验</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表25  前后测内部流程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测验内环节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任务与可使用的信息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浏览文章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查看标题、摘要、章节与图表，了解结构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通读文章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7分钟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阅读研究问题、方法、结果和讨论，可标记与记笔记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重点回看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回看不清楚的研究步骤、数据和结论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研究概括</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说明研究问题、方法、结果和作者结论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识别研究缺陷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找出认为成立的问题，定位依据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解释批评理由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结合具体信息说明问题为什么影响研究判断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检查与提交</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检查、去重、修订并提交两项回答</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作答期间可回看当前文章</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2.4.5 因变量及其测量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（1）批判性评价表现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表26  因变量的操作性定义与计分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因变量及测量指标</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操作性定义</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计分方式</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指标用途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发现预设有效研究缺陷的比例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有效缺陷数÷该材料预设有效缺陷总数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批判性评价表现：平均解释质量</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对有效缺陷说明依据与推理的充分程度</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各有效缺陷解释分之和÷有效缺陷数，零有效缺陷记0</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批判性评价表现：缺陷识别精确率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所提出不同缺陷中成立的比例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有效缺陷数÷提出的不同缺陷总数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主要因变量的补充指标</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对研究问题、方法、结果和结论的准确把握</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依据整体标准评0—3分</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次要因变量</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对每项有效缺陷的解释按0—3分评价：</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表27  单个有效缺陷的解释质量评分标准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得分</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解释质量标准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0分 未形成有效解释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1分 部分解释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有相关理由和可成立成分，但依据不够具体或推理联系较弱，存在明显缺口</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 基本充分解释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使用基本准确、相关的信息，主要推理成立，但关键依据或某一联系未充分展开，需要少量补充</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 充分解释</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（2）论文内容概括表现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2.4.6 探索性调节变量与过程测量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（1）探索性调节变量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（2）任务负荷与过程测量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表28  训练过程记录与分析用途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过程记录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分析用途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自主生成解释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在AI给出对应推理前，学生主动连接依据、原则与结论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描述学生自主开展的推理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提示后生成解释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经开放问题、方向或具体线索后，学生补出关键联系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描述追问之后的学习活动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复述AI内容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重复已给出的理由，未增加可辨认的推理联系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与学生生成的解释区分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明确改变原有判断，并说明修改理由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描述理解修正过程</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追问依据、理由、替代解释、限定或提供讲解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检查两类Agent的互动差异</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帮助程度与推进</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提供哪些线索，之后是否出现新的解释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结合片段理解支持适切性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2.4.7 评分质量控制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表29  四位评分者的评分流程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评分阶段</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具体操作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形成的数据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划分与对应</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将回答划分为不同缺陷，与材料清单对应，标出清单外问题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缺陷单元、原文及清单编号</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有效性独立判定</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四人根据手册判断问题是否具体且成立</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每位评分者的0／1判定</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一致性检查与复核</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汇总独立判定，复核争议事实及方法问题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原始一致性指标与最终有效缺陷集合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质量独立评分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对统一后的有效缺陷逐项评解释分，并评价概括</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四位评分者的0—3分原始记录</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汇总参与者得分</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对质量评分取四人均值，再计算参与者指标</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前后测击中率、精确率、解释和概括得分</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2.4.8 数据整理与统计分析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主要分析写为以下两个模型，其中组别以虚拟变量表示，材料顺序编码为A→C或C→A：</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模型一：后测缺陷识别击中率＝截距＋组别＋前测缺陷识别击中率＋材料顺序＋误差。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模型二：后测平均解释质量＝截距＋组别＋前测平均解释质量＋材料顺序＋误差。</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表30  主要假设与预设比较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假设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结果模型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事先计划的比较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H1a</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H1b</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H1c</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H1d</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安全论证与可行性分析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2.5.1 研究伦理与数据管理</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2.5.2 实施条件与阶段安排</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3．本研究的特色与创新之处</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4．预期的论文进展和成果</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4.1 进度安排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表31  论文进度安排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4535"/>
              <w:gridCol w:w="3118"/>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时间</w:t>
                  </w:r>
                </w:p>
              </w:tc>
              <w:tc>
                <w:tcPr>
                  <w:tcW w:type="dxa" w:w="45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311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2026年10—11月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完成开题、补充文献与同类工具比较，开展研究一访谈</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开题报告、设计依据与需求分析</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2026年12月—2027年1月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开发阅读系统与Agent，完成两轮可用性测试</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可运行原型、交互规则与迭代记录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2027年2月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完成材料核对、评分者培训及预实验</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正式材料包、流程、评分手册</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2027年3月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招募并实施正式实验，同步整理数据与盲评</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实验数据、原始评分与过程记录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2027年4月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完成统计分析、过程分析与论文初稿</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分析结果、研究报告和论文初稿</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2027年5—6月</w:t>
                  </w:r>
                </w:p>
              </w:tc>
              <w:tc>
                <w:tcPr>
                  <w:tcW w:type="dxa" w:w="45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修改论文、完善系统说明并准备答辩</w:t>
                  </w:r>
                </w:p>
              </w:tc>
              <w:tc>
                <w:tcPr>
                  <w:tcW w:type="dxa" w:w="311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学位论文、系统与答辩材料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以上为拟定安排，具体节点与培养单位后续通知衔接。</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4.2 预期成果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预期形成以下相互对应的研究成果：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表32  预期研究成果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成果</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对应研究</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设计依据与需求分析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理论及同类工具比较、真实阅读困难、设计要求及依据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可运行的文献阅读Agent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原文定位、追问策略、自适应帮助、跨轮记录及共同阅读界面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可用性与迭代记录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两轮问题、用户反馈、SUS结果及修改前后证据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实验材料与评分手册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文章版本、统一指导语、缺陷依据、解释与概括评分规则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效果与过程分析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三组独立表现、探索性倾向调节及对话过程描述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学位论文与设计建议</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贯通设计依据、产品实现、可用性和学习效果的研究报告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全部研究</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4.3 经费安排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表33  研究经费预算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839"/>
              <w:gridCol w:w="1814"/>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项目</w:t>
                  </w:r>
                </w:p>
              </w:tc>
              <w:tc>
                <w:tcPr>
                  <w:tcW w:type="dxa" w:w="583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估算依据</w:t>
                  </w:r>
                </w:p>
              </w:tc>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金额（元）</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研究一访谈</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8人×30元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可用性测试</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12人×50元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预实验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15,000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评分劳务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100人×2次×4人×15分钟，30元／小时</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评分者培训</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4人×3小时×30元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360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专家咨询</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模型与运行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材料与杂费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机动经费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小计的10%</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583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26,400</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第一章 绪论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1.1 研究背景与问题提出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1.2 研究意义</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1.3 研究目标、内容与总体路线</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第二章 文献综述与理论基础</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2.1 科研新手的论文阅读与文献批判性评价</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2.2 文献批判性评价的任务与测量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2.3 AI辅助学习及独立学习结果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2.4 AI论文阅读工具与苏格拉底式Agent研究</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2.5 生成性学习与自我解释</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2.6 最近发展区、自适应支架与Toulmin论证模型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2.7 研究述评与研究问题</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第三章 研究一 设计依据与需求分析</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3.1 研究目的与方法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3.2 文献及同类工具比较</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3.3 参与者、访谈流程与分析方法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3.4 科研新手的阅读困难与支持需要</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3.5 Agent设计要求及其依据</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第四章 研究二 Agent开发与可用性测试</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4.1 产品定位与整体架构</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4.2 阅读界面、信息输入与原文定位</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4.3 论证分析与追问策略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4.4 自适应帮助和跨轮讨论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4.5 系统实现与开发检查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4.6 两轮可用性测试的方法、结果与迭代</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4.7 正式实验版本</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第五章 研究三 效果实验</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5.1 研究问题与假设</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5.2 实验设计、参与者与样本量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5.3 材料准备与预实验</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5.4 实验条件、变量测量与评分质量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5.5 实验流程与数据分析</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5.6 缺陷识别、解释质量及概括结果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5.7 探索性调节与训练过程分析</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第六章 综合讨论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6.1 不同辅助方式与独立文献评价表现</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6.2 追问、自适应支持与自我解释过程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6.3 科研新手阅读Agent的设计建议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6.4 研究局限与后续研究</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第七章 结论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参考文献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附录：访谈提纲、可用性测试材料、实验指导语、评分手册及Agent交互规则</w:t>
            </w:r>
          </w:p>
        </w:tc>
      </w:tr>
      <w:tr>
        <w:trPr>
          <w:cantSplit/>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四、主要参考文献</w:t>
            </w:r>
          </w:p>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b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b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b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b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W w:w="10440" w:type="dxa"/>
        <w:jc w:val="center"/>
        <w:tblInd w:w="0" w:type="dxa"/>
        <w:tblLayout w:type="fixed"/>
        <w:tblCellMar>
          <w:top w:w="0" w:type="dxa"/>
          <w:start w:w="108" w:type="dxa"/>
          <w:bottom w:w="0" w:type="dxa"/>
          <w:end w:w="108" w:type="dxa"/>
        </w:tblCellMar>
      </w:tblPr>
      <w:tblGrid>
        <w:gridCol w:w="10440"/>
      </w:tblGrid>
      <w:tr>
        <w:trPr/>
        <w:tc>
          <w:tcPr>
            <w:tcW w:w="10440" w:type="dxa"/>
            <w:tcBorders>
              <w:top w:val="single" w:sz="4" w:space="0" w:color="000000"/>
              <w:start w:val="single" w:sz="4" w:space="0" w:color="000000"/>
              <w:bottom w:val="single" w:sz="4" w:space="0" w:color="000000"/>
              <w:end w:val="single" w:sz="4" w:space="0" w:color="000000"/>
            </w:tcBorders>
            <w:vAlign w:val="top"/>
            <w:tcMar>
              <w:top w:w="100" w:type="dxa"/>
              <w:bottom w:w="100" w:type="dxa"/>
              <w:left w:w="160" w:type="dxa"/>
              <w:right w:w="160" w:type="dxa"/>
            </w:tcMar>
          </w:tc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right"/>
            </w:pPr>
            <w:r>
              <w:rPr>
                <w:rFonts w:ascii="Times New Roman" w:hAnsi="Times New Roman" w:eastAsia="宋体"/>
                <w:b w:val="0"/>
                <w:i w:val="0"/>
                <w:color w:val="000000"/>
                <w:sz w:val="24"/>
              </w:rPr>
              <w:t>导师签名：________________</w:t>
            </w:r>
          </w:p>
          <w:p>
            <w:pPr>
              <w:jc w:val="right"/>
            </w:pPr>
            <w:r>
              <w:rPr>
                <w:rFonts w:ascii="Times New Roman" w:hAnsi="Times New Roman" w:eastAsia="宋体"/>
                <w:b w:val="0"/>
                <w:i w:val="0"/>
                <w:color w:val="000000"/>
                <w:sz w:val="24"/>
              </w:rPr>
              <w:t>年       月       日</w:t>
            </w:r>
          </w:p>
        </w:tc>
      </w:tr>
    </w:tbl>
    <w:sectPr>
      <w:footerReference w:type="default" r:id="rId2"/>
      <w:footerReference w:type="first" r:id="rId3"/>
      <w:type w:val="nextPage"/>
      <w:pgSz w:w="11906" w:h="16838"/>
      <w:pgMar w:left="1797" w:right="1797" w:gutter="0" w:header="0" w:top="1440" w:footer="992" w:bottom="144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hint="eastAsia"/>
        <w:kern w:val="0"/>
      </w:rPr>
      <w:t xml:space="preserve"> </w: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7"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14.45pt;mso-position-horizontal:right;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settings.xml><?xml version="1.0" encoding="utf-8"?>
<w:settings xmlns:w="http://schemas.openxmlformats.org/wordprocessingml/2006/main">
  <w:zoom w:percent="90"/>
  <w:defaultTabStop w:val="425"/>
  <w:autoHyphenation w:val="true"/>
  <w:hyphenationZone w:val="0"/>
  <w:compat>
    <w:doNotExpandShiftReturn/>
    <w:doNotBreakWrappedTables/>
    <w:compatSetting w:name="compatibilityMode" w:uri="http://schemas.microsoft.com/office/word" w:val="15"/>
  </w:compat>
  <w:docVars>
    <w:docVar w:name="commondata" w:val="eyJoZGlkIjoiOGZkZDBjMDRhYjBmMDk5NzNhZWZmYTUxMWM2OGQ2ZjIifQ=="/>
  </w:docVars>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customStyle="1" w:styleId="Heading1">
    <w:name w:val="heading 1"/>
    <w:basedOn w:val="Normal"/>
    <w:pPr>
      <w:outlineLvl w:val="0"/>
    </w:pPr>
  </w:style>
  <w:style w:type="paragraph" w:customStyle="1" w:styleId="Heading2">
    <w:name w:val="heading 2"/>
    <w:basedOn w:val="Normal"/>
    <w:pPr>
      <w:outlineLvl w:val="1"/>
    </w:pPr>
  </w:style>
  <w:style w:type="paragraph" w:customStyle="1" w:styleId="Heading3">
    <w:name w:val="heading 3"/>
    <w:basedOn w:val="Normal"/>
    <w:pPr>
      <w:outlineLvl w:val="2"/>
    </w:pPr>
  </w:style>
  <w:style w:type="paragraph" w:customStyle="1" w:styleId="Heading4">
    <w:name w:val="heading 4"/>
    <w:basedOn w:val="Normal"/>
    <w:pPr>
      <w:outlineLvl w:val="3"/>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2023-04-25T09:09:00Z</dcterms:created>
  <dc:creator/>
  <dc:description/>
  <cp:keywords/>
  <dc:language>zh-CN</dc:language>
  <cp:lastModifiedBy>Jaelyn JIANG</cp:lastModifiedBy>
  <cp:lastPrinted>2007-01-08T11:41:00Z</cp:lastPrinted>
  <dcterms:modified xsi:type="dcterms:W3CDTF">2025-03-12T16:37:00Z</dcterms:modified>
  <cp:revision>3</cp:revision>
  <dc:subject>北京师范大学应用心理专业学位论文开题报告</dc:subject>
  <dc:title>苏格拉底式智能体辅助阅读对科研新手文献批判性评价表现的影响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2052-11.1.0.14309</vt:lpwstr>
  </property>
</Properties>
</file>