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9C4C" w14:textId="4A944212" w:rsidR="00AD09E6" w:rsidRPr="00AD09E6" w:rsidRDefault="00AD09E6" w:rsidP="00AD09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eastAsia="en-GB"/>
        </w:rPr>
        <w:t>#14:</w:t>
      </w:r>
      <w:r w:rsidRPr="00AD09E6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  <w:t xml:space="preserve"> Post</w:t>
      </w:r>
      <w:r w:rsidRPr="00AD09E6">
        <w:rPr>
          <w:rFonts w:ascii="Times New Roman" w:eastAsia="Times New Roman" w:hAnsi="Times New Roman" w:cs="Times New Roman"/>
          <w:b/>
          <w:bCs/>
          <w:color w:val="auto"/>
          <w:kern w:val="36"/>
          <w:sz w:val="36"/>
          <w:szCs w:val="36"/>
          <w:lang w:eastAsia="en-GB"/>
        </w:rPr>
        <w:noBreakHyphen/>
        <w:t xml:space="preserve">Shock Political–Economic Conditions </w:t>
      </w:r>
    </w:p>
    <w:p w14:paraId="4AF1F85C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en-GB"/>
        </w:rPr>
        <w:t>Outline</w:t>
      </w:r>
    </w:p>
    <w:p w14:paraId="3FD1B8B7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1. Introduction: Why March 2026 Matters</w:t>
      </w:r>
    </w:p>
    <w:p w14:paraId="6BA80F68" w14:textId="77777777" w:rsidR="00AD09E6" w:rsidRPr="00AD09E6" w:rsidRDefault="00AD09E6" w:rsidP="00AD0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Brief recap of the “shock events” shaping AMR systems (e.g., global funding shifts, domestic fiscal tightening, geopolitical instability, supply chain disruptions).</w:t>
      </w:r>
    </w:p>
    <w:p w14:paraId="2963FB33" w14:textId="77777777" w:rsidR="00AD09E6" w:rsidRPr="00AD09E6" w:rsidRDefault="00AD09E6" w:rsidP="00AD0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Why ministers need to reassess AMR priorities in light of new political–economic realities.</w:t>
      </w:r>
    </w:p>
    <w:p w14:paraId="7BA89516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2. Macroeconomic Shifts Affecting AMR</w:t>
      </w:r>
    </w:p>
    <w:p w14:paraId="0D6C6ABA" w14:textId="77777777" w:rsidR="00AD09E6" w:rsidRPr="00AD09E6" w:rsidRDefault="00AD09E6" w:rsidP="00AD0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Changes in national fiscal space across African countries.</w:t>
      </w:r>
    </w:p>
    <w:p w14:paraId="13470D1B" w14:textId="77777777" w:rsidR="00AD09E6" w:rsidRPr="00AD09E6" w:rsidRDefault="00AD09E6" w:rsidP="00AD0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Rising debt burdens and implications for health and agriculture budgets.</w:t>
      </w:r>
    </w:p>
    <w:p w14:paraId="27CE8CBE" w14:textId="77777777" w:rsidR="00AD09E6" w:rsidRPr="00AD09E6" w:rsidRDefault="00AD09E6" w:rsidP="00AD0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Inflationary pressures on medicines, diagnostics, and veterinary inputs.</w:t>
      </w:r>
    </w:p>
    <w:p w14:paraId="39FA16E3" w14:textId="77777777" w:rsidR="00AD09E6" w:rsidRPr="00AD09E6" w:rsidRDefault="00AD09E6" w:rsidP="00AD09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Donor contraction and volatility in external financing.</w:t>
      </w:r>
    </w:p>
    <w:p w14:paraId="4A4CCF57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3. Governance and Institutional Stability</w:t>
      </w:r>
    </w:p>
    <w:p w14:paraId="7FBB2461" w14:textId="77777777" w:rsidR="00AD09E6" w:rsidRPr="00AD09E6" w:rsidRDefault="00AD09E6" w:rsidP="00AD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Which countries strengthened AMR governance structures post</w:t>
      </w: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shock.</w:t>
      </w:r>
    </w:p>
    <w:p w14:paraId="496F8D08" w14:textId="77777777" w:rsidR="00AD09E6" w:rsidRPr="00AD09E6" w:rsidRDefault="00AD09E6" w:rsidP="00AD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Which countries experienced stagnation or regression.</w:t>
      </w:r>
    </w:p>
    <w:p w14:paraId="5782460B" w14:textId="77777777" w:rsidR="00AD09E6" w:rsidRPr="00AD09E6" w:rsidRDefault="00AD09E6" w:rsidP="00AD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Impact on One Health coordination platforms.</w:t>
      </w:r>
    </w:p>
    <w:p w14:paraId="3BC6018B" w14:textId="77777777" w:rsidR="00AD09E6" w:rsidRPr="00AD09E6" w:rsidRDefault="00AD09E6" w:rsidP="00AD09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Shifts in political attention and competing national priorities.</w:t>
      </w:r>
    </w:p>
    <w:p w14:paraId="3635FA67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4. Health System and Laboratory Impacts</w:t>
      </w:r>
    </w:p>
    <w:p w14:paraId="4FD41124" w14:textId="77777777" w:rsidR="00AD09E6" w:rsidRPr="00AD09E6" w:rsidRDefault="00AD09E6" w:rsidP="00AD0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How economic shocks affected laboratory procurement, EQA participation, and data quality.</w:t>
      </w:r>
    </w:p>
    <w:p w14:paraId="15A2761C" w14:textId="77777777" w:rsidR="00AD09E6" w:rsidRPr="00AD09E6" w:rsidRDefault="00AD09E6" w:rsidP="00AD0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Countries that maintained resilience vs. those with widening gaps.</w:t>
      </w:r>
    </w:p>
    <w:p w14:paraId="1499D675" w14:textId="77777777" w:rsidR="00AD09E6" w:rsidRPr="00AD09E6" w:rsidRDefault="00AD09E6" w:rsidP="00AD09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Implications for GLASS, WOAH, and ATLASS reporting.</w:t>
      </w:r>
    </w:p>
    <w:p w14:paraId="6CC50883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5. Veterinary, Livestock, and Food Safety Systems</w:t>
      </w:r>
    </w:p>
    <w:p w14:paraId="5DE48AC4" w14:textId="77777777" w:rsidR="00AD09E6" w:rsidRPr="00AD09E6" w:rsidRDefault="00AD09E6" w:rsidP="00AD0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How shocks affected antimicrobial use in livestock.</w:t>
      </w:r>
    </w:p>
    <w:p w14:paraId="23AC60BD" w14:textId="77777777" w:rsidR="00AD09E6" w:rsidRPr="00AD09E6" w:rsidRDefault="00AD09E6" w:rsidP="00AD0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Regulatory enforcement trends (improved, weakened, or unchanged).</w:t>
      </w:r>
    </w:p>
    <w:p w14:paraId="2707FCD7" w14:textId="77777777" w:rsidR="00AD09E6" w:rsidRPr="00AD09E6" w:rsidRDefault="00AD09E6" w:rsidP="00AD09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Implications for trade, exports, and WOAH compliance.</w:t>
      </w:r>
    </w:p>
    <w:p w14:paraId="787B9733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6. Digital Surveillance and Data Interoperability</w:t>
      </w:r>
    </w:p>
    <w:p w14:paraId="38646A3A" w14:textId="77777777" w:rsidR="00AD09E6" w:rsidRPr="00AD09E6" w:rsidRDefault="00AD09E6" w:rsidP="00AD0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Countries that accelerated digital transformation despite shocks.</w:t>
      </w:r>
    </w:p>
    <w:p w14:paraId="7F4BFFB8" w14:textId="77777777" w:rsidR="00AD09E6" w:rsidRPr="00AD09E6" w:rsidRDefault="00AD09E6" w:rsidP="00AD0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Countries where digital fragmentation worsened.</w:t>
      </w:r>
    </w:p>
    <w:p w14:paraId="219E2F14" w14:textId="77777777" w:rsidR="00AD09E6" w:rsidRPr="00AD09E6" w:rsidRDefault="00AD09E6" w:rsidP="00AD09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Implications for real</w:t>
      </w: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noBreakHyphen/>
        <w:t>time AMR/AMU data flows.</w:t>
      </w:r>
    </w:p>
    <w:p w14:paraId="4C80E80F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7. Environmental AMR</w:t>
      </w:r>
    </w:p>
    <w:p w14:paraId="08536078" w14:textId="77777777" w:rsidR="00AD09E6" w:rsidRPr="00AD09E6" w:rsidRDefault="00AD09E6" w:rsidP="00AD0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Whether environmental surveillance expanded, stalled, or collapsed.</w:t>
      </w:r>
    </w:p>
    <w:p w14:paraId="01A886FB" w14:textId="77777777" w:rsidR="00AD09E6" w:rsidRPr="00AD09E6" w:rsidRDefault="00AD09E6" w:rsidP="00AD09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 risks emerging from urbanisation, pollution, and wastewater mismanagement.</w:t>
      </w:r>
    </w:p>
    <w:p w14:paraId="394F052E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lastRenderedPageBreak/>
        <w:t>8. What Remained Stable</w:t>
      </w:r>
    </w:p>
    <w:p w14:paraId="27867FD1" w14:textId="77777777" w:rsidR="00AD09E6" w:rsidRPr="00AD09E6" w:rsidRDefault="00AD09E6" w:rsidP="00AD0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Core governance structures that held firm.</w:t>
      </w:r>
    </w:p>
    <w:p w14:paraId="6DE24C84" w14:textId="77777777" w:rsidR="00AD09E6" w:rsidRPr="00AD09E6" w:rsidRDefault="00AD09E6" w:rsidP="00AD0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Countries with sustained domestic financing.</w:t>
      </w:r>
    </w:p>
    <w:p w14:paraId="1D9E4AC2" w14:textId="77777777" w:rsidR="00AD09E6" w:rsidRPr="00AD09E6" w:rsidRDefault="00AD09E6" w:rsidP="00AD09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Systems that proved resilient under pressure.</w:t>
      </w:r>
    </w:p>
    <w:p w14:paraId="5CA6B00B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9. What Changed</w:t>
      </w:r>
    </w:p>
    <w:p w14:paraId="01BC7F59" w14:textId="77777777" w:rsidR="00AD09E6" w:rsidRPr="00AD09E6" w:rsidRDefault="00AD09E6" w:rsidP="00AD0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Shifts in political incentives.</w:t>
      </w:r>
    </w:p>
    <w:p w14:paraId="376E3BA5" w14:textId="77777777" w:rsidR="00AD09E6" w:rsidRPr="00AD09E6" w:rsidRDefault="00AD09E6" w:rsidP="00AD0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New vulnerabilities in supply chains and surveillance.</w:t>
      </w:r>
    </w:p>
    <w:p w14:paraId="1AF2F945" w14:textId="77777777" w:rsidR="00AD09E6" w:rsidRPr="00AD09E6" w:rsidRDefault="00AD09E6" w:rsidP="00AD09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Emerging opportunities for reform.</w:t>
      </w:r>
    </w:p>
    <w:p w14:paraId="76518BC1" w14:textId="77777777" w:rsidR="00AD09E6" w:rsidRPr="00AD09E6" w:rsidRDefault="00AD09E6" w:rsidP="00AD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en-GB"/>
        </w:rPr>
        <w:t>10. Implications for Ministers</w:t>
      </w:r>
    </w:p>
    <w:p w14:paraId="316B5417" w14:textId="77777777" w:rsidR="00AD09E6" w:rsidRPr="00AD09E6" w:rsidRDefault="00AD09E6" w:rsidP="00AD0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What these shifts mean for AMR policy, financing, and implementation.</w:t>
      </w:r>
    </w:p>
    <w:p w14:paraId="7D85BC43" w14:textId="77777777" w:rsidR="00AD09E6" w:rsidRPr="00AD09E6" w:rsidRDefault="00AD09E6" w:rsidP="00AD09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</w:pPr>
      <w:r w:rsidRPr="00AD09E6">
        <w:rPr>
          <w:rFonts w:ascii="Times New Roman" w:eastAsia="Times New Roman" w:hAnsi="Times New Roman" w:cs="Times New Roman"/>
          <w:color w:val="auto"/>
          <w:sz w:val="24"/>
          <w:szCs w:val="24"/>
          <w:lang w:eastAsia="en-GB"/>
        </w:rPr>
        <w:t>Priority actions for the next 12–24 months.</w:t>
      </w:r>
    </w:p>
    <w:p w14:paraId="36918332" w14:textId="77777777" w:rsidR="004B5C16" w:rsidRPr="00AD09E6" w:rsidRDefault="004B5C16" w:rsidP="00AD09E6">
      <w:pPr>
        <w:rPr>
          <w:sz w:val="24"/>
          <w:szCs w:val="24"/>
        </w:rPr>
      </w:pPr>
    </w:p>
    <w:sectPr w:rsidR="004B5C16" w:rsidRPr="00AD09E6" w:rsidSect="007A0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224"/>
    <w:multiLevelType w:val="multilevel"/>
    <w:tmpl w:val="263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1DD"/>
    <w:multiLevelType w:val="multilevel"/>
    <w:tmpl w:val="3A8A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06162"/>
    <w:multiLevelType w:val="multilevel"/>
    <w:tmpl w:val="7866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6313"/>
    <w:multiLevelType w:val="multilevel"/>
    <w:tmpl w:val="486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511C6"/>
    <w:multiLevelType w:val="multilevel"/>
    <w:tmpl w:val="2D3A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4272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0367C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40C24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27BD1"/>
    <w:multiLevelType w:val="multilevel"/>
    <w:tmpl w:val="B5E2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A1354"/>
    <w:multiLevelType w:val="multilevel"/>
    <w:tmpl w:val="421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453D6"/>
    <w:multiLevelType w:val="multilevel"/>
    <w:tmpl w:val="F5C6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F74B9"/>
    <w:multiLevelType w:val="multilevel"/>
    <w:tmpl w:val="49DC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0841"/>
    <w:multiLevelType w:val="multilevel"/>
    <w:tmpl w:val="8B7E0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A842A8"/>
    <w:multiLevelType w:val="multilevel"/>
    <w:tmpl w:val="F34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B302E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76CA3"/>
    <w:multiLevelType w:val="multilevel"/>
    <w:tmpl w:val="E0BC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1327D"/>
    <w:multiLevelType w:val="multilevel"/>
    <w:tmpl w:val="2A9AC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1E18AF"/>
    <w:multiLevelType w:val="multilevel"/>
    <w:tmpl w:val="2B6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602FCD"/>
    <w:multiLevelType w:val="multilevel"/>
    <w:tmpl w:val="F1F0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8220D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A3B8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A1E83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C147E"/>
    <w:multiLevelType w:val="multilevel"/>
    <w:tmpl w:val="518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D65D5"/>
    <w:multiLevelType w:val="multilevel"/>
    <w:tmpl w:val="B55C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736E5"/>
    <w:multiLevelType w:val="multilevel"/>
    <w:tmpl w:val="5B4C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994056">
    <w:abstractNumId w:val="22"/>
  </w:num>
  <w:num w:numId="2" w16cid:durableId="1736319731">
    <w:abstractNumId w:val="6"/>
  </w:num>
  <w:num w:numId="3" w16cid:durableId="2076276363">
    <w:abstractNumId w:val="19"/>
  </w:num>
  <w:num w:numId="4" w16cid:durableId="859243106">
    <w:abstractNumId w:val="21"/>
  </w:num>
  <w:num w:numId="5" w16cid:durableId="842281486">
    <w:abstractNumId w:val="5"/>
  </w:num>
  <w:num w:numId="6" w16cid:durableId="1559592212">
    <w:abstractNumId w:val="20"/>
  </w:num>
  <w:num w:numId="7" w16cid:durableId="1994404278">
    <w:abstractNumId w:val="7"/>
  </w:num>
  <w:num w:numId="8" w16cid:durableId="456799941">
    <w:abstractNumId w:val="14"/>
  </w:num>
  <w:num w:numId="9" w16cid:durableId="221448250">
    <w:abstractNumId w:val="11"/>
  </w:num>
  <w:num w:numId="10" w16cid:durableId="229270200">
    <w:abstractNumId w:val="8"/>
  </w:num>
  <w:num w:numId="11" w16cid:durableId="532041766">
    <w:abstractNumId w:val="2"/>
  </w:num>
  <w:num w:numId="12" w16cid:durableId="1688016166">
    <w:abstractNumId w:val="24"/>
  </w:num>
  <w:num w:numId="13" w16cid:durableId="491943629">
    <w:abstractNumId w:val="1"/>
  </w:num>
  <w:num w:numId="14" w16cid:durableId="505441492">
    <w:abstractNumId w:val="23"/>
  </w:num>
  <w:num w:numId="15" w16cid:durableId="275210512">
    <w:abstractNumId w:val="17"/>
  </w:num>
  <w:num w:numId="16" w16cid:durableId="1401831396">
    <w:abstractNumId w:val="18"/>
  </w:num>
  <w:num w:numId="17" w16cid:durableId="1161774664">
    <w:abstractNumId w:val="13"/>
  </w:num>
  <w:num w:numId="18" w16cid:durableId="840781353">
    <w:abstractNumId w:val="0"/>
  </w:num>
  <w:num w:numId="19" w16cid:durableId="737633418">
    <w:abstractNumId w:val="9"/>
  </w:num>
  <w:num w:numId="20" w16cid:durableId="119107883">
    <w:abstractNumId w:val="15"/>
  </w:num>
  <w:num w:numId="21" w16cid:durableId="1106274439">
    <w:abstractNumId w:val="12"/>
  </w:num>
  <w:num w:numId="22" w16cid:durableId="613833083">
    <w:abstractNumId w:val="16"/>
  </w:num>
  <w:num w:numId="23" w16cid:durableId="540095734">
    <w:abstractNumId w:val="3"/>
  </w:num>
  <w:num w:numId="24" w16cid:durableId="504130104">
    <w:abstractNumId w:val="4"/>
  </w:num>
  <w:num w:numId="25" w16cid:durableId="2029789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B1"/>
    <w:rsid w:val="001C4C2E"/>
    <w:rsid w:val="00271E5A"/>
    <w:rsid w:val="004A4627"/>
    <w:rsid w:val="004B5C16"/>
    <w:rsid w:val="00584449"/>
    <w:rsid w:val="006A0040"/>
    <w:rsid w:val="007528FF"/>
    <w:rsid w:val="007A08AB"/>
    <w:rsid w:val="009F2251"/>
    <w:rsid w:val="00AD09E6"/>
    <w:rsid w:val="00C679D7"/>
    <w:rsid w:val="00DA202C"/>
    <w:rsid w:val="00DE61B1"/>
    <w:rsid w:val="00F4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0C2D8"/>
  <w15:chartTrackingRefBased/>
  <w15:docId w15:val="{703F7B57-B236-A447-A207-6F1A0808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DE61B1"/>
    <w:pPr>
      <w:spacing w:after="160" w:line="259" w:lineRule="auto"/>
    </w:pPr>
    <w:rPr>
      <w:color w:val="156082" w:themeColor="accent1"/>
      <w:kern w:val="0"/>
      <w:sz w:val="22"/>
      <w:szCs w:val="22"/>
      <w:lang w:val="en-N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0040"/>
    <w:rPr>
      <w:color w:val="156082" w:themeColor="accent1"/>
      <w:kern w:val="0"/>
      <w:sz w:val="22"/>
      <w:szCs w:val="22"/>
      <w:lang w:val="en-NG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9F225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DE61B1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N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E61B1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N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E61B1"/>
    <w:rPr>
      <w:rFonts w:eastAsiaTheme="majorEastAsia" w:cstheme="majorBidi"/>
      <w:color w:val="0F4761" w:themeColor="accent1" w:themeShade="BF"/>
      <w:kern w:val="0"/>
      <w:sz w:val="28"/>
      <w:szCs w:val="28"/>
      <w:lang w:val="en-NG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B1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B1"/>
    <w:rPr>
      <w:rFonts w:eastAsiaTheme="majorEastAsia" w:cstheme="majorBidi"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B1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B1"/>
    <w:rPr>
      <w:rFonts w:eastAsiaTheme="majorEastAsia" w:cstheme="majorBidi"/>
      <w:color w:val="595959" w:themeColor="text1" w:themeTint="A6"/>
      <w:kern w:val="0"/>
      <w:sz w:val="22"/>
      <w:szCs w:val="22"/>
      <w:lang w:val="en-NG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B1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NG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B1"/>
    <w:rPr>
      <w:rFonts w:eastAsiaTheme="majorEastAsia" w:cstheme="majorBidi"/>
      <w:color w:val="272727" w:themeColor="text1" w:themeTint="D8"/>
      <w:kern w:val="0"/>
      <w:sz w:val="22"/>
      <w:szCs w:val="22"/>
      <w:lang w:val="en-N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E61B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B1"/>
    <w:rPr>
      <w:rFonts w:asciiTheme="majorHAnsi" w:eastAsiaTheme="majorEastAsia" w:hAnsiTheme="majorHAnsi" w:cstheme="majorBidi"/>
      <w:spacing w:val="-10"/>
      <w:kern w:val="28"/>
      <w:sz w:val="56"/>
      <w:szCs w:val="56"/>
      <w:lang w:val="en-N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B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NG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E6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B1"/>
    <w:rPr>
      <w:i/>
      <w:iCs/>
      <w:color w:val="404040" w:themeColor="text1" w:themeTint="BF"/>
      <w:kern w:val="0"/>
      <w:sz w:val="22"/>
      <w:szCs w:val="22"/>
      <w:lang w:val="en-NG"/>
      <w14:ligatures w14:val="none"/>
    </w:rPr>
  </w:style>
  <w:style w:type="paragraph" w:styleId="ListParagraph">
    <w:name w:val="List Paragraph"/>
    <w:basedOn w:val="Normal"/>
    <w:uiPriority w:val="34"/>
    <w:qFormat/>
    <w:rsid w:val="00DE6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B1"/>
    <w:rPr>
      <w:i/>
      <w:iCs/>
      <w:color w:val="0F4761" w:themeColor="accent1" w:themeShade="BF"/>
      <w:kern w:val="0"/>
      <w:sz w:val="22"/>
      <w:szCs w:val="22"/>
      <w:lang w:val="en-NG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E61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D09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Piringar Niyang</dc:creator>
  <cp:keywords/>
  <dc:description/>
  <cp:lastModifiedBy>Piringar Niyang</cp:lastModifiedBy>
  <cp:revision>3</cp:revision>
  <dcterms:created xsi:type="dcterms:W3CDTF">2026-03-16T09:17:00Z</dcterms:created>
  <dcterms:modified xsi:type="dcterms:W3CDTF">2026-03-16T09:21:00Z</dcterms:modified>
</cp:coreProperties>
</file>