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A548" w14:textId="27A86B86" w:rsidR="00D3212E" w:rsidRPr="00D3212E" w:rsidRDefault="00D3212E" w:rsidP="00D3212E">
      <w:pPr>
        <w:spacing w:before="100" w:beforeAutospacing="1" w:after="100" w:afterAutospacing="1" w:line="240" w:lineRule="auto"/>
        <w:outlineLvl w:val="0"/>
        <w:rPr>
          <w:rFonts w:ascii="Times New Roman" w:eastAsia="Times New Roman" w:hAnsi="Times New Roman" w:cs="Times New Roman"/>
          <w:b/>
          <w:bCs/>
          <w:color w:val="auto"/>
          <w:kern w:val="36"/>
          <w:sz w:val="28"/>
          <w:szCs w:val="28"/>
          <w:lang w:eastAsia="en-GB"/>
        </w:rPr>
      </w:pPr>
      <w:r w:rsidRPr="00D3212E">
        <w:rPr>
          <w:rFonts w:ascii="Times New Roman" w:eastAsia="Times New Roman" w:hAnsi="Times New Roman" w:cs="Times New Roman"/>
          <w:b/>
          <w:bCs/>
          <w:color w:val="auto"/>
          <w:kern w:val="36"/>
          <w:sz w:val="28"/>
          <w:szCs w:val="28"/>
          <w:lang w:eastAsia="en-GB"/>
        </w:rPr>
        <w:t xml:space="preserve">#1: </w:t>
      </w:r>
      <w:r w:rsidRPr="00D3212E">
        <w:rPr>
          <w:rFonts w:ascii="Times New Roman" w:eastAsia="Times New Roman" w:hAnsi="Times New Roman" w:cs="Times New Roman"/>
          <w:b/>
          <w:bCs/>
          <w:color w:val="auto"/>
          <w:sz w:val="28"/>
          <w:szCs w:val="28"/>
          <w:lang w:eastAsia="en-GB"/>
        </w:rPr>
        <w:t>A Multi</w:t>
      </w:r>
      <w:r w:rsidRPr="00D3212E">
        <w:rPr>
          <w:rFonts w:ascii="Times New Roman" w:eastAsia="Times New Roman" w:hAnsi="Times New Roman" w:cs="Times New Roman"/>
          <w:b/>
          <w:bCs/>
          <w:color w:val="auto"/>
          <w:sz w:val="28"/>
          <w:szCs w:val="28"/>
          <w:lang w:eastAsia="en-GB"/>
        </w:rPr>
        <w:noBreakHyphen/>
        <w:t>Country Political–Economic Analysis of AMR</w:t>
      </w:r>
      <w:r w:rsidRPr="00D3212E">
        <w:rPr>
          <w:rFonts w:ascii="Times New Roman" w:eastAsia="Times New Roman" w:hAnsi="Times New Roman" w:cs="Times New Roman"/>
          <w:b/>
          <w:bCs/>
          <w:color w:val="auto"/>
          <w:sz w:val="28"/>
          <w:szCs w:val="28"/>
          <w:lang w:eastAsia="en-GB"/>
        </w:rPr>
        <w:t xml:space="preserve"> </w:t>
      </w:r>
      <w:r w:rsidRPr="00D3212E">
        <w:rPr>
          <w:rFonts w:ascii="Times New Roman" w:eastAsia="Times New Roman" w:hAnsi="Times New Roman" w:cs="Times New Roman"/>
          <w:b/>
          <w:bCs/>
          <w:color w:val="auto"/>
          <w:sz w:val="28"/>
          <w:szCs w:val="28"/>
          <w:lang w:eastAsia="en-GB"/>
        </w:rPr>
        <w:t>Systems in Africa</w:t>
      </w:r>
    </w:p>
    <w:p w14:paraId="2B54AB07" w14:textId="77777777" w:rsidR="00D3212E" w:rsidRPr="00D3212E" w:rsidRDefault="00D3212E" w:rsidP="00D3212E">
      <w:pPr>
        <w:spacing w:before="100" w:beforeAutospacing="1" w:after="100" w:afterAutospacing="1" w:line="240" w:lineRule="auto"/>
        <w:outlineLvl w:val="2"/>
        <w:rPr>
          <w:rFonts w:ascii="Times New Roman" w:eastAsia="Times New Roman" w:hAnsi="Times New Roman" w:cs="Times New Roman"/>
          <w:b/>
          <w:bCs/>
          <w:color w:val="auto"/>
          <w:sz w:val="28"/>
          <w:szCs w:val="28"/>
          <w:lang w:eastAsia="en-GB"/>
        </w:rPr>
      </w:pPr>
      <w:r w:rsidRPr="00D3212E">
        <w:rPr>
          <w:rFonts w:ascii="Times New Roman" w:eastAsia="Times New Roman" w:hAnsi="Times New Roman" w:cs="Times New Roman"/>
          <w:b/>
          <w:bCs/>
          <w:i/>
          <w:iCs/>
          <w:color w:val="auto"/>
          <w:sz w:val="28"/>
          <w:szCs w:val="28"/>
          <w:lang w:eastAsia="en-GB"/>
        </w:rPr>
        <w:t>Strategic Insights for Ministers on Governance, Financing, and System Resilience</w:t>
      </w:r>
    </w:p>
    <w:p w14:paraId="175F47D1" w14:textId="474D43FB"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March 2026</w:t>
      </w:r>
    </w:p>
    <w:p w14:paraId="3D52E216" w14:textId="77777777" w:rsidR="00D3212E" w:rsidRPr="00D3212E" w:rsidRDefault="00D3212E" w:rsidP="00D3212E">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D3212E">
        <w:rPr>
          <w:rFonts w:ascii="Times New Roman" w:eastAsia="Times New Roman" w:hAnsi="Times New Roman" w:cs="Times New Roman"/>
          <w:b/>
          <w:bCs/>
          <w:color w:val="auto"/>
          <w:kern w:val="36"/>
          <w:sz w:val="24"/>
          <w:szCs w:val="24"/>
          <w:lang w:eastAsia="en-GB"/>
        </w:rPr>
        <w:t>Executive Summary</w:t>
      </w:r>
    </w:p>
    <w:p w14:paraId="2FB83292"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Antimicrobial resistance (AMR) is accelerating across Africa, threatening health security, agricultural productivity, and economic development. Comparative analysis across more than ten African countries demonstrates that AMR outcomes are shaped not only by technical capacity but by deeper political–economic structures: governance strength, fiscal space, institutional incentives, and system resilience. Countries with similar epidemiological profiles diverge sharply in performance due to differences in coordination, financing, regulatory enforcement, and digital infrastructure.</w:t>
      </w:r>
    </w:p>
    <w:p w14:paraId="5EDAB577" w14:textId="206AEC76"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This brief synthesizes cross</w:t>
      </w:r>
      <w:r w:rsidRPr="00D3212E">
        <w:rPr>
          <w:rFonts w:ascii="Times New Roman" w:eastAsia="Times New Roman" w:hAnsi="Times New Roman" w:cs="Times New Roman"/>
          <w:color w:val="auto"/>
          <w:sz w:val="24"/>
          <w:szCs w:val="24"/>
          <w:lang w:eastAsia="en-GB"/>
        </w:rPr>
        <w:noBreakHyphen/>
        <w:t>country evidence to provide ministers with a strategic overview of the structural factors shaping AMR system performance. It highlights where progress is occurring, where systems remain fragile, and what political–economic conditions must be addressed to translate AMR policy commitments into measurable impact. The analysis draws on political economy frameworks, health systems research, and comparative insights from Fleming Fund implementation across Africa.</w:t>
      </w:r>
    </w:p>
    <w:p w14:paraId="07706EE0" w14:textId="77777777" w:rsidR="00D3212E" w:rsidRPr="00D3212E" w:rsidRDefault="00D3212E" w:rsidP="00D3212E">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D3212E">
        <w:rPr>
          <w:rFonts w:ascii="Times New Roman" w:eastAsia="Times New Roman" w:hAnsi="Times New Roman" w:cs="Times New Roman"/>
          <w:b/>
          <w:bCs/>
          <w:color w:val="auto"/>
          <w:kern w:val="36"/>
          <w:sz w:val="24"/>
          <w:szCs w:val="24"/>
          <w:lang w:eastAsia="en-GB"/>
        </w:rPr>
        <w:t>1. The AMR Political–Economic Landscape in Africa</w:t>
      </w:r>
    </w:p>
    <w:p w14:paraId="7F5A3647"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AMR is not merely a biomedical challenge; it is a governance, financing, and institutional challenge. Across the region, AMR systems are constrained by:</w:t>
      </w:r>
    </w:p>
    <w:p w14:paraId="42E136C2" w14:textId="77777777" w:rsidR="00D3212E" w:rsidRPr="00D3212E" w:rsidRDefault="00D3212E" w:rsidP="00D3212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Fragmented One Health coordination</w:t>
      </w:r>
    </w:p>
    <w:p w14:paraId="54FE78C8" w14:textId="77777777" w:rsidR="00D3212E" w:rsidRPr="00D3212E" w:rsidRDefault="00D3212E" w:rsidP="00D3212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Chronic underfunding and donor dependency</w:t>
      </w:r>
    </w:p>
    <w:p w14:paraId="416C755C" w14:textId="77777777" w:rsidR="00D3212E" w:rsidRPr="00D3212E" w:rsidRDefault="00D3212E" w:rsidP="00D3212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Weak laboratory and surveillance capacity</w:t>
      </w:r>
    </w:p>
    <w:p w14:paraId="78DF290E" w14:textId="77777777" w:rsidR="00D3212E" w:rsidRPr="00D3212E" w:rsidRDefault="00D3212E" w:rsidP="00D3212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High antimicrobial use in livestock</w:t>
      </w:r>
    </w:p>
    <w:p w14:paraId="2436E7BD" w14:textId="77777777" w:rsidR="00D3212E" w:rsidRPr="00D3212E" w:rsidRDefault="00D3212E" w:rsidP="00D3212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Minimal environmental AMR monitoring</w:t>
      </w:r>
    </w:p>
    <w:p w14:paraId="6964F57B" w14:textId="77777777" w:rsidR="00D3212E" w:rsidRPr="00D3212E" w:rsidRDefault="00D3212E" w:rsidP="00D3212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Digital fragmentation and poor interoperability</w:t>
      </w:r>
    </w:p>
    <w:p w14:paraId="302DB604" w14:textId="6F85CBA6"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These structural weaknesses undermine national action plans, limit data quality, and reduce the effectiveness of stewardship and regulatory interventions. Political economy analysis (PEA) helps explain why these weaknesses persist: AMR competes with more politically visible health priorities, incentives for enforcement are weak, and institutional mandates are often unclear or overlapping (Bardosh et al., 2020; Hoffman et al., 2023).</w:t>
      </w:r>
    </w:p>
    <w:p w14:paraId="64AC750B" w14:textId="77777777" w:rsidR="00D3212E" w:rsidRPr="00D3212E" w:rsidRDefault="00D3212E" w:rsidP="00D3212E">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D3212E">
        <w:rPr>
          <w:rFonts w:ascii="Times New Roman" w:eastAsia="Times New Roman" w:hAnsi="Times New Roman" w:cs="Times New Roman"/>
          <w:b/>
          <w:bCs/>
          <w:color w:val="auto"/>
          <w:kern w:val="36"/>
          <w:sz w:val="24"/>
          <w:szCs w:val="24"/>
          <w:lang w:eastAsia="en-GB"/>
        </w:rPr>
        <w:lastRenderedPageBreak/>
        <w:t>2. Cross</w:t>
      </w:r>
      <w:r w:rsidRPr="00D3212E">
        <w:rPr>
          <w:rFonts w:ascii="Times New Roman" w:eastAsia="Times New Roman" w:hAnsi="Times New Roman" w:cs="Times New Roman"/>
          <w:b/>
          <w:bCs/>
          <w:color w:val="auto"/>
          <w:kern w:val="36"/>
          <w:sz w:val="24"/>
          <w:szCs w:val="24"/>
          <w:lang w:eastAsia="en-GB"/>
        </w:rPr>
        <w:noBreakHyphen/>
        <w:t>Country Comparative Themes</w:t>
      </w:r>
    </w:p>
    <w:p w14:paraId="47130CAC" w14:textId="77777777" w:rsidR="00D3212E" w:rsidRPr="00D3212E" w:rsidRDefault="00D3212E" w:rsidP="00D3212E">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A. Governance &amp; One Health Coordination</w:t>
      </w:r>
    </w:p>
    <w:p w14:paraId="40DA0EFB"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Governance is the strongest predictor of AMR system performance. Countries with formalized, empowered One Health platforms demonstrate more coherent AMR responses.</w:t>
      </w:r>
    </w:p>
    <w:p w14:paraId="087D8DA0"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Stronger coordination:</w:t>
      </w:r>
    </w:p>
    <w:p w14:paraId="53AEEFD1" w14:textId="77777777" w:rsidR="00D3212E" w:rsidRPr="00D3212E" w:rsidRDefault="00D3212E" w:rsidP="00D3212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Rwanda, Uganda, Kenya</w:t>
      </w:r>
    </w:p>
    <w:p w14:paraId="793303B5"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Weaker or inactive platforms:</w:t>
      </w:r>
    </w:p>
    <w:p w14:paraId="35222E57" w14:textId="77777777" w:rsidR="00D3212E" w:rsidRPr="00D3212E" w:rsidRDefault="00D3212E" w:rsidP="00D3212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Nigeria, Sierra Leone, Zambia, Malawi</w:t>
      </w:r>
    </w:p>
    <w:p w14:paraId="106E02D0" w14:textId="5F22DD08"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Weak coordination leads to duplication, inconsistent enforcement, and fragmented data flows. In many countries, One Health committees exist on paper but lack legal mandates, budgets, or authority to enforce cross</w:t>
      </w:r>
      <w:r w:rsidRPr="00D3212E">
        <w:rPr>
          <w:rFonts w:ascii="Times New Roman" w:eastAsia="Times New Roman" w:hAnsi="Times New Roman" w:cs="Times New Roman"/>
          <w:color w:val="auto"/>
          <w:sz w:val="24"/>
          <w:szCs w:val="24"/>
          <w:lang w:eastAsia="en-GB"/>
        </w:rPr>
        <w:noBreakHyphen/>
        <w:t>sectoral action (Okeke et al., 2021).</w:t>
      </w:r>
    </w:p>
    <w:p w14:paraId="676EAF11" w14:textId="77777777" w:rsidR="00D3212E" w:rsidRPr="00D3212E" w:rsidRDefault="00D3212E" w:rsidP="00D3212E">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B. AMR Financing &amp; Fiscal Space</w:t>
      </w:r>
    </w:p>
    <w:p w14:paraId="1C3F0049"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AMR remains chronically underfunded across all countries assessed. Most rely heavily on donors for laboratory systems, surveillance, and stewardship.</w:t>
      </w:r>
    </w:p>
    <w:p w14:paraId="37FAB395"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Emerging domestic financing:</w:t>
      </w:r>
    </w:p>
    <w:p w14:paraId="27C82469" w14:textId="77777777" w:rsidR="00D3212E" w:rsidRPr="00D3212E" w:rsidRDefault="00D3212E" w:rsidP="00D3212E">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Ghana, Kenya, Rwanda</w:t>
      </w:r>
    </w:p>
    <w:p w14:paraId="44299C59"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Severe fiscal constraints:</w:t>
      </w:r>
    </w:p>
    <w:p w14:paraId="0B5FD1C2" w14:textId="77777777" w:rsidR="00D3212E" w:rsidRPr="00D3212E" w:rsidRDefault="00D3212E" w:rsidP="00D3212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Sierra Leone, Malawi, Ethiopia</w:t>
      </w:r>
    </w:p>
    <w:p w14:paraId="4A3D689E" w14:textId="5A57723E"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Limited fiscal space restricts scale</w:t>
      </w:r>
      <w:r w:rsidRPr="00D3212E">
        <w:rPr>
          <w:rFonts w:ascii="Times New Roman" w:eastAsia="Times New Roman" w:hAnsi="Times New Roman" w:cs="Times New Roman"/>
          <w:color w:val="auto"/>
          <w:sz w:val="24"/>
          <w:szCs w:val="24"/>
          <w:lang w:eastAsia="en-GB"/>
        </w:rPr>
        <w:noBreakHyphen/>
        <w:t>up of AMR/AMU/AMC surveillance and undermines sustainability. Without dedicated budget lines, AMR activities are absorbed into general health budgets and often deprioritized (WHO, 2023).</w:t>
      </w:r>
    </w:p>
    <w:p w14:paraId="30E35C47" w14:textId="77777777" w:rsidR="00D3212E" w:rsidRPr="00D3212E" w:rsidRDefault="00D3212E" w:rsidP="00D3212E">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C. Laboratory &amp; Surveillance Capacity</w:t>
      </w:r>
    </w:p>
    <w:p w14:paraId="1D57D255"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GLASS</w:t>
      </w:r>
      <w:r w:rsidRPr="00D3212E">
        <w:rPr>
          <w:rFonts w:ascii="Times New Roman" w:eastAsia="Times New Roman" w:hAnsi="Times New Roman" w:cs="Times New Roman"/>
          <w:color w:val="auto"/>
          <w:sz w:val="24"/>
          <w:szCs w:val="24"/>
          <w:lang w:eastAsia="en-GB"/>
        </w:rPr>
        <w:noBreakHyphen/>
        <w:t>quality data remains limited across the region.</w:t>
      </w:r>
    </w:p>
    <w:p w14:paraId="4D2CC5BE"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Stronger laboratory systems:</w:t>
      </w:r>
    </w:p>
    <w:p w14:paraId="49AAF313" w14:textId="77777777" w:rsidR="00D3212E" w:rsidRPr="00D3212E" w:rsidRDefault="00D3212E" w:rsidP="00D3212E">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South Africa, Kenya, Rwanda</w:t>
      </w:r>
    </w:p>
    <w:p w14:paraId="3E3BECB4"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Major gaps:</w:t>
      </w:r>
    </w:p>
    <w:p w14:paraId="1BF49633" w14:textId="77777777" w:rsidR="00D3212E" w:rsidRPr="00D3212E" w:rsidRDefault="00D3212E" w:rsidP="00D3212E">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Sierra Leone, Malawi, Zambia, Tanzania</w:t>
      </w:r>
    </w:p>
    <w:p w14:paraId="6A310907" w14:textId="4A8C3236"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lastRenderedPageBreak/>
        <w:t>Challenges include inconsistent procurement, limited EQA participation, and shortages of trained personnel. Many countries lack functional bacteriology capacity at district level, resulting in empirical prescribing and weak data for stewardship (Tadesse et al., 2017).</w:t>
      </w:r>
    </w:p>
    <w:p w14:paraId="7634429B" w14:textId="77777777" w:rsidR="00D3212E" w:rsidRPr="00D3212E" w:rsidRDefault="00D3212E" w:rsidP="00D3212E">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D. Veterinary, Livestock &amp; Food Safety Systems</w:t>
      </w:r>
    </w:p>
    <w:p w14:paraId="4DEC382F"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High antimicrobial use in livestock is widespread, driven by:</w:t>
      </w:r>
    </w:p>
    <w:p w14:paraId="7A3430EC" w14:textId="77777777" w:rsidR="00D3212E" w:rsidRPr="00D3212E" w:rsidRDefault="00D3212E" w:rsidP="00D3212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Weak regulation</w:t>
      </w:r>
    </w:p>
    <w:p w14:paraId="3F45C35F" w14:textId="77777777" w:rsidR="00D3212E" w:rsidRPr="00D3212E" w:rsidRDefault="00D3212E" w:rsidP="00D3212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Over</w:t>
      </w:r>
      <w:r w:rsidRPr="00D3212E">
        <w:rPr>
          <w:rFonts w:ascii="Times New Roman" w:eastAsia="Times New Roman" w:hAnsi="Times New Roman" w:cs="Times New Roman"/>
          <w:color w:val="auto"/>
          <w:sz w:val="24"/>
          <w:szCs w:val="24"/>
          <w:lang w:eastAsia="en-GB"/>
        </w:rPr>
        <w:noBreakHyphen/>
        <w:t>the</w:t>
      </w:r>
      <w:r w:rsidRPr="00D3212E">
        <w:rPr>
          <w:rFonts w:ascii="Times New Roman" w:eastAsia="Times New Roman" w:hAnsi="Times New Roman" w:cs="Times New Roman"/>
          <w:color w:val="auto"/>
          <w:sz w:val="24"/>
          <w:szCs w:val="24"/>
          <w:lang w:eastAsia="en-GB"/>
        </w:rPr>
        <w:noBreakHyphen/>
        <w:t>counter sales</w:t>
      </w:r>
    </w:p>
    <w:p w14:paraId="7264F417" w14:textId="77777777" w:rsidR="00D3212E" w:rsidRPr="00D3212E" w:rsidRDefault="00D3212E" w:rsidP="00D3212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Limited veterinary oversight</w:t>
      </w:r>
    </w:p>
    <w:p w14:paraId="25F51BBB" w14:textId="77777777" w:rsidR="00D3212E" w:rsidRPr="00D3212E" w:rsidRDefault="00D3212E" w:rsidP="00D3212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Use of critically important antimicrobials</w:t>
      </w:r>
    </w:p>
    <w:p w14:paraId="6D96609B" w14:textId="64C7E5D0"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Countries with the highest AMU in livestock include Nigeria, Kenya, Tanzania, Uganda, and Ghana. Regulatory enforcement is weak, and AMU/AMC monitoring is rare (FAO, 2022).</w:t>
      </w:r>
    </w:p>
    <w:p w14:paraId="3D050262" w14:textId="77777777" w:rsidR="00D3212E" w:rsidRPr="00D3212E" w:rsidRDefault="00D3212E" w:rsidP="00D3212E">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E. Environmental AMR Systems</w:t>
      </w:r>
    </w:p>
    <w:p w14:paraId="04394EFC"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Environmental AMR remains the weakest pillar.</w:t>
      </w:r>
    </w:p>
    <w:p w14:paraId="2597C3CF"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Countries with emerging capacity:</w:t>
      </w:r>
    </w:p>
    <w:p w14:paraId="4A3FA0C2" w14:textId="77777777" w:rsidR="00D3212E" w:rsidRPr="00D3212E" w:rsidRDefault="00D3212E" w:rsidP="00D3212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South Africa</w:t>
      </w:r>
    </w:p>
    <w:p w14:paraId="06071409" w14:textId="77777777" w:rsidR="00D3212E" w:rsidRPr="00D3212E" w:rsidRDefault="00D3212E" w:rsidP="00D3212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Rwanda (pilot wastewater monitoring)</w:t>
      </w:r>
    </w:p>
    <w:p w14:paraId="589863C7" w14:textId="77777777" w:rsidR="00D3212E" w:rsidRPr="00D3212E" w:rsidRDefault="00D3212E" w:rsidP="00D3212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Kenya (university</w:t>
      </w:r>
      <w:r w:rsidRPr="00D3212E">
        <w:rPr>
          <w:rFonts w:ascii="Times New Roman" w:eastAsia="Times New Roman" w:hAnsi="Times New Roman" w:cs="Times New Roman"/>
          <w:color w:val="auto"/>
          <w:sz w:val="24"/>
          <w:szCs w:val="24"/>
          <w:lang w:eastAsia="en-GB"/>
        </w:rPr>
        <w:noBreakHyphen/>
        <w:t>led initiatives)</w:t>
      </w:r>
    </w:p>
    <w:p w14:paraId="3C670611" w14:textId="13FB5229"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Most countries lack mandates, laboratory capacity, or institutional ownership for environmental surveillance. Yet environmental pathways—wastewater, effluents, pharmaceutical waste—are major drivers of resistance (UNEP, 2023).</w:t>
      </w:r>
    </w:p>
    <w:p w14:paraId="57609AD5" w14:textId="77777777" w:rsidR="00D3212E" w:rsidRPr="00D3212E" w:rsidRDefault="00D3212E" w:rsidP="00D3212E">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F. Digital Health &amp; Data Interoperability</w:t>
      </w:r>
    </w:p>
    <w:p w14:paraId="3020C35C"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Digital fragmentation undermines integrated AMR surveillance.</w:t>
      </w:r>
    </w:p>
    <w:p w14:paraId="73F35C10"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Stronger digital foundations:</w:t>
      </w:r>
    </w:p>
    <w:p w14:paraId="5A1FC221" w14:textId="77777777" w:rsidR="00D3212E" w:rsidRPr="00D3212E" w:rsidRDefault="00D3212E" w:rsidP="00D3212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Nigeria (SORMAS, mSERS)</w:t>
      </w:r>
    </w:p>
    <w:p w14:paraId="0F67509F" w14:textId="77777777" w:rsidR="00D3212E" w:rsidRPr="00D3212E" w:rsidRDefault="00D3212E" w:rsidP="00D3212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Kenya (DHIS2, lab systems)</w:t>
      </w:r>
    </w:p>
    <w:p w14:paraId="098C9511" w14:textId="77777777" w:rsidR="00D3212E" w:rsidRPr="00D3212E" w:rsidRDefault="00D3212E" w:rsidP="00D3212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Rwanda (RBC digital platforms)</w:t>
      </w:r>
    </w:p>
    <w:p w14:paraId="713F7494"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Fragmented systems:</w:t>
      </w:r>
    </w:p>
    <w:p w14:paraId="2A6855F1" w14:textId="77777777" w:rsidR="00D3212E" w:rsidRPr="00D3212E" w:rsidRDefault="00D3212E" w:rsidP="00D3212E">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Malawi, Zambia, Sierra Leone</w:t>
      </w:r>
    </w:p>
    <w:p w14:paraId="7ADCECCB" w14:textId="284B17E4"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Interoperability across human, animal, and environmental sectors is rare, limiting real</w:t>
      </w:r>
      <w:r w:rsidRPr="00D3212E">
        <w:rPr>
          <w:rFonts w:ascii="Times New Roman" w:eastAsia="Times New Roman" w:hAnsi="Times New Roman" w:cs="Times New Roman"/>
          <w:color w:val="auto"/>
          <w:sz w:val="24"/>
          <w:szCs w:val="24"/>
          <w:lang w:eastAsia="en-GB"/>
        </w:rPr>
        <w:noBreakHyphen/>
        <w:t>time AMR/AMU data flows (Olu et al., 2021).</w:t>
      </w:r>
    </w:p>
    <w:p w14:paraId="08753032" w14:textId="77777777" w:rsidR="00D3212E" w:rsidRPr="00D3212E" w:rsidRDefault="00D3212E" w:rsidP="00D3212E">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D3212E">
        <w:rPr>
          <w:rFonts w:ascii="Times New Roman" w:eastAsia="Times New Roman" w:hAnsi="Times New Roman" w:cs="Times New Roman"/>
          <w:b/>
          <w:bCs/>
          <w:color w:val="auto"/>
          <w:kern w:val="36"/>
          <w:sz w:val="24"/>
          <w:szCs w:val="24"/>
          <w:lang w:eastAsia="en-GB"/>
        </w:rPr>
        <w:lastRenderedPageBreak/>
        <w:t>3. Political–Economic Drivers of AMR System Performance</w:t>
      </w:r>
    </w:p>
    <w:p w14:paraId="12C698CD"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A deeper political–economic analysis reveals five structural drivers:</w:t>
      </w:r>
    </w:p>
    <w:p w14:paraId="67E0B182" w14:textId="77777777" w:rsidR="00D3212E" w:rsidRPr="00D3212E" w:rsidRDefault="00D3212E" w:rsidP="00D3212E">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1. Incentive Misalignment</w:t>
      </w:r>
    </w:p>
    <w:p w14:paraId="3206BB8B"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AMR is a long</w:t>
      </w:r>
      <w:r w:rsidRPr="00D3212E">
        <w:rPr>
          <w:rFonts w:ascii="Times New Roman" w:eastAsia="Times New Roman" w:hAnsi="Times New Roman" w:cs="Times New Roman"/>
          <w:color w:val="auto"/>
          <w:sz w:val="24"/>
          <w:szCs w:val="24"/>
          <w:lang w:eastAsia="en-GB"/>
        </w:rPr>
        <w:noBreakHyphen/>
        <w:t>term threat competing with short</w:t>
      </w:r>
      <w:r w:rsidRPr="00D3212E">
        <w:rPr>
          <w:rFonts w:ascii="Times New Roman" w:eastAsia="Times New Roman" w:hAnsi="Times New Roman" w:cs="Times New Roman"/>
          <w:color w:val="auto"/>
          <w:sz w:val="24"/>
          <w:szCs w:val="24"/>
          <w:lang w:eastAsia="en-GB"/>
        </w:rPr>
        <w:noBreakHyphen/>
        <w:t>term political priorities. Ministers face pressure to deliver visible results, while AMR investments often yield delayed benefits.</w:t>
      </w:r>
    </w:p>
    <w:p w14:paraId="47558BE0" w14:textId="77777777" w:rsidR="00D3212E" w:rsidRPr="00D3212E" w:rsidRDefault="00D3212E" w:rsidP="00D3212E">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2. Donor Dependency</w:t>
      </w:r>
    </w:p>
    <w:p w14:paraId="37E3FC0C"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External funding shapes national priorities, sometimes creating parallel systems or distorting incentives for domestic investment.</w:t>
      </w:r>
    </w:p>
    <w:p w14:paraId="404932E0" w14:textId="77777777" w:rsidR="00D3212E" w:rsidRPr="00D3212E" w:rsidRDefault="00D3212E" w:rsidP="00D3212E">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3. Institutional Fragmentation</w:t>
      </w:r>
    </w:p>
    <w:p w14:paraId="53317F09"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Overlapping mandates between ministries and agencies create coordination failures.</w:t>
      </w:r>
    </w:p>
    <w:p w14:paraId="2CE356EF" w14:textId="77777777" w:rsidR="00D3212E" w:rsidRPr="00D3212E" w:rsidRDefault="00D3212E" w:rsidP="00D3212E">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4. Weak Enforcement Capacity</w:t>
      </w:r>
    </w:p>
    <w:p w14:paraId="288AE06C"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Regulatory bodies lack resources, authority, or political backing to enforce prescription</w:t>
      </w:r>
      <w:r w:rsidRPr="00D3212E">
        <w:rPr>
          <w:rFonts w:ascii="Times New Roman" w:eastAsia="Times New Roman" w:hAnsi="Times New Roman" w:cs="Times New Roman"/>
          <w:color w:val="auto"/>
          <w:sz w:val="24"/>
          <w:szCs w:val="24"/>
          <w:lang w:eastAsia="en-GB"/>
        </w:rPr>
        <w:noBreakHyphen/>
        <w:t>only policies or veterinary drug controls.</w:t>
      </w:r>
    </w:p>
    <w:p w14:paraId="72D061A7" w14:textId="77777777" w:rsidR="00D3212E" w:rsidRPr="00D3212E" w:rsidRDefault="00D3212E" w:rsidP="00D3212E">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D3212E">
        <w:rPr>
          <w:rFonts w:ascii="Times New Roman" w:eastAsia="Times New Roman" w:hAnsi="Times New Roman" w:cs="Times New Roman"/>
          <w:b/>
          <w:bCs/>
          <w:color w:val="auto"/>
          <w:sz w:val="24"/>
          <w:szCs w:val="24"/>
          <w:lang w:eastAsia="en-GB"/>
        </w:rPr>
        <w:t>5. Limited Analytical Capacity</w:t>
      </w:r>
    </w:p>
    <w:p w14:paraId="3F3F3C61"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Even where data exist, countries lack the analytical workforce to translate evidence into policy.</w:t>
      </w:r>
    </w:p>
    <w:p w14:paraId="1E7EFCC5" w14:textId="5F2A3D19"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These drivers explain why AMR systems remain fragile despite strong national action plans.</w:t>
      </w:r>
    </w:p>
    <w:p w14:paraId="08B3DC93" w14:textId="77777777" w:rsidR="00D3212E" w:rsidRPr="00D3212E" w:rsidRDefault="00D3212E" w:rsidP="00D3212E">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D3212E">
        <w:rPr>
          <w:rFonts w:ascii="Times New Roman" w:eastAsia="Times New Roman" w:hAnsi="Times New Roman" w:cs="Times New Roman"/>
          <w:b/>
          <w:bCs/>
          <w:color w:val="auto"/>
          <w:kern w:val="36"/>
          <w:sz w:val="24"/>
          <w:szCs w:val="24"/>
          <w:lang w:eastAsia="en-GB"/>
        </w:rPr>
        <w:t>4. Strategic Insights for Ministers</w:t>
      </w:r>
    </w:p>
    <w:p w14:paraId="7721A00E" w14:textId="77777777" w:rsidR="00D3212E" w:rsidRPr="00D3212E" w:rsidRDefault="00D3212E" w:rsidP="00D3212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Governance quality is the strongest predictor of AMR system performance.</w:t>
      </w:r>
    </w:p>
    <w:p w14:paraId="6006432D" w14:textId="77777777" w:rsidR="00D3212E" w:rsidRPr="00D3212E" w:rsidRDefault="00D3212E" w:rsidP="00D3212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Domestic financing is essential for sustainability; donor</w:t>
      </w:r>
      <w:r w:rsidRPr="00D3212E">
        <w:rPr>
          <w:rFonts w:ascii="Times New Roman" w:eastAsia="Times New Roman" w:hAnsi="Times New Roman" w:cs="Times New Roman"/>
          <w:b/>
          <w:bCs/>
          <w:color w:val="auto"/>
          <w:sz w:val="24"/>
          <w:szCs w:val="24"/>
          <w:lang w:eastAsia="en-GB"/>
        </w:rPr>
        <w:noBreakHyphen/>
        <w:t>driven systems remain fragile.</w:t>
      </w:r>
    </w:p>
    <w:p w14:paraId="6B4C0C8E" w14:textId="77777777" w:rsidR="00D3212E" w:rsidRPr="00D3212E" w:rsidRDefault="00D3212E" w:rsidP="00D3212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Laboratory and surveillance gaps are the primary barrier to GLASS</w:t>
      </w:r>
      <w:r w:rsidRPr="00D3212E">
        <w:rPr>
          <w:rFonts w:ascii="Times New Roman" w:eastAsia="Times New Roman" w:hAnsi="Times New Roman" w:cs="Times New Roman"/>
          <w:b/>
          <w:bCs/>
          <w:color w:val="auto"/>
          <w:sz w:val="24"/>
          <w:szCs w:val="24"/>
          <w:lang w:eastAsia="en-GB"/>
        </w:rPr>
        <w:noBreakHyphen/>
        <w:t>quality reporting.</w:t>
      </w:r>
    </w:p>
    <w:p w14:paraId="5F8AA369" w14:textId="77777777" w:rsidR="00D3212E" w:rsidRPr="00D3212E" w:rsidRDefault="00D3212E" w:rsidP="00D3212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Livestock AMU is a major driver of resistance and requires regulatory reform.</w:t>
      </w:r>
    </w:p>
    <w:p w14:paraId="64ABEEB3" w14:textId="77777777" w:rsidR="00D3212E" w:rsidRPr="00D3212E" w:rsidRDefault="00D3212E" w:rsidP="00D3212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Environmental AMR is almost entirely absent from national systems.</w:t>
      </w:r>
    </w:p>
    <w:p w14:paraId="6AD8AD88" w14:textId="3A230291" w:rsidR="00D3212E" w:rsidRPr="00D3212E" w:rsidRDefault="00D3212E" w:rsidP="00D3212E">
      <w:pPr>
        <w:numPr>
          <w:ilvl w:val="0"/>
          <w:numId w:val="20"/>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b/>
          <w:bCs/>
          <w:color w:val="auto"/>
          <w:sz w:val="24"/>
          <w:szCs w:val="24"/>
          <w:lang w:eastAsia="en-GB"/>
        </w:rPr>
        <w:t>Digital transformation is uneven and limits real</w:t>
      </w:r>
      <w:r w:rsidRPr="00D3212E">
        <w:rPr>
          <w:rFonts w:ascii="Times New Roman" w:eastAsia="Times New Roman" w:hAnsi="Times New Roman" w:cs="Times New Roman"/>
          <w:b/>
          <w:bCs/>
          <w:color w:val="auto"/>
          <w:sz w:val="24"/>
          <w:szCs w:val="24"/>
          <w:lang w:eastAsia="en-GB"/>
        </w:rPr>
        <w:noBreakHyphen/>
        <w:t>time decision</w:t>
      </w:r>
      <w:r w:rsidRPr="00D3212E">
        <w:rPr>
          <w:rFonts w:ascii="Times New Roman" w:eastAsia="Times New Roman" w:hAnsi="Times New Roman" w:cs="Times New Roman"/>
          <w:b/>
          <w:bCs/>
          <w:color w:val="auto"/>
          <w:sz w:val="24"/>
          <w:szCs w:val="24"/>
          <w:lang w:eastAsia="en-GB"/>
        </w:rPr>
        <w:noBreakHyphen/>
        <w:t>making.</w:t>
      </w:r>
    </w:p>
    <w:p w14:paraId="158617C5" w14:textId="77777777" w:rsidR="00D3212E" w:rsidRPr="00D3212E" w:rsidRDefault="00D3212E" w:rsidP="00D3212E">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D3212E">
        <w:rPr>
          <w:rFonts w:ascii="Times New Roman" w:eastAsia="Times New Roman" w:hAnsi="Times New Roman" w:cs="Times New Roman"/>
          <w:b/>
          <w:bCs/>
          <w:color w:val="auto"/>
          <w:kern w:val="36"/>
          <w:sz w:val="24"/>
          <w:szCs w:val="24"/>
          <w:lang w:eastAsia="en-GB"/>
        </w:rPr>
        <w:t>5. Implications for National Policy</w:t>
      </w:r>
    </w:p>
    <w:p w14:paraId="544AA07B"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To strengthen AMR systems, ministers must:</w:t>
      </w:r>
    </w:p>
    <w:p w14:paraId="4DFB6633" w14:textId="77777777" w:rsidR="00D3212E" w:rsidRPr="00D3212E" w:rsidRDefault="00D3212E" w:rsidP="00D3212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Embed AMR within national health security frameworks</w:t>
      </w:r>
    </w:p>
    <w:p w14:paraId="408C925C" w14:textId="77777777" w:rsidR="00D3212E" w:rsidRPr="00D3212E" w:rsidRDefault="00D3212E" w:rsidP="00D3212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Establish dedicated domestic budget lines</w:t>
      </w:r>
    </w:p>
    <w:p w14:paraId="6BD7B979" w14:textId="77777777" w:rsidR="00D3212E" w:rsidRPr="00D3212E" w:rsidRDefault="00D3212E" w:rsidP="00D3212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Strengthen One Health governance and enforcement</w:t>
      </w:r>
    </w:p>
    <w:p w14:paraId="4DF33FEE" w14:textId="77777777" w:rsidR="00D3212E" w:rsidRPr="00D3212E" w:rsidRDefault="00D3212E" w:rsidP="00D3212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lastRenderedPageBreak/>
        <w:t>Expand laboratory capacity and EQA participation</w:t>
      </w:r>
    </w:p>
    <w:p w14:paraId="07E879BC" w14:textId="77777777" w:rsidR="00D3212E" w:rsidRPr="00D3212E" w:rsidRDefault="00D3212E" w:rsidP="00D3212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Regulate antimicrobial sales in human and animal sectors</w:t>
      </w:r>
    </w:p>
    <w:p w14:paraId="7C92E6D4" w14:textId="77777777" w:rsidR="00D3212E" w:rsidRPr="00D3212E" w:rsidRDefault="00D3212E" w:rsidP="00D3212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Invest in digital interoperability</w:t>
      </w:r>
    </w:p>
    <w:p w14:paraId="2AAE4270" w14:textId="77777777" w:rsidR="00D3212E" w:rsidRPr="00D3212E" w:rsidRDefault="00D3212E" w:rsidP="00D3212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Integrate environmental AMR into national surveillance</w:t>
      </w:r>
    </w:p>
    <w:p w14:paraId="3D527435" w14:textId="4E030D04"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This brief sets the foundation for the remaining 14 weeks, each of which will provide deeper analysis and actionable recommendations for ministers.</w:t>
      </w:r>
    </w:p>
    <w:p w14:paraId="1F40D82B" w14:textId="48E220A2" w:rsidR="00D3212E" w:rsidRPr="00D3212E" w:rsidRDefault="00D3212E" w:rsidP="00D3212E">
      <w:pPr>
        <w:spacing w:before="100" w:beforeAutospacing="1" w:after="100" w:afterAutospacing="1" w:line="240" w:lineRule="auto"/>
        <w:outlineLvl w:val="0"/>
        <w:rPr>
          <w:rFonts w:ascii="Times New Roman" w:eastAsia="Times New Roman" w:hAnsi="Times New Roman" w:cs="Times New Roman"/>
          <w:b/>
          <w:bCs/>
          <w:color w:val="auto"/>
          <w:kern w:val="36"/>
          <w:sz w:val="24"/>
          <w:szCs w:val="24"/>
          <w:lang w:eastAsia="en-GB"/>
        </w:rPr>
      </w:pPr>
      <w:r w:rsidRPr="00D3212E">
        <w:rPr>
          <w:rFonts w:ascii="Times New Roman" w:eastAsia="Times New Roman" w:hAnsi="Times New Roman" w:cs="Times New Roman"/>
          <w:b/>
          <w:bCs/>
          <w:color w:val="auto"/>
          <w:kern w:val="36"/>
          <w:sz w:val="24"/>
          <w:szCs w:val="24"/>
          <w:lang w:eastAsia="en-GB"/>
        </w:rPr>
        <w:t xml:space="preserve">References </w:t>
      </w:r>
    </w:p>
    <w:p w14:paraId="15B1A4F8"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Abdi, A., et al. (2025). </w:t>
      </w:r>
      <w:r w:rsidRPr="00D3212E">
        <w:rPr>
          <w:rFonts w:ascii="Times New Roman" w:eastAsia="Times New Roman" w:hAnsi="Times New Roman" w:cs="Times New Roman"/>
          <w:i/>
          <w:iCs/>
          <w:color w:val="auto"/>
          <w:sz w:val="24"/>
          <w:szCs w:val="24"/>
          <w:lang w:eastAsia="en-GB"/>
        </w:rPr>
        <w:t>Social determinants of antimicrobial resistance in low</w:t>
      </w:r>
      <w:r w:rsidRPr="00D3212E">
        <w:rPr>
          <w:rFonts w:ascii="Times New Roman" w:eastAsia="Times New Roman" w:hAnsi="Times New Roman" w:cs="Times New Roman"/>
          <w:i/>
          <w:iCs/>
          <w:color w:val="auto"/>
          <w:sz w:val="24"/>
          <w:szCs w:val="24"/>
          <w:lang w:eastAsia="en-GB"/>
        </w:rPr>
        <w:noBreakHyphen/>
        <w:t>income settings</w:t>
      </w:r>
      <w:r w:rsidRPr="00D3212E">
        <w:rPr>
          <w:rFonts w:ascii="Times New Roman" w:eastAsia="Times New Roman" w:hAnsi="Times New Roman" w:cs="Times New Roman"/>
          <w:color w:val="auto"/>
          <w:sz w:val="24"/>
          <w:szCs w:val="24"/>
          <w:lang w:eastAsia="en-GB"/>
        </w:rPr>
        <w:t>. Journal of Global Health, 15(2), 112–124.</w:t>
      </w:r>
    </w:p>
    <w:p w14:paraId="5B126C2C"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Bardosh, K., et al. (2020). </w:t>
      </w:r>
      <w:r w:rsidRPr="00D3212E">
        <w:rPr>
          <w:rFonts w:ascii="Times New Roman" w:eastAsia="Times New Roman" w:hAnsi="Times New Roman" w:cs="Times New Roman"/>
          <w:i/>
          <w:iCs/>
          <w:color w:val="auto"/>
          <w:sz w:val="24"/>
          <w:szCs w:val="24"/>
          <w:lang w:eastAsia="en-GB"/>
        </w:rPr>
        <w:t>Addressing the politics of antimicrobial resistance in Africa</w:t>
      </w:r>
      <w:r w:rsidRPr="00D3212E">
        <w:rPr>
          <w:rFonts w:ascii="Times New Roman" w:eastAsia="Times New Roman" w:hAnsi="Times New Roman" w:cs="Times New Roman"/>
          <w:color w:val="auto"/>
          <w:sz w:val="24"/>
          <w:szCs w:val="24"/>
          <w:lang w:eastAsia="en-GB"/>
        </w:rPr>
        <w:t>. BMJ Global Health, 5(9), e003092.</w:t>
      </w:r>
    </w:p>
    <w:p w14:paraId="6CCCC905"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FAO. (2022). </w:t>
      </w:r>
      <w:r w:rsidRPr="00D3212E">
        <w:rPr>
          <w:rFonts w:ascii="Times New Roman" w:eastAsia="Times New Roman" w:hAnsi="Times New Roman" w:cs="Times New Roman"/>
          <w:i/>
          <w:iCs/>
          <w:color w:val="auto"/>
          <w:sz w:val="24"/>
          <w:szCs w:val="24"/>
          <w:lang w:eastAsia="en-GB"/>
        </w:rPr>
        <w:t>Antimicrobial use in livestock: Global trends and regulatory gaps</w:t>
      </w:r>
      <w:r w:rsidRPr="00D3212E">
        <w:rPr>
          <w:rFonts w:ascii="Times New Roman" w:eastAsia="Times New Roman" w:hAnsi="Times New Roman" w:cs="Times New Roman"/>
          <w:color w:val="auto"/>
          <w:sz w:val="24"/>
          <w:szCs w:val="24"/>
          <w:lang w:eastAsia="en-GB"/>
        </w:rPr>
        <w:t>. Food and Agriculture Organization.</w:t>
      </w:r>
    </w:p>
    <w:p w14:paraId="0748BA62"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Hoffman, S., et al. (2023). </w:t>
      </w:r>
      <w:r w:rsidRPr="00D3212E">
        <w:rPr>
          <w:rFonts w:ascii="Times New Roman" w:eastAsia="Times New Roman" w:hAnsi="Times New Roman" w:cs="Times New Roman"/>
          <w:i/>
          <w:iCs/>
          <w:color w:val="auto"/>
          <w:sz w:val="24"/>
          <w:szCs w:val="24"/>
          <w:lang w:eastAsia="en-GB"/>
        </w:rPr>
        <w:t>Global governance of antimicrobial resistance: A political economy perspective</w:t>
      </w:r>
      <w:r w:rsidRPr="00D3212E">
        <w:rPr>
          <w:rFonts w:ascii="Times New Roman" w:eastAsia="Times New Roman" w:hAnsi="Times New Roman" w:cs="Times New Roman"/>
          <w:color w:val="auto"/>
          <w:sz w:val="24"/>
          <w:szCs w:val="24"/>
          <w:lang w:eastAsia="en-GB"/>
        </w:rPr>
        <w:t>. The Lancet, 401(10379), 1201–1212.</w:t>
      </w:r>
    </w:p>
    <w:p w14:paraId="0C22F4EE"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Olu, O., et al. (2021). </w:t>
      </w:r>
      <w:r w:rsidRPr="00D3212E">
        <w:rPr>
          <w:rFonts w:ascii="Times New Roman" w:eastAsia="Times New Roman" w:hAnsi="Times New Roman" w:cs="Times New Roman"/>
          <w:i/>
          <w:iCs/>
          <w:color w:val="auto"/>
          <w:sz w:val="24"/>
          <w:szCs w:val="24"/>
          <w:lang w:eastAsia="en-GB"/>
        </w:rPr>
        <w:t>Digital health systems and AMR surveillance in Africa</w:t>
      </w:r>
      <w:r w:rsidRPr="00D3212E">
        <w:rPr>
          <w:rFonts w:ascii="Times New Roman" w:eastAsia="Times New Roman" w:hAnsi="Times New Roman" w:cs="Times New Roman"/>
          <w:color w:val="auto"/>
          <w:sz w:val="24"/>
          <w:szCs w:val="24"/>
          <w:lang w:eastAsia="en-GB"/>
        </w:rPr>
        <w:t>. WHO African Region Technical Report.</w:t>
      </w:r>
    </w:p>
    <w:p w14:paraId="341B1232"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Okeke, I. N., et al. (2021). </w:t>
      </w:r>
      <w:r w:rsidRPr="00D3212E">
        <w:rPr>
          <w:rFonts w:ascii="Times New Roman" w:eastAsia="Times New Roman" w:hAnsi="Times New Roman" w:cs="Times New Roman"/>
          <w:i/>
          <w:iCs/>
          <w:color w:val="auto"/>
          <w:sz w:val="24"/>
          <w:szCs w:val="24"/>
          <w:lang w:eastAsia="en-GB"/>
        </w:rPr>
        <w:t>AMR governance in Africa: Challenges and opportunities</w:t>
      </w:r>
      <w:r w:rsidRPr="00D3212E">
        <w:rPr>
          <w:rFonts w:ascii="Times New Roman" w:eastAsia="Times New Roman" w:hAnsi="Times New Roman" w:cs="Times New Roman"/>
          <w:color w:val="auto"/>
          <w:sz w:val="24"/>
          <w:szCs w:val="24"/>
          <w:lang w:eastAsia="en-GB"/>
        </w:rPr>
        <w:t>. Nature Microbiology, 6(1), 3–8.</w:t>
      </w:r>
    </w:p>
    <w:p w14:paraId="0D95E9CD"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Tadesse, B. T., et al. (2017). </w:t>
      </w:r>
      <w:r w:rsidRPr="00D3212E">
        <w:rPr>
          <w:rFonts w:ascii="Times New Roman" w:eastAsia="Times New Roman" w:hAnsi="Times New Roman" w:cs="Times New Roman"/>
          <w:i/>
          <w:iCs/>
          <w:color w:val="auto"/>
          <w:sz w:val="24"/>
          <w:szCs w:val="24"/>
          <w:lang w:eastAsia="en-GB"/>
        </w:rPr>
        <w:t>Antimicrobial resistance in Africa: A systematic review</w:t>
      </w:r>
      <w:r w:rsidRPr="00D3212E">
        <w:rPr>
          <w:rFonts w:ascii="Times New Roman" w:eastAsia="Times New Roman" w:hAnsi="Times New Roman" w:cs="Times New Roman"/>
          <w:color w:val="auto"/>
          <w:sz w:val="24"/>
          <w:szCs w:val="24"/>
          <w:lang w:eastAsia="en-GB"/>
        </w:rPr>
        <w:t>. BMC Infectious Diseases, 17(1), 616.</w:t>
      </w:r>
    </w:p>
    <w:p w14:paraId="4B370496"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UNEP. (2023). </w:t>
      </w:r>
      <w:r w:rsidRPr="00D3212E">
        <w:rPr>
          <w:rFonts w:ascii="Times New Roman" w:eastAsia="Times New Roman" w:hAnsi="Times New Roman" w:cs="Times New Roman"/>
          <w:i/>
          <w:iCs/>
          <w:color w:val="auto"/>
          <w:sz w:val="24"/>
          <w:szCs w:val="24"/>
          <w:lang w:eastAsia="en-GB"/>
        </w:rPr>
        <w:t>Environmental dimensions of antimicrobial resistance</w:t>
      </w:r>
      <w:r w:rsidRPr="00D3212E">
        <w:rPr>
          <w:rFonts w:ascii="Times New Roman" w:eastAsia="Times New Roman" w:hAnsi="Times New Roman" w:cs="Times New Roman"/>
          <w:color w:val="auto"/>
          <w:sz w:val="24"/>
          <w:szCs w:val="24"/>
          <w:lang w:eastAsia="en-GB"/>
        </w:rPr>
        <w:t>. United Nations Environment Programme.</w:t>
      </w:r>
    </w:p>
    <w:p w14:paraId="18B7C14A" w14:textId="77777777" w:rsidR="00D3212E" w:rsidRPr="00D3212E" w:rsidRDefault="00D3212E" w:rsidP="00D3212E">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D3212E">
        <w:rPr>
          <w:rFonts w:ascii="Times New Roman" w:eastAsia="Times New Roman" w:hAnsi="Times New Roman" w:cs="Times New Roman"/>
          <w:color w:val="auto"/>
          <w:sz w:val="24"/>
          <w:szCs w:val="24"/>
          <w:lang w:eastAsia="en-GB"/>
        </w:rPr>
        <w:t xml:space="preserve">WHO. (2023). </w:t>
      </w:r>
      <w:r w:rsidRPr="00D3212E">
        <w:rPr>
          <w:rFonts w:ascii="Times New Roman" w:eastAsia="Times New Roman" w:hAnsi="Times New Roman" w:cs="Times New Roman"/>
          <w:i/>
          <w:iCs/>
          <w:color w:val="auto"/>
          <w:sz w:val="24"/>
          <w:szCs w:val="24"/>
          <w:lang w:eastAsia="en-GB"/>
        </w:rPr>
        <w:t>Global progress report on AMR national action plans</w:t>
      </w:r>
      <w:r w:rsidRPr="00D3212E">
        <w:rPr>
          <w:rFonts w:ascii="Times New Roman" w:eastAsia="Times New Roman" w:hAnsi="Times New Roman" w:cs="Times New Roman"/>
          <w:color w:val="auto"/>
          <w:sz w:val="24"/>
          <w:szCs w:val="24"/>
          <w:lang w:eastAsia="en-GB"/>
        </w:rPr>
        <w:t>. World Health Organization.</w:t>
      </w:r>
    </w:p>
    <w:p w14:paraId="0D89E884" w14:textId="77777777" w:rsidR="00D3212E" w:rsidRDefault="00D3212E" w:rsidP="00DE61B1">
      <w:pPr>
        <w:spacing w:before="100" w:beforeAutospacing="1" w:after="100" w:afterAutospacing="1" w:line="240" w:lineRule="auto"/>
        <w:outlineLvl w:val="0"/>
        <w:rPr>
          <w:rFonts w:ascii="Times New Roman" w:eastAsia="Times New Roman" w:hAnsi="Times New Roman" w:cs="Times New Roman"/>
          <w:color w:val="auto"/>
          <w:sz w:val="24"/>
          <w:szCs w:val="24"/>
          <w:lang w:eastAsia="en-GB"/>
        </w:rPr>
      </w:pPr>
    </w:p>
    <w:p w14:paraId="7B5A6F21" w14:textId="3056D082" w:rsidR="00DE61B1" w:rsidRPr="0004728F" w:rsidRDefault="00D3212E" w:rsidP="00DE61B1">
      <w:pPr>
        <w:spacing w:before="100" w:beforeAutospacing="1" w:after="100" w:afterAutospacing="1" w:line="240" w:lineRule="auto"/>
        <w:outlineLvl w:val="0"/>
        <w:rPr>
          <w:rFonts w:ascii="Times New Roman" w:eastAsia="Times New Roman" w:hAnsi="Times New Roman" w:cs="Times New Roman"/>
          <w:b/>
          <w:bCs/>
          <w:color w:val="C00000"/>
          <w:kern w:val="36"/>
          <w:sz w:val="32"/>
          <w:szCs w:val="32"/>
          <w:lang w:eastAsia="en-GB"/>
        </w:rPr>
      </w:pPr>
      <w:r>
        <w:rPr>
          <w:rFonts w:ascii="Times New Roman" w:eastAsia="Times New Roman" w:hAnsi="Times New Roman" w:cs="Times New Roman"/>
          <w:b/>
          <w:bCs/>
          <w:color w:val="C00000"/>
          <w:kern w:val="36"/>
          <w:sz w:val="32"/>
          <w:szCs w:val="32"/>
          <w:lang w:eastAsia="en-GB"/>
        </w:rPr>
        <w:t xml:space="preserve">Outline </w:t>
      </w:r>
      <w:r w:rsidR="00DE61B1" w:rsidRPr="0004728F">
        <w:rPr>
          <w:rFonts w:ascii="Times New Roman" w:eastAsia="Times New Roman" w:hAnsi="Times New Roman" w:cs="Times New Roman"/>
          <w:b/>
          <w:bCs/>
          <w:color w:val="C00000"/>
          <w:kern w:val="36"/>
          <w:sz w:val="32"/>
          <w:szCs w:val="32"/>
          <w:lang w:eastAsia="en-GB"/>
        </w:rPr>
        <w:t>Brief #1 Multi</w:t>
      </w:r>
      <w:r w:rsidR="00DE61B1" w:rsidRPr="0004728F">
        <w:rPr>
          <w:rFonts w:ascii="Times New Roman" w:eastAsia="Times New Roman" w:hAnsi="Times New Roman" w:cs="Times New Roman"/>
          <w:b/>
          <w:bCs/>
          <w:color w:val="C00000"/>
          <w:kern w:val="36"/>
          <w:sz w:val="32"/>
          <w:szCs w:val="32"/>
          <w:lang w:eastAsia="en-GB"/>
        </w:rPr>
        <w:noBreakHyphen/>
        <w:t>Country PEA</w:t>
      </w:r>
    </w:p>
    <w:p w14:paraId="57664258" w14:textId="77777777" w:rsidR="00DE61B1" w:rsidRPr="0004728F" w:rsidRDefault="00DE61B1" w:rsidP="00DE61B1">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04728F">
        <w:rPr>
          <w:rFonts w:ascii="Times New Roman" w:eastAsia="Times New Roman" w:hAnsi="Times New Roman" w:cs="Times New Roman"/>
          <w:b/>
          <w:bCs/>
          <w:color w:val="auto"/>
          <w:sz w:val="24"/>
          <w:szCs w:val="24"/>
          <w:lang w:eastAsia="en-GB"/>
        </w:rPr>
        <w:t>1. Overview</w:t>
      </w:r>
    </w:p>
    <w:p w14:paraId="090BFF77"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 xml:space="preserve">This brief provides a comparative </w:t>
      </w:r>
      <w:r w:rsidRPr="0004728F">
        <w:rPr>
          <w:rFonts w:ascii="Times New Roman" w:eastAsia="Times New Roman" w:hAnsi="Times New Roman" w:cs="Times New Roman"/>
          <w:b/>
          <w:bCs/>
          <w:color w:val="auto"/>
          <w:sz w:val="24"/>
          <w:szCs w:val="24"/>
          <w:lang w:eastAsia="en-GB"/>
        </w:rPr>
        <w:t>political–economic analysis</w:t>
      </w:r>
      <w:r w:rsidRPr="0004728F">
        <w:rPr>
          <w:rFonts w:ascii="Times New Roman" w:eastAsia="Times New Roman" w:hAnsi="Times New Roman" w:cs="Times New Roman"/>
          <w:color w:val="auto"/>
          <w:sz w:val="24"/>
          <w:szCs w:val="24"/>
          <w:lang w:eastAsia="en-GB"/>
        </w:rPr>
        <w:t xml:space="preserve"> of AMR</w:t>
      </w:r>
      <w:r w:rsidRPr="0004728F">
        <w:rPr>
          <w:rFonts w:ascii="Times New Roman" w:eastAsia="Times New Roman" w:hAnsi="Times New Roman" w:cs="Times New Roman"/>
          <w:color w:val="auto"/>
          <w:sz w:val="24"/>
          <w:szCs w:val="24"/>
          <w:lang w:eastAsia="en-GB"/>
        </w:rPr>
        <w:noBreakHyphen/>
        <w:t xml:space="preserve">relevant systems across 10+ African countries. It describes </w:t>
      </w:r>
    </w:p>
    <w:p w14:paraId="2C543560" w14:textId="77777777" w:rsidR="00DE61B1" w:rsidRPr="0004728F" w:rsidRDefault="00DE61B1" w:rsidP="00DE61B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governance</w:t>
      </w:r>
    </w:p>
    <w:p w14:paraId="35905FBE" w14:textId="77777777" w:rsidR="00DE61B1" w:rsidRPr="0004728F" w:rsidRDefault="00DE61B1" w:rsidP="00DE61B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financing</w:t>
      </w:r>
    </w:p>
    <w:p w14:paraId="7EB5DAE1" w14:textId="77777777" w:rsidR="00DE61B1" w:rsidRPr="0004728F" w:rsidRDefault="00DE61B1" w:rsidP="00DE61B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health system resilience</w:t>
      </w:r>
    </w:p>
    <w:p w14:paraId="219AE84B" w14:textId="77777777" w:rsidR="00DE61B1" w:rsidRPr="0004728F" w:rsidRDefault="00DE61B1" w:rsidP="00DE61B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veterinary and environmental systems</w:t>
      </w:r>
    </w:p>
    <w:p w14:paraId="4ECE5724" w14:textId="77777777" w:rsidR="00DE61B1" w:rsidRPr="0004728F" w:rsidRDefault="00DE61B1" w:rsidP="00DE61B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lastRenderedPageBreak/>
        <w:t>AMR surveillance and stewardship capacity</w:t>
      </w:r>
    </w:p>
    <w:p w14:paraId="5CF1EE5F" w14:textId="77777777" w:rsidR="00DE61B1" w:rsidRPr="0004728F" w:rsidRDefault="00DE61B1" w:rsidP="00DE61B1">
      <w:pPr>
        <w:numPr>
          <w:ilvl w:val="0"/>
          <w:numId w:val="1"/>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digital and laboratory infrastructure</w:t>
      </w:r>
    </w:p>
    <w:p w14:paraId="48529ABD" w14:textId="77777777" w:rsidR="00DE61B1" w:rsidRPr="0004728F" w:rsidRDefault="00DE61B1" w:rsidP="00DE61B1">
      <w:pPr>
        <w:spacing w:before="100" w:beforeAutospacing="1" w:after="100" w:afterAutospacing="1" w:line="240" w:lineRule="auto"/>
        <w:outlineLvl w:val="1"/>
        <w:rPr>
          <w:rFonts w:ascii="Times New Roman" w:eastAsia="Times New Roman" w:hAnsi="Times New Roman" w:cs="Times New Roman"/>
          <w:b/>
          <w:bCs/>
          <w:color w:val="auto"/>
          <w:sz w:val="24"/>
          <w:szCs w:val="24"/>
          <w:lang w:eastAsia="en-GB"/>
        </w:rPr>
      </w:pPr>
      <w:r w:rsidRPr="0004728F">
        <w:rPr>
          <w:rFonts w:ascii="Times New Roman" w:eastAsia="Times New Roman" w:hAnsi="Times New Roman" w:cs="Times New Roman"/>
          <w:b/>
          <w:bCs/>
          <w:color w:val="auto"/>
          <w:sz w:val="24"/>
          <w:szCs w:val="24"/>
          <w:lang w:eastAsia="en-GB"/>
        </w:rPr>
        <w:t>2. Cross</w:t>
      </w:r>
      <w:r w:rsidRPr="0004728F">
        <w:rPr>
          <w:rFonts w:ascii="Times New Roman" w:eastAsia="Times New Roman" w:hAnsi="Times New Roman" w:cs="Times New Roman"/>
          <w:b/>
          <w:bCs/>
          <w:color w:val="auto"/>
          <w:sz w:val="24"/>
          <w:szCs w:val="24"/>
          <w:lang w:eastAsia="en-GB"/>
        </w:rPr>
        <w:noBreakHyphen/>
        <w:t xml:space="preserve">Country Political–Economic Themes </w:t>
      </w:r>
    </w:p>
    <w:p w14:paraId="2407118A" w14:textId="77777777" w:rsidR="00DE61B1" w:rsidRPr="0004728F" w:rsidRDefault="00DE61B1" w:rsidP="00DE61B1">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04728F">
        <w:rPr>
          <w:rFonts w:ascii="Times New Roman" w:eastAsia="Times New Roman" w:hAnsi="Times New Roman" w:cs="Times New Roman"/>
          <w:b/>
          <w:bCs/>
          <w:color w:val="auto"/>
          <w:sz w:val="24"/>
          <w:szCs w:val="24"/>
          <w:lang w:eastAsia="en-GB"/>
        </w:rPr>
        <w:t>A. Governance &amp; One Health Coordination</w:t>
      </w:r>
    </w:p>
    <w:p w14:paraId="3E389C8C"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 xml:space="preserve">Most countries had </w:t>
      </w:r>
      <w:r w:rsidRPr="0004728F">
        <w:rPr>
          <w:rFonts w:ascii="Times New Roman" w:eastAsia="Times New Roman" w:hAnsi="Times New Roman" w:cs="Times New Roman"/>
          <w:b/>
          <w:bCs/>
          <w:color w:val="auto"/>
          <w:sz w:val="24"/>
          <w:szCs w:val="24"/>
          <w:lang w:eastAsia="en-GB"/>
        </w:rPr>
        <w:t>fragmented coordination</w:t>
      </w:r>
      <w:r w:rsidRPr="0004728F">
        <w:rPr>
          <w:rFonts w:ascii="Times New Roman" w:eastAsia="Times New Roman" w:hAnsi="Times New Roman" w:cs="Times New Roman"/>
          <w:color w:val="auto"/>
          <w:sz w:val="24"/>
          <w:szCs w:val="24"/>
          <w:lang w:eastAsia="en-GB"/>
        </w:rPr>
        <w:t xml:space="preserve"> across human, animal, and environmental sectors.</w:t>
      </w:r>
      <w:r w:rsidRPr="0004728F">
        <w:rPr>
          <w:rFonts w:ascii="Times New Roman" w:eastAsia="Times New Roman" w:hAnsi="Times New Roman" w:cs="Times New Roman"/>
          <w:color w:val="auto"/>
          <w:sz w:val="24"/>
          <w:szCs w:val="24"/>
          <w:lang w:eastAsia="en-GB"/>
        </w:rPr>
        <w:br/>
        <w:t>Countries with relatively stronger coordination:</w:t>
      </w:r>
    </w:p>
    <w:p w14:paraId="1CDA704B" w14:textId="77777777" w:rsidR="00DE61B1" w:rsidRPr="0004728F" w:rsidRDefault="00DE61B1" w:rsidP="00DE61B1">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Rwanda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Uganda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Kenya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color w:val="auto"/>
          <w:sz w:val="24"/>
          <w:szCs w:val="24"/>
          <w:lang w:eastAsia="en-GB"/>
        </w:rPr>
        <w:br/>
        <w:t>Countries with weaker or inactive platforms:</w:t>
      </w:r>
    </w:p>
    <w:p w14:paraId="0312A107" w14:textId="77777777" w:rsidR="00DE61B1" w:rsidRPr="0004728F" w:rsidRDefault="00DE61B1" w:rsidP="00DE61B1">
      <w:pPr>
        <w:numPr>
          <w:ilvl w:val="0"/>
          <w:numId w:val="2"/>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Nigeria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Sierra Leone</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Zambia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Malawi</w:t>
      </w:r>
    </w:p>
    <w:p w14:paraId="7CB82A5C"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Explore:</w:t>
      </w:r>
      <w:r w:rsidRPr="0004728F">
        <w:rPr>
          <w:rFonts w:ascii="Times New Roman" w:eastAsia="Times New Roman" w:hAnsi="Times New Roman" w:cs="Times New Roman"/>
          <w:color w:val="auto"/>
          <w:sz w:val="24"/>
          <w:szCs w:val="24"/>
          <w:lang w:eastAsia="en-GB"/>
        </w:rPr>
        <w:br/>
        <w:t>One Health governance</w:t>
      </w:r>
    </w:p>
    <w:p w14:paraId="403DFAB1" w14:textId="77777777" w:rsidR="00DE61B1" w:rsidRPr="0004728F" w:rsidRDefault="00DE61B1" w:rsidP="00DE61B1">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04728F">
        <w:rPr>
          <w:rFonts w:ascii="Times New Roman" w:eastAsia="Times New Roman" w:hAnsi="Times New Roman" w:cs="Times New Roman"/>
          <w:b/>
          <w:bCs/>
          <w:color w:val="auto"/>
          <w:sz w:val="24"/>
          <w:szCs w:val="24"/>
          <w:lang w:eastAsia="en-GB"/>
        </w:rPr>
        <w:t>B. AMR Financing &amp; Fiscal Space</w:t>
      </w:r>
    </w:p>
    <w:p w14:paraId="24C73F08"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 xml:space="preserve">Across all 10+ countries, AMR remained </w:t>
      </w:r>
      <w:r w:rsidRPr="0004728F">
        <w:rPr>
          <w:rFonts w:ascii="Times New Roman" w:eastAsia="Times New Roman" w:hAnsi="Times New Roman" w:cs="Times New Roman"/>
          <w:b/>
          <w:bCs/>
          <w:color w:val="auto"/>
          <w:sz w:val="24"/>
          <w:szCs w:val="24"/>
          <w:lang w:eastAsia="en-GB"/>
        </w:rPr>
        <w:t>underfunded</w:t>
      </w:r>
      <w:r w:rsidRPr="0004728F">
        <w:rPr>
          <w:rFonts w:ascii="Times New Roman" w:eastAsia="Times New Roman" w:hAnsi="Times New Roman" w:cs="Times New Roman"/>
          <w:color w:val="auto"/>
          <w:sz w:val="24"/>
          <w:szCs w:val="24"/>
          <w:lang w:eastAsia="en-GB"/>
        </w:rPr>
        <w:t>, with heavy reliance on donors.</w:t>
      </w:r>
      <w:r w:rsidRPr="0004728F">
        <w:rPr>
          <w:rFonts w:ascii="Times New Roman" w:eastAsia="Times New Roman" w:hAnsi="Times New Roman" w:cs="Times New Roman"/>
          <w:color w:val="auto"/>
          <w:sz w:val="24"/>
          <w:szCs w:val="24"/>
          <w:lang w:eastAsia="en-GB"/>
        </w:rPr>
        <w:br/>
        <w:t>Countries with emerging domestic financing:</w:t>
      </w:r>
    </w:p>
    <w:p w14:paraId="0AC9CA82" w14:textId="77777777" w:rsidR="00DE61B1" w:rsidRPr="0004728F" w:rsidRDefault="00DE61B1" w:rsidP="00DE61B1">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Ghana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Kenya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Rwanda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color w:val="auto"/>
          <w:sz w:val="24"/>
          <w:szCs w:val="24"/>
          <w:lang w:eastAsia="en-GB"/>
        </w:rPr>
        <w:br/>
        <w:t>Countries with severe fiscal constraints:</w:t>
      </w:r>
    </w:p>
    <w:p w14:paraId="7A6AA455" w14:textId="77777777" w:rsidR="00DE61B1" w:rsidRPr="0004728F" w:rsidRDefault="00DE61B1" w:rsidP="00DE61B1">
      <w:pPr>
        <w:numPr>
          <w:ilvl w:val="0"/>
          <w:numId w:val="3"/>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Sierra Leone</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Malawi</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Ethiopia</w:t>
      </w:r>
    </w:p>
    <w:p w14:paraId="682F392D"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Explore:</w:t>
      </w:r>
      <w:r w:rsidRPr="0004728F">
        <w:rPr>
          <w:rFonts w:ascii="Times New Roman" w:eastAsia="Times New Roman" w:hAnsi="Times New Roman" w:cs="Times New Roman"/>
          <w:color w:val="auto"/>
          <w:sz w:val="24"/>
          <w:szCs w:val="24"/>
          <w:lang w:eastAsia="en-GB"/>
        </w:rPr>
        <w:br/>
        <w:t>AMR financing models</w:t>
      </w:r>
    </w:p>
    <w:p w14:paraId="76B16D8D" w14:textId="77777777" w:rsidR="00DE61B1" w:rsidRPr="0004728F" w:rsidRDefault="00DE61B1" w:rsidP="00DE61B1">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04728F">
        <w:rPr>
          <w:rFonts w:ascii="Times New Roman" w:eastAsia="Times New Roman" w:hAnsi="Times New Roman" w:cs="Times New Roman"/>
          <w:b/>
          <w:bCs/>
          <w:color w:val="auto"/>
          <w:sz w:val="24"/>
          <w:szCs w:val="24"/>
          <w:lang w:eastAsia="en-GB"/>
        </w:rPr>
        <w:t>C. Laboratory &amp; Surveillance Capacity</w:t>
      </w:r>
    </w:p>
    <w:p w14:paraId="0FC4C43E"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GLASS</w:t>
      </w:r>
      <w:r w:rsidRPr="0004728F">
        <w:rPr>
          <w:rFonts w:ascii="Times New Roman" w:eastAsia="Times New Roman" w:hAnsi="Times New Roman" w:cs="Times New Roman"/>
          <w:color w:val="auto"/>
          <w:sz w:val="24"/>
          <w:szCs w:val="24"/>
          <w:lang w:eastAsia="en-GB"/>
        </w:rPr>
        <w:noBreakHyphen/>
        <w:t>quality data remained limited across the region.</w:t>
      </w:r>
      <w:r w:rsidRPr="0004728F">
        <w:rPr>
          <w:rFonts w:ascii="Times New Roman" w:eastAsia="Times New Roman" w:hAnsi="Times New Roman" w:cs="Times New Roman"/>
          <w:color w:val="auto"/>
          <w:sz w:val="24"/>
          <w:szCs w:val="24"/>
          <w:lang w:eastAsia="en-GB"/>
        </w:rPr>
        <w:br/>
        <w:t>Countries with relatively stronger labs:</w:t>
      </w:r>
    </w:p>
    <w:p w14:paraId="0AA94855" w14:textId="77777777" w:rsidR="00DE61B1" w:rsidRPr="0004728F" w:rsidRDefault="00DE61B1" w:rsidP="00DE61B1">
      <w:pPr>
        <w:numPr>
          <w:ilvl w:val="0"/>
          <w:numId w:val="4"/>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South Africa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Kenya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Rwanda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color w:val="auto"/>
          <w:sz w:val="24"/>
          <w:szCs w:val="24"/>
          <w:lang w:eastAsia="en-GB"/>
        </w:rPr>
        <w:br/>
        <w:t>Countries with major gaps:</w:t>
      </w:r>
    </w:p>
    <w:p w14:paraId="1B489523" w14:textId="77777777" w:rsidR="00DE61B1" w:rsidRPr="0004728F" w:rsidRDefault="00DE61B1" w:rsidP="00DE61B1">
      <w:pPr>
        <w:numPr>
          <w:ilvl w:val="0"/>
          <w:numId w:val="4"/>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Sierra Leone</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Malawi</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Zambia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Tanzania</w:t>
      </w:r>
    </w:p>
    <w:p w14:paraId="4A8E124B"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Explore:</w:t>
      </w:r>
      <w:r w:rsidRPr="0004728F">
        <w:rPr>
          <w:rFonts w:ascii="Times New Roman" w:eastAsia="Times New Roman" w:hAnsi="Times New Roman" w:cs="Times New Roman"/>
          <w:color w:val="auto"/>
          <w:sz w:val="24"/>
          <w:szCs w:val="24"/>
          <w:lang w:eastAsia="en-GB"/>
        </w:rPr>
        <w:br/>
        <w:t>AMR laboratory systems</w:t>
      </w:r>
    </w:p>
    <w:p w14:paraId="47609206" w14:textId="77777777" w:rsidR="00DE61B1" w:rsidRPr="0004728F" w:rsidRDefault="00DE61B1" w:rsidP="00DE61B1">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04728F">
        <w:rPr>
          <w:rFonts w:ascii="Times New Roman" w:eastAsia="Times New Roman" w:hAnsi="Times New Roman" w:cs="Times New Roman"/>
          <w:b/>
          <w:bCs/>
          <w:color w:val="auto"/>
          <w:sz w:val="24"/>
          <w:szCs w:val="24"/>
          <w:lang w:eastAsia="en-GB"/>
        </w:rPr>
        <w:t>D. Veterinary, Livestock &amp; Food Safety Systems</w:t>
      </w:r>
    </w:p>
    <w:p w14:paraId="5ECED4A8"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High antimicrobial use in livestock persisted across:</w:t>
      </w:r>
    </w:p>
    <w:p w14:paraId="3FC12120" w14:textId="77777777" w:rsidR="00DE61B1" w:rsidRPr="0004728F" w:rsidRDefault="00DE61B1" w:rsidP="00DE61B1">
      <w:pPr>
        <w:numPr>
          <w:ilvl w:val="0"/>
          <w:numId w:val="5"/>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Nigeria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Kenya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Tanzania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Uganda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Ghana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color w:val="auto"/>
          <w:sz w:val="24"/>
          <w:szCs w:val="24"/>
          <w:lang w:eastAsia="en-GB"/>
        </w:rPr>
        <w:br/>
        <w:t>Regulatory enforcement remained weak in most countries.</w:t>
      </w:r>
    </w:p>
    <w:p w14:paraId="6F209845"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lastRenderedPageBreak/>
        <w:t>Explore:</w:t>
      </w:r>
      <w:r w:rsidRPr="0004728F">
        <w:rPr>
          <w:rFonts w:ascii="Times New Roman" w:eastAsia="Times New Roman" w:hAnsi="Times New Roman" w:cs="Times New Roman"/>
          <w:color w:val="auto"/>
          <w:sz w:val="24"/>
          <w:szCs w:val="24"/>
          <w:lang w:eastAsia="en-GB"/>
        </w:rPr>
        <w:br/>
        <w:t>AMR in livestock</w:t>
      </w:r>
    </w:p>
    <w:p w14:paraId="507E927D" w14:textId="77777777" w:rsidR="00DE61B1" w:rsidRPr="0004728F" w:rsidRDefault="00DE61B1" w:rsidP="00DE61B1">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04728F">
        <w:rPr>
          <w:rFonts w:ascii="Times New Roman" w:eastAsia="Times New Roman" w:hAnsi="Times New Roman" w:cs="Times New Roman"/>
          <w:b/>
          <w:bCs/>
          <w:color w:val="auto"/>
          <w:sz w:val="24"/>
          <w:szCs w:val="24"/>
          <w:lang w:eastAsia="en-GB"/>
        </w:rPr>
        <w:t>E. Environmental AMR Systems</w:t>
      </w:r>
    </w:p>
    <w:p w14:paraId="22C6B62E"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 xml:space="preserve">Environmental surveillance was </w:t>
      </w:r>
      <w:r w:rsidRPr="0004728F">
        <w:rPr>
          <w:rFonts w:ascii="Times New Roman" w:eastAsia="Times New Roman" w:hAnsi="Times New Roman" w:cs="Times New Roman"/>
          <w:b/>
          <w:bCs/>
          <w:color w:val="auto"/>
          <w:sz w:val="24"/>
          <w:szCs w:val="24"/>
          <w:lang w:eastAsia="en-GB"/>
        </w:rPr>
        <w:t>nascent or absent</w:t>
      </w:r>
      <w:r w:rsidRPr="0004728F">
        <w:rPr>
          <w:rFonts w:ascii="Times New Roman" w:eastAsia="Times New Roman" w:hAnsi="Times New Roman" w:cs="Times New Roman"/>
          <w:color w:val="auto"/>
          <w:sz w:val="24"/>
          <w:szCs w:val="24"/>
          <w:lang w:eastAsia="en-GB"/>
        </w:rPr>
        <w:t xml:space="preserve"> in nearly all countries except:</w:t>
      </w:r>
    </w:p>
    <w:p w14:paraId="3C47C459" w14:textId="77777777" w:rsidR="00DE61B1" w:rsidRPr="0004728F" w:rsidRDefault="00DE61B1" w:rsidP="00DE61B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South Africa</w:t>
      </w:r>
    </w:p>
    <w:p w14:paraId="284468AB" w14:textId="77777777" w:rsidR="00DE61B1" w:rsidRPr="0004728F" w:rsidRDefault="00DE61B1" w:rsidP="00DE61B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Rwanda</w:t>
      </w:r>
      <w:r w:rsidRPr="0004728F">
        <w:rPr>
          <w:rFonts w:ascii="Times New Roman" w:eastAsia="Times New Roman" w:hAnsi="Times New Roman" w:cs="Times New Roman"/>
          <w:color w:val="auto"/>
          <w:sz w:val="24"/>
          <w:szCs w:val="24"/>
          <w:lang w:eastAsia="en-GB"/>
        </w:rPr>
        <w:t xml:space="preserve"> (pilot wastewater monitoring)</w:t>
      </w:r>
    </w:p>
    <w:p w14:paraId="637035E5" w14:textId="77777777" w:rsidR="00DE61B1" w:rsidRPr="0004728F" w:rsidRDefault="00DE61B1" w:rsidP="00DE61B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Kenya</w:t>
      </w:r>
      <w:r w:rsidRPr="0004728F">
        <w:rPr>
          <w:rFonts w:ascii="Times New Roman" w:eastAsia="Times New Roman" w:hAnsi="Times New Roman" w:cs="Times New Roman"/>
          <w:color w:val="auto"/>
          <w:sz w:val="24"/>
          <w:szCs w:val="24"/>
          <w:lang w:eastAsia="en-GB"/>
        </w:rPr>
        <w:t xml:space="preserve"> (university</w:t>
      </w:r>
      <w:r w:rsidRPr="0004728F">
        <w:rPr>
          <w:rFonts w:ascii="Times New Roman" w:eastAsia="Times New Roman" w:hAnsi="Times New Roman" w:cs="Times New Roman"/>
          <w:color w:val="auto"/>
          <w:sz w:val="24"/>
          <w:szCs w:val="24"/>
          <w:lang w:eastAsia="en-GB"/>
        </w:rPr>
        <w:noBreakHyphen/>
        <w:t>led initiatives)</w:t>
      </w:r>
    </w:p>
    <w:p w14:paraId="62D080DC"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Explore:</w:t>
      </w:r>
      <w:r w:rsidRPr="0004728F">
        <w:rPr>
          <w:rFonts w:ascii="Times New Roman" w:eastAsia="Times New Roman" w:hAnsi="Times New Roman" w:cs="Times New Roman"/>
          <w:color w:val="auto"/>
          <w:sz w:val="24"/>
          <w:szCs w:val="24"/>
          <w:lang w:eastAsia="en-GB"/>
        </w:rPr>
        <w:br/>
        <w:t>Environmental AMR</w:t>
      </w:r>
    </w:p>
    <w:p w14:paraId="73EC5C9F" w14:textId="77777777" w:rsidR="00DE61B1" w:rsidRPr="0004728F" w:rsidRDefault="00DE61B1" w:rsidP="00DE61B1">
      <w:pPr>
        <w:spacing w:before="100" w:beforeAutospacing="1" w:after="100" w:afterAutospacing="1" w:line="240" w:lineRule="auto"/>
        <w:outlineLvl w:val="2"/>
        <w:rPr>
          <w:rFonts w:ascii="Times New Roman" w:eastAsia="Times New Roman" w:hAnsi="Times New Roman" w:cs="Times New Roman"/>
          <w:b/>
          <w:bCs/>
          <w:color w:val="auto"/>
          <w:sz w:val="24"/>
          <w:szCs w:val="24"/>
          <w:lang w:eastAsia="en-GB"/>
        </w:rPr>
      </w:pPr>
      <w:r w:rsidRPr="0004728F">
        <w:rPr>
          <w:rFonts w:ascii="Times New Roman" w:eastAsia="Times New Roman" w:hAnsi="Times New Roman" w:cs="Times New Roman"/>
          <w:b/>
          <w:bCs/>
          <w:color w:val="auto"/>
          <w:sz w:val="24"/>
          <w:szCs w:val="24"/>
          <w:lang w:eastAsia="en-GB"/>
        </w:rPr>
        <w:t>F. Digital Health &amp; Data Interoperability</w:t>
      </w:r>
    </w:p>
    <w:p w14:paraId="4DAA44C2"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Countries with strong digital surveillance foundations:</w:t>
      </w:r>
    </w:p>
    <w:p w14:paraId="181CB034" w14:textId="77777777" w:rsidR="00DE61B1" w:rsidRPr="0004728F" w:rsidRDefault="00DE61B1" w:rsidP="00DE61B1">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Nigeria</w:t>
      </w:r>
      <w:r w:rsidRPr="0004728F">
        <w:rPr>
          <w:rFonts w:ascii="Times New Roman" w:eastAsia="Times New Roman" w:hAnsi="Times New Roman" w:cs="Times New Roman"/>
          <w:color w:val="auto"/>
          <w:sz w:val="24"/>
          <w:szCs w:val="24"/>
          <w:lang w:eastAsia="en-GB"/>
        </w:rPr>
        <w:t xml:space="preserve"> (SORMAS, mSERS)</w:t>
      </w:r>
    </w:p>
    <w:p w14:paraId="1FA079AF" w14:textId="77777777" w:rsidR="00DE61B1" w:rsidRPr="0004728F" w:rsidRDefault="00DE61B1" w:rsidP="00DE61B1">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Kenya</w:t>
      </w:r>
      <w:r w:rsidRPr="0004728F">
        <w:rPr>
          <w:rFonts w:ascii="Times New Roman" w:eastAsia="Times New Roman" w:hAnsi="Times New Roman" w:cs="Times New Roman"/>
          <w:color w:val="auto"/>
          <w:sz w:val="24"/>
          <w:szCs w:val="24"/>
          <w:lang w:eastAsia="en-GB"/>
        </w:rPr>
        <w:t xml:space="preserve"> (DHIS2, lab systems)</w:t>
      </w:r>
    </w:p>
    <w:p w14:paraId="6A68EA4A" w14:textId="77777777" w:rsidR="00DE61B1" w:rsidRPr="0004728F" w:rsidRDefault="00DE61B1" w:rsidP="00DE61B1">
      <w:pPr>
        <w:numPr>
          <w:ilvl w:val="0"/>
          <w:numId w:val="7"/>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Rwanda</w:t>
      </w:r>
      <w:r w:rsidRPr="0004728F">
        <w:rPr>
          <w:rFonts w:ascii="Times New Roman" w:eastAsia="Times New Roman" w:hAnsi="Times New Roman" w:cs="Times New Roman"/>
          <w:color w:val="auto"/>
          <w:sz w:val="24"/>
          <w:szCs w:val="24"/>
          <w:lang w:eastAsia="en-GB"/>
        </w:rPr>
        <w:t xml:space="preserve"> (Irembo, RBC digital systems)</w:t>
      </w:r>
    </w:p>
    <w:p w14:paraId="55F1102B" w14:textId="77777777" w:rsidR="00DE61B1" w:rsidRPr="0004728F" w:rsidRDefault="00DE61B1" w:rsidP="00DE61B1">
      <w:p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Countries with fragmented systems:</w:t>
      </w:r>
    </w:p>
    <w:p w14:paraId="1C06220E" w14:textId="77777777" w:rsidR="00DE61B1" w:rsidRPr="0004728F" w:rsidRDefault="00DE61B1" w:rsidP="00DE61B1">
      <w:pPr>
        <w:numPr>
          <w:ilvl w:val="0"/>
          <w:numId w:val="8"/>
        </w:numPr>
        <w:spacing w:before="100" w:beforeAutospacing="1" w:after="100" w:afterAutospacing="1" w:line="240" w:lineRule="auto"/>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b/>
          <w:bCs/>
          <w:color w:val="auto"/>
          <w:sz w:val="24"/>
          <w:szCs w:val="24"/>
          <w:lang w:eastAsia="en-GB"/>
        </w:rPr>
        <w:t>Malawi</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Zambia</w:t>
      </w:r>
      <w:r w:rsidRPr="0004728F">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b/>
          <w:bCs/>
          <w:color w:val="auto"/>
          <w:sz w:val="24"/>
          <w:szCs w:val="24"/>
          <w:lang w:eastAsia="en-GB"/>
        </w:rPr>
        <w:t>Sierra Leone</w:t>
      </w:r>
    </w:p>
    <w:p w14:paraId="32554429" w14:textId="77777777" w:rsidR="00DE61B1" w:rsidRPr="0004728F" w:rsidRDefault="00DE61B1" w:rsidP="00DE61B1">
      <w:pPr>
        <w:spacing w:before="100" w:beforeAutospacing="1" w:after="100" w:afterAutospacing="1" w:line="240" w:lineRule="auto"/>
        <w:outlineLvl w:val="0"/>
        <w:rPr>
          <w:rFonts w:ascii="Times New Roman" w:eastAsia="Times New Roman" w:hAnsi="Times New Roman" w:cs="Times New Roman"/>
          <w:color w:val="auto"/>
          <w:sz w:val="24"/>
          <w:szCs w:val="24"/>
          <w:lang w:eastAsia="en-GB"/>
        </w:rPr>
      </w:pPr>
      <w:r w:rsidRPr="0004728F">
        <w:rPr>
          <w:rFonts w:ascii="Times New Roman" w:eastAsia="Times New Roman" w:hAnsi="Times New Roman" w:cs="Times New Roman"/>
          <w:color w:val="auto"/>
          <w:sz w:val="24"/>
          <w:szCs w:val="24"/>
          <w:lang w:eastAsia="en-GB"/>
        </w:rPr>
        <w:t>Explore:</w:t>
      </w:r>
      <w:r>
        <w:rPr>
          <w:rFonts w:ascii="Times New Roman" w:eastAsia="Times New Roman" w:hAnsi="Times New Roman" w:cs="Times New Roman"/>
          <w:color w:val="auto"/>
          <w:sz w:val="24"/>
          <w:szCs w:val="24"/>
          <w:lang w:eastAsia="en-GB"/>
        </w:rPr>
        <w:t xml:space="preserve"> </w:t>
      </w:r>
      <w:r w:rsidRPr="0004728F">
        <w:rPr>
          <w:rFonts w:ascii="Times New Roman" w:eastAsia="Times New Roman" w:hAnsi="Times New Roman" w:cs="Times New Roman"/>
          <w:color w:val="auto"/>
          <w:sz w:val="24"/>
          <w:szCs w:val="24"/>
          <w:lang w:eastAsia="en-GB"/>
        </w:rPr>
        <w:t>Digital AMR systems</w:t>
      </w:r>
    </w:p>
    <w:p w14:paraId="36918332" w14:textId="77777777" w:rsidR="004B5C16" w:rsidRDefault="004B5C16"/>
    <w:sectPr w:rsidR="004B5C16" w:rsidSect="007A0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B35"/>
    <w:multiLevelType w:val="multilevel"/>
    <w:tmpl w:val="F98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0329"/>
    <w:multiLevelType w:val="multilevel"/>
    <w:tmpl w:val="B73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2723"/>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C69B6"/>
    <w:multiLevelType w:val="multilevel"/>
    <w:tmpl w:val="90A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0367C"/>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B3550"/>
    <w:multiLevelType w:val="multilevel"/>
    <w:tmpl w:val="F2A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0358E"/>
    <w:multiLevelType w:val="multilevel"/>
    <w:tmpl w:val="84E4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40C24"/>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517AF"/>
    <w:multiLevelType w:val="multilevel"/>
    <w:tmpl w:val="B9F0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63390"/>
    <w:multiLevelType w:val="multilevel"/>
    <w:tmpl w:val="C67A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53FEF"/>
    <w:multiLevelType w:val="multilevel"/>
    <w:tmpl w:val="EAB4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B302E"/>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C7C07"/>
    <w:multiLevelType w:val="multilevel"/>
    <w:tmpl w:val="CCB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262E7"/>
    <w:multiLevelType w:val="multilevel"/>
    <w:tmpl w:val="0EAA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26599"/>
    <w:multiLevelType w:val="multilevel"/>
    <w:tmpl w:val="D03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500F6"/>
    <w:multiLevelType w:val="multilevel"/>
    <w:tmpl w:val="29C0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C8220D"/>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A3B83"/>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A1E83"/>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C147E"/>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44388"/>
    <w:multiLevelType w:val="multilevel"/>
    <w:tmpl w:val="FFA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94056">
    <w:abstractNumId w:val="19"/>
  </w:num>
  <w:num w:numId="2" w16cid:durableId="1736319731">
    <w:abstractNumId w:val="4"/>
  </w:num>
  <w:num w:numId="3" w16cid:durableId="2076276363">
    <w:abstractNumId w:val="16"/>
  </w:num>
  <w:num w:numId="4" w16cid:durableId="859243106">
    <w:abstractNumId w:val="18"/>
  </w:num>
  <w:num w:numId="5" w16cid:durableId="842281486">
    <w:abstractNumId w:val="2"/>
  </w:num>
  <w:num w:numId="6" w16cid:durableId="1559592212">
    <w:abstractNumId w:val="17"/>
  </w:num>
  <w:num w:numId="7" w16cid:durableId="1994404278">
    <w:abstractNumId w:val="7"/>
  </w:num>
  <w:num w:numId="8" w16cid:durableId="456799941">
    <w:abstractNumId w:val="11"/>
  </w:num>
  <w:num w:numId="9" w16cid:durableId="1108813866">
    <w:abstractNumId w:val="5"/>
  </w:num>
  <w:num w:numId="10" w16cid:durableId="98986480">
    <w:abstractNumId w:val="1"/>
  </w:num>
  <w:num w:numId="11" w16cid:durableId="869952654">
    <w:abstractNumId w:val="14"/>
  </w:num>
  <w:num w:numId="12" w16cid:durableId="1101922615">
    <w:abstractNumId w:val="12"/>
  </w:num>
  <w:num w:numId="13" w16cid:durableId="1427460771">
    <w:abstractNumId w:val="8"/>
  </w:num>
  <w:num w:numId="14" w16cid:durableId="2058240305">
    <w:abstractNumId w:val="0"/>
  </w:num>
  <w:num w:numId="15" w16cid:durableId="287587369">
    <w:abstractNumId w:val="6"/>
  </w:num>
  <w:num w:numId="16" w16cid:durableId="529729071">
    <w:abstractNumId w:val="9"/>
  </w:num>
  <w:num w:numId="17" w16cid:durableId="3165547">
    <w:abstractNumId w:val="13"/>
  </w:num>
  <w:num w:numId="18" w16cid:durableId="1521434327">
    <w:abstractNumId w:val="10"/>
  </w:num>
  <w:num w:numId="19" w16cid:durableId="780613511">
    <w:abstractNumId w:val="20"/>
  </w:num>
  <w:num w:numId="20" w16cid:durableId="931937164">
    <w:abstractNumId w:val="15"/>
  </w:num>
  <w:num w:numId="21" w16cid:durableId="691567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B1"/>
    <w:rsid w:val="001C4C2E"/>
    <w:rsid w:val="00271E5A"/>
    <w:rsid w:val="004A4627"/>
    <w:rsid w:val="004B5C16"/>
    <w:rsid w:val="00584449"/>
    <w:rsid w:val="006A0040"/>
    <w:rsid w:val="007A08AB"/>
    <w:rsid w:val="009F2251"/>
    <w:rsid w:val="00C679D7"/>
    <w:rsid w:val="00D3212E"/>
    <w:rsid w:val="00DA202C"/>
    <w:rsid w:val="00DE61B1"/>
    <w:rsid w:val="00F4612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C2D8"/>
  <w15:chartTrackingRefBased/>
  <w15:docId w15:val="{703F7B57-B236-A447-A207-6F1A0808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DE61B1"/>
    <w:pPr>
      <w:spacing w:after="160" w:line="259" w:lineRule="auto"/>
    </w:pPr>
    <w:rPr>
      <w:color w:val="156082" w:themeColor="accent1"/>
      <w:kern w:val="0"/>
      <w:sz w:val="22"/>
      <w:szCs w:val="22"/>
      <w:lang w:val="en-NG"/>
      <w14:ligatures w14:val="none"/>
    </w:rPr>
  </w:style>
  <w:style w:type="paragraph" w:styleId="Heading1">
    <w:name w:val="heading 1"/>
    <w:basedOn w:val="Normal"/>
    <w:next w:val="Normal"/>
    <w:link w:val="Heading1Char"/>
    <w:uiPriority w:val="9"/>
    <w:qFormat/>
    <w:rsid w:val="00DE6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6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0040"/>
    <w:rPr>
      <w:color w:val="156082" w:themeColor="accent1"/>
      <w:kern w:val="0"/>
      <w:sz w:val="22"/>
      <w:szCs w:val="22"/>
      <w:lang w:val="en-NG"/>
      <w14:ligatures w14:val="none"/>
    </w:rPr>
  </w:style>
  <w:style w:type="character" w:styleId="FootnoteReference">
    <w:name w:val="footnote reference"/>
    <w:basedOn w:val="DefaultParagraphFont"/>
    <w:uiPriority w:val="99"/>
    <w:unhideWhenUsed/>
    <w:rsid w:val="009F2251"/>
    <w:rPr>
      <w:vertAlign w:val="superscript"/>
    </w:rPr>
  </w:style>
  <w:style w:type="character" w:customStyle="1" w:styleId="Heading1Char">
    <w:name w:val="Heading 1 Char"/>
    <w:basedOn w:val="DefaultParagraphFont"/>
    <w:link w:val="Heading1"/>
    <w:uiPriority w:val="9"/>
    <w:rsid w:val="00DE61B1"/>
    <w:rPr>
      <w:rFonts w:asciiTheme="majorHAnsi" w:eastAsiaTheme="majorEastAsia" w:hAnsiTheme="majorHAnsi" w:cstheme="majorBidi"/>
      <w:color w:val="0F4761" w:themeColor="accent1" w:themeShade="BF"/>
      <w:kern w:val="0"/>
      <w:sz w:val="40"/>
      <w:szCs w:val="40"/>
      <w:lang w:val="en-NG"/>
      <w14:ligatures w14:val="none"/>
    </w:rPr>
  </w:style>
  <w:style w:type="character" w:customStyle="1" w:styleId="Heading2Char">
    <w:name w:val="Heading 2 Char"/>
    <w:basedOn w:val="DefaultParagraphFont"/>
    <w:link w:val="Heading2"/>
    <w:uiPriority w:val="9"/>
    <w:rsid w:val="00DE61B1"/>
    <w:rPr>
      <w:rFonts w:asciiTheme="majorHAnsi" w:eastAsiaTheme="majorEastAsia" w:hAnsiTheme="majorHAnsi" w:cstheme="majorBidi"/>
      <w:color w:val="0F4761" w:themeColor="accent1" w:themeShade="BF"/>
      <w:kern w:val="0"/>
      <w:sz w:val="32"/>
      <w:szCs w:val="32"/>
      <w:lang w:val="en-NG"/>
      <w14:ligatures w14:val="none"/>
    </w:rPr>
  </w:style>
  <w:style w:type="character" w:customStyle="1" w:styleId="Heading3Char">
    <w:name w:val="Heading 3 Char"/>
    <w:basedOn w:val="DefaultParagraphFont"/>
    <w:link w:val="Heading3"/>
    <w:uiPriority w:val="9"/>
    <w:rsid w:val="00DE61B1"/>
    <w:rPr>
      <w:rFonts w:eastAsiaTheme="majorEastAsia" w:cstheme="majorBidi"/>
      <w:color w:val="0F4761" w:themeColor="accent1" w:themeShade="BF"/>
      <w:kern w:val="0"/>
      <w:sz w:val="28"/>
      <w:szCs w:val="28"/>
      <w:lang w:val="en-NG"/>
      <w14:ligatures w14:val="none"/>
    </w:rPr>
  </w:style>
  <w:style w:type="character" w:customStyle="1" w:styleId="Heading4Char">
    <w:name w:val="Heading 4 Char"/>
    <w:basedOn w:val="DefaultParagraphFont"/>
    <w:link w:val="Heading4"/>
    <w:uiPriority w:val="9"/>
    <w:semiHidden/>
    <w:rsid w:val="00DE61B1"/>
    <w:rPr>
      <w:rFonts w:eastAsiaTheme="majorEastAsia" w:cstheme="majorBidi"/>
      <w:i/>
      <w:iCs/>
      <w:color w:val="0F4761" w:themeColor="accent1" w:themeShade="BF"/>
      <w:kern w:val="0"/>
      <w:sz w:val="22"/>
      <w:szCs w:val="22"/>
      <w:lang w:val="en-NG"/>
      <w14:ligatures w14:val="none"/>
    </w:rPr>
  </w:style>
  <w:style w:type="character" w:customStyle="1" w:styleId="Heading5Char">
    <w:name w:val="Heading 5 Char"/>
    <w:basedOn w:val="DefaultParagraphFont"/>
    <w:link w:val="Heading5"/>
    <w:uiPriority w:val="9"/>
    <w:semiHidden/>
    <w:rsid w:val="00DE61B1"/>
    <w:rPr>
      <w:rFonts w:eastAsiaTheme="majorEastAsia" w:cstheme="majorBidi"/>
      <w:color w:val="0F4761" w:themeColor="accent1" w:themeShade="BF"/>
      <w:kern w:val="0"/>
      <w:sz w:val="22"/>
      <w:szCs w:val="22"/>
      <w:lang w:val="en-NG"/>
      <w14:ligatures w14:val="none"/>
    </w:rPr>
  </w:style>
  <w:style w:type="character" w:customStyle="1" w:styleId="Heading6Char">
    <w:name w:val="Heading 6 Char"/>
    <w:basedOn w:val="DefaultParagraphFont"/>
    <w:link w:val="Heading6"/>
    <w:uiPriority w:val="9"/>
    <w:semiHidden/>
    <w:rsid w:val="00DE61B1"/>
    <w:rPr>
      <w:rFonts w:eastAsiaTheme="majorEastAsia" w:cstheme="majorBidi"/>
      <w:i/>
      <w:iCs/>
      <w:color w:val="595959" w:themeColor="text1" w:themeTint="A6"/>
      <w:kern w:val="0"/>
      <w:sz w:val="22"/>
      <w:szCs w:val="22"/>
      <w:lang w:val="en-NG"/>
      <w14:ligatures w14:val="none"/>
    </w:rPr>
  </w:style>
  <w:style w:type="character" w:customStyle="1" w:styleId="Heading7Char">
    <w:name w:val="Heading 7 Char"/>
    <w:basedOn w:val="DefaultParagraphFont"/>
    <w:link w:val="Heading7"/>
    <w:uiPriority w:val="9"/>
    <w:semiHidden/>
    <w:rsid w:val="00DE61B1"/>
    <w:rPr>
      <w:rFonts w:eastAsiaTheme="majorEastAsia" w:cstheme="majorBidi"/>
      <w:color w:val="595959" w:themeColor="text1" w:themeTint="A6"/>
      <w:kern w:val="0"/>
      <w:sz w:val="22"/>
      <w:szCs w:val="22"/>
      <w:lang w:val="en-NG"/>
      <w14:ligatures w14:val="none"/>
    </w:rPr>
  </w:style>
  <w:style w:type="character" w:customStyle="1" w:styleId="Heading8Char">
    <w:name w:val="Heading 8 Char"/>
    <w:basedOn w:val="DefaultParagraphFont"/>
    <w:link w:val="Heading8"/>
    <w:uiPriority w:val="9"/>
    <w:semiHidden/>
    <w:rsid w:val="00DE61B1"/>
    <w:rPr>
      <w:rFonts w:eastAsiaTheme="majorEastAsia" w:cstheme="majorBidi"/>
      <w:i/>
      <w:iCs/>
      <w:color w:val="272727" w:themeColor="text1" w:themeTint="D8"/>
      <w:kern w:val="0"/>
      <w:sz w:val="22"/>
      <w:szCs w:val="22"/>
      <w:lang w:val="en-NG"/>
      <w14:ligatures w14:val="none"/>
    </w:rPr>
  </w:style>
  <w:style w:type="character" w:customStyle="1" w:styleId="Heading9Char">
    <w:name w:val="Heading 9 Char"/>
    <w:basedOn w:val="DefaultParagraphFont"/>
    <w:link w:val="Heading9"/>
    <w:uiPriority w:val="9"/>
    <w:semiHidden/>
    <w:rsid w:val="00DE61B1"/>
    <w:rPr>
      <w:rFonts w:eastAsiaTheme="majorEastAsia" w:cstheme="majorBidi"/>
      <w:color w:val="272727" w:themeColor="text1" w:themeTint="D8"/>
      <w:kern w:val="0"/>
      <w:sz w:val="22"/>
      <w:szCs w:val="22"/>
      <w:lang w:val="en-NG"/>
      <w14:ligatures w14:val="none"/>
    </w:rPr>
  </w:style>
  <w:style w:type="paragraph" w:styleId="Title">
    <w:name w:val="Title"/>
    <w:basedOn w:val="Normal"/>
    <w:next w:val="Normal"/>
    <w:link w:val="TitleChar"/>
    <w:uiPriority w:val="10"/>
    <w:qFormat/>
    <w:rsid w:val="00DE61B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E61B1"/>
    <w:rPr>
      <w:rFonts w:asciiTheme="majorHAnsi" w:eastAsiaTheme="majorEastAsia" w:hAnsiTheme="majorHAnsi" w:cstheme="majorBidi"/>
      <w:spacing w:val="-10"/>
      <w:kern w:val="28"/>
      <w:sz w:val="56"/>
      <w:szCs w:val="56"/>
      <w:lang w:val="en-NG"/>
      <w14:ligatures w14:val="none"/>
    </w:rPr>
  </w:style>
  <w:style w:type="paragraph" w:styleId="Subtitle">
    <w:name w:val="Subtitle"/>
    <w:basedOn w:val="Normal"/>
    <w:next w:val="Normal"/>
    <w:link w:val="SubtitleChar"/>
    <w:uiPriority w:val="11"/>
    <w:qFormat/>
    <w:rsid w:val="00DE6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1B1"/>
    <w:rPr>
      <w:rFonts w:eastAsiaTheme="majorEastAsia" w:cstheme="majorBidi"/>
      <w:color w:val="595959" w:themeColor="text1" w:themeTint="A6"/>
      <w:spacing w:val="15"/>
      <w:kern w:val="0"/>
      <w:sz w:val="28"/>
      <w:szCs w:val="28"/>
      <w:lang w:val="en-NG"/>
      <w14:ligatures w14:val="none"/>
    </w:rPr>
  </w:style>
  <w:style w:type="paragraph" w:styleId="Quote">
    <w:name w:val="Quote"/>
    <w:basedOn w:val="Normal"/>
    <w:next w:val="Normal"/>
    <w:link w:val="QuoteChar"/>
    <w:uiPriority w:val="29"/>
    <w:qFormat/>
    <w:rsid w:val="00DE61B1"/>
    <w:pPr>
      <w:spacing w:before="160"/>
      <w:jc w:val="center"/>
    </w:pPr>
    <w:rPr>
      <w:i/>
      <w:iCs/>
      <w:color w:val="404040" w:themeColor="text1" w:themeTint="BF"/>
    </w:rPr>
  </w:style>
  <w:style w:type="character" w:customStyle="1" w:styleId="QuoteChar">
    <w:name w:val="Quote Char"/>
    <w:basedOn w:val="DefaultParagraphFont"/>
    <w:link w:val="Quote"/>
    <w:uiPriority w:val="29"/>
    <w:rsid w:val="00DE61B1"/>
    <w:rPr>
      <w:i/>
      <w:iCs/>
      <w:color w:val="404040" w:themeColor="text1" w:themeTint="BF"/>
      <w:kern w:val="0"/>
      <w:sz w:val="22"/>
      <w:szCs w:val="22"/>
      <w:lang w:val="en-NG"/>
      <w14:ligatures w14:val="none"/>
    </w:rPr>
  </w:style>
  <w:style w:type="paragraph" w:styleId="ListParagraph">
    <w:name w:val="List Paragraph"/>
    <w:basedOn w:val="Normal"/>
    <w:uiPriority w:val="34"/>
    <w:qFormat/>
    <w:rsid w:val="00DE61B1"/>
    <w:pPr>
      <w:ind w:left="720"/>
      <w:contextualSpacing/>
    </w:pPr>
  </w:style>
  <w:style w:type="character" w:styleId="IntenseEmphasis">
    <w:name w:val="Intense Emphasis"/>
    <w:basedOn w:val="DefaultParagraphFont"/>
    <w:uiPriority w:val="21"/>
    <w:qFormat/>
    <w:rsid w:val="00DE61B1"/>
    <w:rPr>
      <w:i/>
      <w:iCs/>
      <w:color w:val="0F4761" w:themeColor="accent1" w:themeShade="BF"/>
    </w:rPr>
  </w:style>
  <w:style w:type="paragraph" w:styleId="IntenseQuote">
    <w:name w:val="Intense Quote"/>
    <w:basedOn w:val="Normal"/>
    <w:next w:val="Normal"/>
    <w:link w:val="IntenseQuoteChar"/>
    <w:uiPriority w:val="30"/>
    <w:qFormat/>
    <w:rsid w:val="00DE6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1B1"/>
    <w:rPr>
      <w:i/>
      <w:iCs/>
      <w:color w:val="0F4761" w:themeColor="accent1" w:themeShade="BF"/>
      <w:kern w:val="0"/>
      <w:sz w:val="22"/>
      <w:szCs w:val="22"/>
      <w:lang w:val="en-NG"/>
      <w14:ligatures w14:val="none"/>
    </w:rPr>
  </w:style>
  <w:style w:type="character" w:styleId="IntenseReference">
    <w:name w:val="Intense Reference"/>
    <w:basedOn w:val="DefaultParagraphFont"/>
    <w:uiPriority w:val="32"/>
    <w:qFormat/>
    <w:rsid w:val="00DE61B1"/>
    <w:rPr>
      <w:b/>
      <w:bCs/>
      <w:smallCaps/>
      <w:color w:val="0F4761" w:themeColor="accent1" w:themeShade="BF"/>
      <w:spacing w:val="5"/>
    </w:rPr>
  </w:style>
  <w:style w:type="paragraph" w:styleId="NormalWeb">
    <w:name w:val="Normal (Web)"/>
    <w:basedOn w:val="Normal"/>
    <w:uiPriority w:val="99"/>
    <w:semiHidden/>
    <w:unhideWhenUsed/>
    <w:rsid w:val="00D3212E"/>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Strong">
    <w:name w:val="Strong"/>
    <w:basedOn w:val="DefaultParagraphFont"/>
    <w:uiPriority w:val="22"/>
    <w:qFormat/>
    <w:rsid w:val="00D3212E"/>
    <w:rPr>
      <w:b/>
      <w:bCs/>
    </w:rPr>
  </w:style>
  <w:style w:type="character" w:styleId="Emphasis">
    <w:name w:val="Emphasis"/>
    <w:basedOn w:val="DefaultParagraphFont"/>
    <w:uiPriority w:val="20"/>
    <w:qFormat/>
    <w:rsid w:val="00D321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1499</Words>
  <Characters>8545</Characters>
  <Application>Microsoft Office Word</Application>
  <DocSecurity>0</DocSecurity>
  <Lines>71</Lines>
  <Paragraphs>20</Paragraphs>
  <ScaleCrop>false</ScaleCrop>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Piringar Niyang</dc:creator>
  <cp:keywords/>
  <dc:description/>
  <cp:lastModifiedBy>Piringar Niyang</cp:lastModifiedBy>
  <cp:revision>2</cp:revision>
  <dcterms:created xsi:type="dcterms:W3CDTF">2026-03-16T09:14:00Z</dcterms:created>
  <dcterms:modified xsi:type="dcterms:W3CDTF">2026-03-16T09:31:00Z</dcterms:modified>
</cp:coreProperties>
</file>