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F4DB"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POLICY BRIEF</w:t>
      </w:r>
    </w:p>
    <w:p w14:paraId="03BC59BE"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Why Countries Struggle to Adapt Global AMR Guidance: Key Challenges and What Ministers Need to Know</w:t>
      </w:r>
    </w:p>
    <w:p w14:paraId="6BCB7BE1"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Purpose of this Brief</w:t>
      </w:r>
    </w:p>
    <w:p w14:paraId="0717B4A7" w14:textId="788C6536"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This brief highlights the major barriers countries face when adapting global antimicrobial resistance (AMR) guidance issued by the Quadripartite Joint Secretariat (WHO, FAO, WOAH, UNEP). It outlines the systemic, technical, and operational challenges that hinder effective national implementation and offers insights to support ministerial decision</w:t>
      </w:r>
      <w:r w:rsidRPr="00BB7B63">
        <w:rPr>
          <w:rFonts w:ascii="Times New Roman" w:eastAsia="Times New Roman" w:hAnsi="Times New Roman" w:cs="Times New Roman"/>
          <w:color w:val="auto"/>
          <w:sz w:val="24"/>
          <w:szCs w:val="24"/>
          <w:lang w:eastAsia="en-GB"/>
        </w:rPr>
        <w:noBreakHyphen/>
        <w:t>making.</w:t>
      </w:r>
    </w:p>
    <w:p w14:paraId="337A23D7"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1. The Challenge in Context</w:t>
      </w:r>
    </w:p>
    <w:p w14:paraId="6FBDB948" w14:textId="77777777"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Global AMR guidance documents—such as the WHO Global Action Plan, GLASS manuals, FAO ATLASS, WOAH standards, UNEP environmental frameworks, and One Health Joint Plans—provide strong technical direction.</w:t>
      </w:r>
      <w:r w:rsidRPr="00BB7B63">
        <w:rPr>
          <w:rFonts w:ascii="Times New Roman" w:eastAsia="Times New Roman" w:hAnsi="Times New Roman" w:cs="Times New Roman"/>
          <w:color w:val="auto"/>
          <w:sz w:val="24"/>
          <w:szCs w:val="24"/>
          <w:lang w:eastAsia="en-GB"/>
        </w:rPr>
        <w:br/>
        <w:t>However, most countries struggle to translate these documents into functional national systems, especially across human health, animal health, food safety, and the environment.</w:t>
      </w:r>
    </w:p>
    <w:p w14:paraId="4E4389CF" w14:textId="411D461E"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The result is a persistent gap between global expectations and national realities, slowing progress on AMR containment.</w:t>
      </w:r>
    </w:p>
    <w:p w14:paraId="100A9DD3"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2. Key Barriers to Effective Adaptation</w:t>
      </w:r>
    </w:p>
    <w:p w14:paraId="0255500B"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A. Governance &amp; Coordination Challenges</w:t>
      </w:r>
    </w:p>
    <w:p w14:paraId="1DEC65CE" w14:textId="77777777" w:rsidR="00BB7B63" w:rsidRPr="00BB7B63" w:rsidRDefault="00BB7B63" w:rsidP="00BB7B63">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Fragmented leadership across ministries (Health, Agriculture, Environment) leads to siloed planning and weak One Health coordination.</w:t>
      </w:r>
    </w:p>
    <w:p w14:paraId="110A3EF9" w14:textId="77777777" w:rsidR="00BB7B63" w:rsidRPr="00BB7B63" w:rsidRDefault="00BB7B63" w:rsidP="00BB7B63">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No legal mandate requiring sectors to share data or collaborate.</w:t>
      </w:r>
    </w:p>
    <w:p w14:paraId="511E843D" w14:textId="77777777" w:rsidR="00BB7B63" w:rsidRPr="00BB7B63" w:rsidRDefault="00BB7B63" w:rsidP="00BB7B63">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National AMR committees often lack authority, budget, or continuity.</w:t>
      </w:r>
    </w:p>
    <w:p w14:paraId="6A0DDCD5" w14:textId="1DF0AF77"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Countries cannot adapt governance-heavy documents (e.g., One Health Joint Plan, NAP guidelines, TISSA) into actionable structures.</w:t>
      </w:r>
    </w:p>
    <w:p w14:paraId="30DDD5DC"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B. Weak Technical and Human Resource Capacity</w:t>
      </w:r>
    </w:p>
    <w:p w14:paraId="496223C6" w14:textId="77777777" w:rsidR="00BB7B63" w:rsidRPr="00BB7B63" w:rsidRDefault="00BB7B63" w:rsidP="00BB7B63">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Limited numbers of microbiologists, epidemiologists, veterinarians, environmental scientists, and informaticians.</w:t>
      </w:r>
    </w:p>
    <w:p w14:paraId="55034E60" w14:textId="77777777" w:rsidR="00BB7B63" w:rsidRPr="00BB7B63" w:rsidRDefault="00BB7B63" w:rsidP="00BB7B63">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Insufficient capacity to interpret and contextualize global standards (GLASS, WOAH codes, FAO ATLASS).</w:t>
      </w:r>
    </w:p>
    <w:p w14:paraId="7AE2A4D8" w14:textId="77777777" w:rsidR="00BB7B63" w:rsidRPr="00BB7B63" w:rsidRDefault="00BB7B63" w:rsidP="00BB7B63">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High turnover in technical staff.</w:t>
      </w:r>
    </w:p>
    <w:p w14:paraId="6023F319" w14:textId="3594F72A"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Countries struggle to convert global guidance into national SOPs, protocols, and training programs.</w:t>
      </w:r>
    </w:p>
    <w:p w14:paraId="5E31E23E"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C. Laboratory System Limitations</w:t>
      </w:r>
    </w:p>
    <w:p w14:paraId="3AC14E66" w14:textId="77777777" w:rsidR="00BB7B63" w:rsidRPr="00BB7B63" w:rsidRDefault="00BB7B63" w:rsidP="00BB7B63">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lastRenderedPageBreak/>
        <w:t>Many labs lack bacteriology capacity, quality systems, or accreditation.</w:t>
      </w:r>
    </w:p>
    <w:p w14:paraId="24E96BC9" w14:textId="77777777" w:rsidR="00BB7B63" w:rsidRPr="00BB7B63" w:rsidRDefault="00BB7B63" w:rsidP="00BB7B63">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Limited ability to produce GLASS</w:t>
      </w:r>
      <w:r w:rsidRPr="00BB7B63">
        <w:rPr>
          <w:rFonts w:ascii="Times New Roman" w:eastAsia="Times New Roman" w:hAnsi="Times New Roman" w:cs="Times New Roman"/>
          <w:color w:val="auto"/>
          <w:sz w:val="24"/>
          <w:szCs w:val="24"/>
          <w:lang w:eastAsia="en-GB"/>
        </w:rPr>
        <w:noBreakHyphen/>
        <w:t>quality AMR data.</w:t>
      </w:r>
    </w:p>
    <w:p w14:paraId="29D8B17F" w14:textId="77777777" w:rsidR="00BB7B63" w:rsidRPr="00BB7B63" w:rsidRDefault="00BB7B63" w:rsidP="00BB7B63">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Weak veterinary and environmental laboratory networks.</w:t>
      </w:r>
    </w:p>
    <w:p w14:paraId="14C3AC97" w14:textId="2D9CA22F"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Surveillance guidance (GLASS, FAO ATLASS, WOAH standards) cannot be implemented as intended.</w:t>
      </w:r>
    </w:p>
    <w:p w14:paraId="31C0EB28"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D. Fragmented Data Systems &amp; Poor Interoperability</w:t>
      </w:r>
    </w:p>
    <w:p w14:paraId="510A3040" w14:textId="77777777" w:rsidR="00BB7B63" w:rsidRPr="00BB7B63" w:rsidRDefault="00BB7B63" w:rsidP="00BB7B63">
      <w:pPr>
        <w:numPr>
          <w:ilvl w:val="0"/>
          <w:numId w:val="4"/>
        </w:numPr>
        <w:tabs>
          <w:tab w:val="num" w:pos="720"/>
        </w:tabs>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Human, animal, food, and environmental data systems are disconnected.</w:t>
      </w:r>
    </w:p>
    <w:p w14:paraId="0EE9F579" w14:textId="77777777" w:rsidR="00BB7B63" w:rsidRPr="00BB7B63" w:rsidRDefault="00BB7B63" w:rsidP="00BB7B63">
      <w:pPr>
        <w:numPr>
          <w:ilvl w:val="0"/>
          <w:numId w:val="4"/>
        </w:numPr>
        <w:tabs>
          <w:tab w:val="num" w:pos="720"/>
        </w:tabs>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No national data standards or unique identifiers.</w:t>
      </w:r>
    </w:p>
    <w:p w14:paraId="407ADDDA" w14:textId="77777777" w:rsidR="00BB7B63" w:rsidRPr="00BB7B63" w:rsidRDefault="00BB7B63" w:rsidP="00BB7B63">
      <w:pPr>
        <w:numPr>
          <w:ilvl w:val="0"/>
          <w:numId w:val="4"/>
        </w:numPr>
        <w:tabs>
          <w:tab w:val="num" w:pos="720"/>
        </w:tabs>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Heavy reliance on manual reporting.</w:t>
      </w:r>
    </w:p>
    <w:p w14:paraId="73A2D033" w14:textId="1CF5A934"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Integrated surveillance frameworks (GLASS, TISSA, One Health surveillance models) cannot be adapted effectively.</w:t>
      </w:r>
    </w:p>
    <w:p w14:paraId="481A27D8"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E. Chronic Underfunding</w:t>
      </w:r>
    </w:p>
    <w:p w14:paraId="2E7751ED" w14:textId="77777777" w:rsidR="00BB7B63" w:rsidRPr="00BB7B63" w:rsidRDefault="00BB7B63" w:rsidP="00BB7B63">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National Action Plans (NAPs) are often unfunded or donor</w:t>
      </w:r>
      <w:r w:rsidRPr="00BB7B63">
        <w:rPr>
          <w:rFonts w:ascii="Times New Roman" w:eastAsia="Times New Roman" w:hAnsi="Times New Roman" w:cs="Times New Roman"/>
          <w:color w:val="auto"/>
          <w:sz w:val="24"/>
          <w:szCs w:val="24"/>
          <w:lang w:eastAsia="en-GB"/>
        </w:rPr>
        <w:noBreakHyphen/>
        <w:t>dependent.</w:t>
      </w:r>
    </w:p>
    <w:p w14:paraId="328EBD60" w14:textId="77777777" w:rsidR="00BB7B63" w:rsidRPr="00BB7B63" w:rsidRDefault="00BB7B63" w:rsidP="00BB7B63">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No dedicated budget lines for AMR surveillance, stewardship, or IPC.</w:t>
      </w:r>
    </w:p>
    <w:p w14:paraId="2903E245" w14:textId="77777777" w:rsidR="00BB7B63" w:rsidRPr="00BB7B63" w:rsidRDefault="00BB7B63" w:rsidP="00BB7B63">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Competing health priorities overshadow AMR.</w:t>
      </w:r>
    </w:p>
    <w:p w14:paraId="105DFD97" w14:textId="545B2FCF"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Countries cannot sustain adapted versions of global tools or implement them at scale.</w:t>
      </w:r>
    </w:p>
    <w:p w14:paraId="00D646DA"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F. Weak Regulatory and Enforcement Systems</w:t>
      </w:r>
    </w:p>
    <w:p w14:paraId="3768C721" w14:textId="77777777" w:rsidR="00BB7B63" w:rsidRPr="00BB7B63" w:rsidRDefault="00BB7B63" w:rsidP="00BB7B6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Outdated or absent laws on antimicrobial use in humans and animals.</w:t>
      </w:r>
    </w:p>
    <w:p w14:paraId="49ABFDBA" w14:textId="77777777" w:rsidR="00BB7B63" w:rsidRPr="00BB7B63" w:rsidRDefault="00BB7B63" w:rsidP="00BB7B6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Weak enforcement of veterinary drug regulations.</w:t>
      </w:r>
    </w:p>
    <w:p w14:paraId="6631AB79" w14:textId="77777777" w:rsidR="00BB7B63" w:rsidRPr="00BB7B63" w:rsidRDefault="00BB7B63" w:rsidP="00BB7B63">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No environmental effluent standards for AMR.</w:t>
      </w:r>
    </w:p>
    <w:p w14:paraId="1053A317" w14:textId="4371CCC0"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WOAH standards, FAO action plans, and UNEP environmental guidance remain aspirational.</w:t>
      </w:r>
    </w:p>
    <w:p w14:paraId="73A4582F" w14:textId="77777777" w:rsidR="00BB7B63" w:rsidRPr="00BB7B63" w:rsidRDefault="00BB7B63" w:rsidP="00BB7B63">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G. Limited Subnational and Facility-Level Implementation</w:t>
      </w:r>
    </w:p>
    <w:p w14:paraId="02D7F113" w14:textId="77777777" w:rsidR="00BB7B63" w:rsidRPr="00BB7B63" w:rsidRDefault="00BB7B63" w:rsidP="00BB7B63">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National policies rarely translate into state, LGA, or facility-level action.</w:t>
      </w:r>
    </w:p>
    <w:p w14:paraId="31480BE4" w14:textId="77777777" w:rsidR="00BB7B63" w:rsidRPr="00BB7B63" w:rsidRDefault="00BB7B63" w:rsidP="00BB7B63">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Health facilities lack AMS committees, IPC programs, and trained staff.</w:t>
      </w:r>
    </w:p>
    <w:p w14:paraId="33FD0731" w14:textId="77777777" w:rsidR="00BB7B63" w:rsidRPr="00BB7B63" w:rsidRDefault="00BB7B63" w:rsidP="00BB7B63">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Community-level prescribers and informal drug sellers operate outside regulatory frameworks.</w:t>
      </w:r>
    </w:p>
    <w:p w14:paraId="4926964B" w14:textId="34830BBD"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b/>
          <w:bCs/>
          <w:color w:val="auto"/>
          <w:sz w:val="24"/>
          <w:szCs w:val="24"/>
          <w:lang w:eastAsia="en-GB"/>
        </w:rPr>
        <w:t>Impact:</w:t>
      </w:r>
      <w:r w:rsidRPr="00BB7B63">
        <w:rPr>
          <w:rFonts w:ascii="Times New Roman" w:eastAsia="Times New Roman" w:hAnsi="Times New Roman" w:cs="Times New Roman"/>
          <w:color w:val="auto"/>
          <w:sz w:val="24"/>
          <w:szCs w:val="24"/>
          <w:lang w:eastAsia="en-GB"/>
        </w:rPr>
        <w:t xml:space="preserve"> </w:t>
      </w:r>
      <w:r w:rsidRPr="00BB7B63">
        <w:rPr>
          <w:rFonts w:ascii="Times New Roman" w:eastAsia="Times New Roman" w:hAnsi="Times New Roman" w:cs="Times New Roman"/>
          <w:color w:val="auto"/>
          <w:sz w:val="24"/>
          <w:szCs w:val="24"/>
          <w:lang w:eastAsia="en-GB"/>
        </w:rPr>
        <w:br/>
        <w:t>Adaptation fails where AMR is actually fought—at the point of care, farms, and communities.</w:t>
      </w:r>
    </w:p>
    <w:p w14:paraId="68609BE7"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3. Why These Challenges Matter for Ministers</w:t>
      </w:r>
    </w:p>
    <w:p w14:paraId="5D49D2E5"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1. AMR threatens national health security</w:t>
      </w:r>
    </w:p>
    <w:p w14:paraId="742C7D32" w14:textId="77777777" w:rsidR="00BB7B63" w:rsidRPr="00BB7B63" w:rsidRDefault="00BB7B63" w:rsidP="00BB7B63">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lastRenderedPageBreak/>
        <w:t>Drug-resistant infections increase mortality, length of hospital stay, and treatment costs.</w:t>
      </w:r>
    </w:p>
    <w:p w14:paraId="69CBD77B" w14:textId="77777777" w:rsidR="00BB7B63" w:rsidRPr="00BB7B63" w:rsidRDefault="00BB7B63" w:rsidP="00BB7B63">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Outbreaks of resistant pathogens undermine public confidence and strain health systems.</w:t>
      </w:r>
    </w:p>
    <w:p w14:paraId="4C166E50"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2. AMR undermines food security and trade</w:t>
      </w:r>
    </w:p>
    <w:p w14:paraId="1392CABB" w14:textId="77777777" w:rsidR="00BB7B63" w:rsidRPr="00BB7B63" w:rsidRDefault="00BB7B63" w:rsidP="00BB7B63">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Resistant pathogens in livestock and food chains can trigger export bans and economic losses.</w:t>
      </w:r>
    </w:p>
    <w:p w14:paraId="01782F58"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3. AMR increases environmental risks</w:t>
      </w:r>
    </w:p>
    <w:p w14:paraId="7ABCFA6A" w14:textId="77777777" w:rsidR="00BB7B63" w:rsidRPr="00BB7B63" w:rsidRDefault="00BB7B63" w:rsidP="00BB7B63">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Pharmaceutical waste, hospital effluents, and agricultural runoff accelerate resistance spread.</w:t>
      </w:r>
    </w:p>
    <w:p w14:paraId="3EDF9E3C"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4. Failure to adapt global guidance leads to:</w:t>
      </w:r>
    </w:p>
    <w:p w14:paraId="23C62E0E" w14:textId="77777777"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Poor surveillance data</w:t>
      </w:r>
    </w:p>
    <w:p w14:paraId="04E182CA" w14:textId="77777777"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Weak stewardship</w:t>
      </w:r>
    </w:p>
    <w:p w14:paraId="5A633F98" w14:textId="77777777"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Ineffective IPC</w:t>
      </w:r>
    </w:p>
    <w:p w14:paraId="2C8B9D9C" w14:textId="77777777"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Fragmented response</w:t>
      </w:r>
    </w:p>
    <w:p w14:paraId="032A3906" w14:textId="77777777"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Missed funding opportunities</w:t>
      </w:r>
    </w:p>
    <w:p w14:paraId="25165D0A" w14:textId="327BCAAA" w:rsidR="00BB7B63" w:rsidRPr="00BB7B63" w:rsidRDefault="00BB7B63" w:rsidP="00BB7B63">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Poor global reporting performance (GLASS, WOAH, FAO)</w:t>
      </w:r>
    </w:p>
    <w:p w14:paraId="65FC1FC5"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4. What Ministers Can Do Immediately</w:t>
      </w:r>
    </w:p>
    <w:p w14:paraId="145BA448"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A. Strengthen One Health Governance</w:t>
      </w:r>
    </w:p>
    <w:p w14:paraId="1ABA1E39" w14:textId="77777777" w:rsidR="00BB7B63" w:rsidRPr="00BB7B63" w:rsidRDefault="00BB7B63" w:rsidP="00BB7B63">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Establish or empower a national AMR One Health Steering Committee with legal authority.</w:t>
      </w:r>
    </w:p>
    <w:p w14:paraId="71262FCB" w14:textId="77777777" w:rsidR="00BB7B63" w:rsidRPr="00BB7B63" w:rsidRDefault="00BB7B63" w:rsidP="00BB7B63">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Mandate cross-sector data sharing.</w:t>
      </w:r>
    </w:p>
    <w:p w14:paraId="61047CB3"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B. Create Dedicated AMR Budget Lines</w:t>
      </w:r>
    </w:p>
    <w:p w14:paraId="0430C5E8" w14:textId="77777777" w:rsidR="00BB7B63" w:rsidRPr="00BB7B63" w:rsidRDefault="00BB7B63" w:rsidP="00BB7B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Fund surveillance, stewardship, IPC, and laboratory strengthening.</w:t>
      </w:r>
    </w:p>
    <w:p w14:paraId="5E2517D1" w14:textId="77777777" w:rsidR="00BB7B63" w:rsidRPr="00BB7B63" w:rsidRDefault="00BB7B63" w:rsidP="00BB7B63">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Require each sector to allocate AMR resources in annual budgets.</w:t>
      </w:r>
    </w:p>
    <w:p w14:paraId="500F9227"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C. Invest in Laboratory and Data Systems</w:t>
      </w:r>
    </w:p>
    <w:p w14:paraId="0066CB39" w14:textId="77777777" w:rsidR="00BB7B63" w:rsidRPr="00BB7B63" w:rsidRDefault="00BB7B63" w:rsidP="00BB7B63">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Expand bacteriology capacity.</w:t>
      </w:r>
    </w:p>
    <w:p w14:paraId="028EF026" w14:textId="77777777" w:rsidR="00BB7B63" w:rsidRPr="00BB7B63" w:rsidRDefault="00BB7B63" w:rsidP="00BB7B63">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Deploy LIMS and interoperability frameworks.</w:t>
      </w:r>
    </w:p>
    <w:p w14:paraId="409F9C40" w14:textId="77777777" w:rsidR="00BB7B63" w:rsidRPr="00BB7B63" w:rsidRDefault="00BB7B63" w:rsidP="00BB7B63">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Strengthen veterinary and environmental labs.</w:t>
      </w:r>
    </w:p>
    <w:p w14:paraId="463A1F2D"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D. Update Regulatory Frameworks</w:t>
      </w:r>
    </w:p>
    <w:p w14:paraId="3ECAD664" w14:textId="77777777" w:rsidR="00BB7B63" w:rsidRPr="00BB7B63" w:rsidRDefault="00BB7B63" w:rsidP="00BB7B6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Enforce prescription-only antibiotic policies.</w:t>
      </w:r>
    </w:p>
    <w:p w14:paraId="068F9A64" w14:textId="77777777" w:rsidR="00BB7B63" w:rsidRPr="00BB7B63" w:rsidRDefault="00BB7B63" w:rsidP="00BB7B6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Regulate veterinary antimicrobial use.</w:t>
      </w:r>
    </w:p>
    <w:p w14:paraId="4E229C8F" w14:textId="77777777" w:rsidR="00BB7B63" w:rsidRPr="00BB7B63" w:rsidRDefault="00BB7B63" w:rsidP="00BB7B63">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Implement effluent standards for AMR.</w:t>
      </w:r>
    </w:p>
    <w:p w14:paraId="20DCF690"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E. Drive Subnational Implementation</w:t>
      </w:r>
    </w:p>
    <w:p w14:paraId="57EBB945" w14:textId="77777777" w:rsidR="00BB7B63" w:rsidRPr="00BB7B63" w:rsidRDefault="00BB7B63" w:rsidP="00BB7B63">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Require states/LGAs to develop AMR operational plans.</w:t>
      </w:r>
    </w:p>
    <w:p w14:paraId="092F666F" w14:textId="77777777" w:rsidR="00BB7B63" w:rsidRPr="00BB7B63" w:rsidRDefault="00BB7B63" w:rsidP="00BB7B63">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lastRenderedPageBreak/>
        <w:t>Integrate AMR indicators into routine supervision.</w:t>
      </w:r>
    </w:p>
    <w:p w14:paraId="7A79660B" w14:textId="77777777" w:rsidR="00BB7B63" w:rsidRPr="00BB7B63" w:rsidRDefault="00BB7B63" w:rsidP="00BB7B63">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BB7B63">
        <w:rPr>
          <w:rFonts w:ascii="Times New Roman" w:eastAsia="Times New Roman" w:hAnsi="Times New Roman" w:cs="Times New Roman"/>
          <w:b/>
          <w:bCs/>
          <w:color w:val="auto"/>
          <w:sz w:val="24"/>
          <w:szCs w:val="24"/>
          <w:lang w:eastAsia="en-GB"/>
        </w:rPr>
        <w:t>F. Strengthen Facility-Level Programs</w:t>
      </w:r>
    </w:p>
    <w:p w14:paraId="1E4CBD44" w14:textId="77777777" w:rsidR="00BB7B63" w:rsidRPr="00BB7B63" w:rsidRDefault="00BB7B63" w:rsidP="00BB7B63">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Mandate AMS and IPC committees in all secondary/tertiary facilities.</w:t>
      </w:r>
    </w:p>
    <w:p w14:paraId="516CBCB0" w14:textId="214BEA61" w:rsidR="00BB7B63" w:rsidRPr="00BB7B63" w:rsidRDefault="00BB7B63" w:rsidP="00BB7B63">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Train facility teams using WHO toolkits.</w:t>
      </w:r>
    </w:p>
    <w:p w14:paraId="538F8122" w14:textId="77777777" w:rsidR="00BB7B63" w:rsidRPr="00BB7B63" w:rsidRDefault="00BB7B63" w:rsidP="00BB7B63">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BB7B63">
        <w:rPr>
          <w:rFonts w:ascii="Times New Roman" w:eastAsia="Times New Roman" w:hAnsi="Times New Roman" w:cs="Times New Roman"/>
          <w:b/>
          <w:bCs/>
          <w:color w:val="auto"/>
          <w:kern w:val="36"/>
          <w:sz w:val="24"/>
          <w:szCs w:val="24"/>
          <w:lang w:eastAsia="en-GB"/>
        </w:rPr>
        <w:t>5. Conclusion</w:t>
      </w:r>
    </w:p>
    <w:p w14:paraId="4359C872" w14:textId="77777777"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Global AMR guidance is robust, but countries face systemic barriers that prevent effective adaptation.</w:t>
      </w:r>
      <w:r w:rsidRPr="00BB7B63">
        <w:rPr>
          <w:rFonts w:ascii="Times New Roman" w:eastAsia="Times New Roman" w:hAnsi="Times New Roman" w:cs="Times New Roman"/>
          <w:color w:val="auto"/>
          <w:sz w:val="24"/>
          <w:szCs w:val="24"/>
          <w:lang w:eastAsia="en-GB"/>
        </w:rPr>
        <w:br/>
        <w:t>Ministers play a decisive role in bridging this gap by:</w:t>
      </w:r>
    </w:p>
    <w:p w14:paraId="666BA81C" w14:textId="77777777" w:rsidR="00BB7B63" w:rsidRPr="00BB7B63" w:rsidRDefault="00BB7B63" w:rsidP="00BB7B6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Strengthening governance</w:t>
      </w:r>
    </w:p>
    <w:p w14:paraId="4B1D2D30" w14:textId="77777777" w:rsidR="00BB7B63" w:rsidRPr="00BB7B63" w:rsidRDefault="00BB7B63" w:rsidP="00BB7B6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Ensuring sustainable financing</w:t>
      </w:r>
    </w:p>
    <w:p w14:paraId="395B5D4F" w14:textId="77777777" w:rsidR="00BB7B63" w:rsidRPr="00BB7B63" w:rsidRDefault="00BB7B63" w:rsidP="00BB7B6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Modernizing regulatory frameworks</w:t>
      </w:r>
    </w:p>
    <w:p w14:paraId="0117757F" w14:textId="77777777" w:rsidR="00BB7B63" w:rsidRPr="00BB7B63" w:rsidRDefault="00BB7B63" w:rsidP="00BB7B6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Investing in laboratories and data systems</w:t>
      </w:r>
    </w:p>
    <w:p w14:paraId="7C033BC9" w14:textId="77777777" w:rsidR="00BB7B63" w:rsidRPr="00BB7B63" w:rsidRDefault="00BB7B63" w:rsidP="00BB7B63">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Driving implementation at subnational and facility levels</w:t>
      </w:r>
    </w:p>
    <w:p w14:paraId="23198622" w14:textId="77777777" w:rsidR="00BB7B63" w:rsidRPr="00BB7B63" w:rsidRDefault="00BB7B63" w:rsidP="00BB7B63">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BB7B63">
        <w:rPr>
          <w:rFonts w:ascii="Times New Roman" w:eastAsia="Times New Roman" w:hAnsi="Times New Roman" w:cs="Times New Roman"/>
          <w:color w:val="auto"/>
          <w:sz w:val="24"/>
          <w:szCs w:val="24"/>
          <w:lang w:eastAsia="en-GB"/>
        </w:rPr>
        <w:t>A strong ministerial commitment is the single most important factor determining whether global AMR guidance becomes real-world impact or remains policy on paper.</w:t>
      </w:r>
    </w:p>
    <w:p w14:paraId="0D9994BD" w14:textId="77777777" w:rsidR="004B5C16" w:rsidRPr="00BB7B63" w:rsidRDefault="004B5C16">
      <w:pPr>
        <w:rPr>
          <w:rFonts w:ascii="Times New Roman" w:hAnsi="Times New Roman" w:cs="Times New Roman"/>
          <w:sz w:val="24"/>
          <w:szCs w:val="24"/>
        </w:rPr>
      </w:pPr>
    </w:p>
    <w:sectPr w:rsidR="004B5C16" w:rsidRPr="00BB7B63" w:rsidSect="007A0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093"/>
    <w:multiLevelType w:val="multilevel"/>
    <w:tmpl w:val="35BCE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164E7A"/>
    <w:multiLevelType w:val="multilevel"/>
    <w:tmpl w:val="EBC2F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CD6833"/>
    <w:multiLevelType w:val="multilevel"/>
    <w:tmpl w:val="892CF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0043DF"/>
    <w:multiLevelType w:val="multilevel"/>
    <w:tmpl w:val="1034F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8912C5F"/>
    <w:multiLevelType w:val="multilevel"/>
    <w:tmpl w:val="DB98FF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312295"/>
    <w:multiLevelType w:val="multilevel"/>
    <w:tmpl w:val="E9FC1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93926FD"/>
    <w:multiLevelType w:val="multilevel"/>
    <w:tmpl w:val="C8F273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E579E6"/>
    <w:multiLevelType w:val="multilevel"/>
    <w:tmpl w:val="8CF87F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5C5FB0"/>
    <w:multiLevelType w:val="multilevel"/>
    <w:tmpl w:val="5574D9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8067421"/>
    <w:multiLevelType w:val="multilevel"/>
    <w:tmpl w:val="ACB05D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D82530F"/>
    <w:multiLevelType w:val="multilevel"/>
    <w:tmpl w:val="5A8AF2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1080DAC"/>
    <w:multiLevelType w:val="multilevel"/>
    <w:tmpl w:val="89445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1CC7523"/>
    <w:multiLevelType w:val="multilevel"/>
    <w:tmpl w:val="33023A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2BC5C5B"/>
    <w:multiLevelType w:val="multilevel"/>
    <w:tmpl w:val="9806CB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C575F8A"/>
    <w:multiLevelType w:val="multilevel"/>
    <w:tmpl w:val="E4229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D3A49E4"/>
    <w:multiLevelType w:val="multilevel"/>
    <w:tmpl w:val="0E40F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1077B33"/>
    <w:multiLevelType w:val="multilevel"/>
    <w:tmpl w:val="317CD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8DF4273"/>
    <w:multiLevelType w:val="multilevel"/>
    <w:tmpl w:val="CF9AEA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67308485">
    <w:abstractNumId w:val="8"/>
  </w:num>
  <w:num w:numId="2" w16cid:durableId="329335599">
    <w:abstractNumId w:val="16"/>
  </w:num>
  <w:num w:numId="3" w16cid:durableId="1113212476">
    <w:abstractNumId w:val="6"/>
  </w:num>
  <w:num w:numId="4" w16cid:durableId="1392195036">
    <w:abstractNumId w:val="9"/>
  </w:num>
  <w:num w:numId="5" w16cid:durableId="968172316">
    <w:abstractNumId w:val="17"/>
  </w:num>
  <w:num w:numId="6" w16cid:durableId="874080009">
    <w:abstractNumId w:val="5"/>
  </w:num>
  <w:num w:numId="7" w16cid:durableId="258686430">
    <w:abstractNumId w:val="3"/>
  </w:num>
  <w:num w:numId="8" w16cid:durableId="2050228630">
    <w:abstractNumId w:val="11"/>
  </w:num>
  <w:num w:numId="9" w16cid:durableId="645820882">
    <w:abstractNumId w:val="2"/>
  </w:num>
  <w:num w:numId="10" w16cid:durableId="1558011644">
    <w:abstractNumId w:val="13"/>
  </w:num>
  <w:num w:numId="11" w16cid:durableId="215241607">
    <w:abstractNumId w:val="12"/>
  </w:num>
  <w:num w:numId="12" w16cid:durableId="1815442328">
    <w:abstractNumId w:val="4"/>
  </w:num>
  <w:num w:numId="13" w16cid:durableId="1034309749">
    <w:abstractNumId w:val="14"/>
  </w:num>
  <w:num w:numId="14" w16cid:durableId="1324700872">
    <w:abstractNumId w:val="15"/>
  </w:num>
  <w:num w:numId="15" w16cid:durableId="473135261">
    <w:abstractNumId w:val="10"/>
  </w:num>
  <w:num w:numId="16" w16cid:durableId="2060208145">
    <w:abstractNumId w:val="1"/>
  </w:num>
  <w:num w:numId="17" w16cid:durableId="108278314">
    <w:abstractNumId w:val="0"/>
  </w:num>
  <w:num w:numId="18" w16cid:durableId="1346051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63"/>
    <w:rsid w:val="001C4C2E"/>
    <w:rsid w:val="003E59C4"/>
    <w:rsid w:val="00446A47"/>
    <w:rsid w:val="004A4627"/>
    <w:rsid w:val="004B5C16"/>
    <w:rsid w:val="00584449"/>
    <w:rsid w:val="006A0040"/>
    <w:rsid w:val="007A08AB"/>
    <w:rsid w:val="009F2251"/>
    <w:rsid w:val="00BB7B63"/>
    <w:rsid w:val="00C679D7"/>
    <w:rsid w:val="00DA202C"/>
    <w:rsid w:val="00F4612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541B"/>
  <w15:chartTrackingRefBased/>
  <w15:docId w15:val="{1E83D79A-9FE1-7244-8A15-1C968778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6A0040"/>
    <w:pPr>
      <w:spacing w:after="160" w:line="259" w:lineRule="auto"/>
    </w:pPr>
    <w:rPr>
      <w:color w:val="156082" w:themeColor="accent1"/>
      <w:kern w:val="0"/>
      <w:sz w:val="22"/>
      <w:szCs w:val="22"/>
      <w:lang w:val="en-NG"/>
      <w14:ligatures w14:val="none"/>
    </w:rPr>
  </w:style>
  <w:style w:type="paragraph" w:styleId="Heading1">
    <w:name w:val="heading 1"/>
    <w:basedOn w:val="Normal"/>
    <w:next w:val="Normal"/>
    <w:link w:val="Heading1Char"/>
    <w:uiPriority w:val="9"/>
    <w:qFormat/>
    <w:rsid w:val="00BB7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0040"/>
    <w:rPr>
      <w:color w:val="156082" w:themeColor="accent1"/>
      <w:kern w:val="0"/>
      <w:sz w:val="22"/>
      <w:szCs w:val="22"/>
      <w:lang w:val="en-NG"/>
      <w14:ligatures w14:val="none"/>
    </w:rPr>
  </w:style>
  <w:style w:type="character" w:styleId="FootnoteReference">
    <w:name w:val="footnote reference"/>
    <w:basedOn w:val="DefaultParagraphFont"/>
    <w:uiPriority w:val="99"/>
    <w:unhideWhenUsed/>
    <w:rsid w:val="009F2251"/>
    <w:rPr>
      <w:vertAlign w:val="superscript"/>
    </w:rPr>
  </w:style>
  <w:style w:type="character" w:customStyle="1" w:styleId="Heading1Char">
    <w:name w:val="Heading 1 Char"/>
    <w:basedOn w:val="DefaultParagraphFont"/>
    <w:link w:val="Heading1"/>
    <w:uiPriority w:val="9"/>
    <w:rsid w:val="00BB7B63"/>
    <w:rPr>
      <w:rFonts w:asciiTheme="majorHAnsi" w:eastAsiaTheme="majorEastAsia" w:hAnsiTheme="majorHAnsi" w:cstheme="majorBidi"/>
      <w:color w:val="0F4761" w:themeColor="accent1" w:themeShade="BF"/>
      <w:kern w:val="0"/>
      <w:sz w:val="40"/>
      <w:szCs w:val="40"/>
      <w:lang w:val="en-NG"/>
      <w14:ligatures w14:val="none"/>
    </w:rPr>
  </w:style>
  <w:style w:type="character" w:customStyle="1" w:styleId="Heading2Char">
    <w:name w:val="Heading 2 Char"/>
    <w:basedOn w:val="DefaultParagraphFont"/>
    <w:link w:val="Heading2"/>
    <w:uiPriority w:val="9"/>
    <w:rsid w:val="00BB7B63"/>
    <w:rPr>
      <w:rFonts w:asciiTheme="majorHAnsi" w:eastAsiaTheme="majorEastAsia" w:hAnsiTheme="majorHAnsi" w:cstheme="majorBidi"/>
      <w:color w:val="0F4761" w:themeColor="accent1" w:themeShade="BF"/>
      <w:kern w:val="0"/>
      <w:sz w:val="32"/>
      <w:szCs w:val="32"/>
      <w:lang w:val="en-NG"/>
      <w14:ligatures w14:val="none"/>
    </w:rPr>
  </w:style>
  <w:style w:type="character" w:customStyle="1" w:styleId="Heading3Char">
    <w:name w:val="Heading 3 Char"/>
    <w:basedOn w:val="DefaultParagraphFont"/>
    <w:link w:val="Heading3"/>
    <w:uiPriority w:val="9"/>
    <w:rsid w:val="00BB7B63"/>
    <w:rPr>
      <w:rFonts w:eastAsiaTheme="majorEastAsia" w:cstheme="majorBidi"/>
      <w:color w:val="0F4761" w:themeColor="accent1" w:themeShade="BF"/>
      <w:kern w:val="0"/>
      <w:sz w:val="28"/>
      <w:szCs w:val="28"/>
      <w:lang w:val="en-NG"/>
      <w14:ligatures w14:val="none"/>
    </w:rPr>
  </w:style>
  <w:style w:type="character" w:customStyle="1" w:styleId="Heading4Char">
    <w:name w:val="Heading 4 Char"/>
    <w:basedOn w:val="DefaultParagraphFont"/>
    <w:link w:val="Heading4"/>
    <w:uiPriority w:val="9"/>
    <w:semiHidden/>
    <w:rsid w:val="00BB7B63"/>
    <w:rPr>
      <w:rFonts w:eastAsiaTheme="majorEastAsia" w:cstheme="majorBidi"/>
      <w:i/>
      <w:iCs/>
      <w:color w:val="0F4761" w:themeColor="accent1" w:themeShade="BF"/>
      <w:kern w:val="0"/>
      <w:sz w:val="22"/>
      <w:szCs w:val="22"/>
      <w:lang w:val="en-NG"/>
      <w14:ligatures w14:val="none"/>
    </w:rPr>
  </w:style>
  <w:style w:type="character" w:customStyle="1" w:styleId="Heading5Char">
    <w:name w:val="Heading 5 Char"/>
    <w:basedOn w:val="DefaultParagraphFont"/>
    <w:link w:val="Heading5"/>
    <w:uiPriority w:val="9"/>
    <w:semiHidden/>
    <w:rsid w:val="00BB7B63"/>
    <w:rPr>
      <w:rFonts w:eastAsiaTheme="majorEastAsia" w:cstheme="majorBidi"/>
      <w:color w:val="0F4761" w:themeColor="accent1" w:themeShade="BF"/>
      <w:kern w:val="0"/>
      <w:sz w:val="22"/>
      <w:szCs w:val="22"/>
      <w:lang w:val="en-NG"/>
      <w14:ligatures w14:val="none"/>
    </w:rPr>
  </w:style>
  <w:style w:type="character" w:customStyle="1" w:styleId="Heading6Char">
    <w:name w:val="Heading 6 Char"/>
    <w:basedOn w:val="DefaultParagraphFont"/>
    <w:link w:val="Heading6"/>
    <w:uiPriority w:val="9"/>
    <w:semiHidden/>
    <w:rsid w:val="00BB7B63"/>
    <w:rPr>
      <w:rFonts w:eastAsiaTheme="majorEastAsia" w:cstheme="majorBidi"/>
      <w:i/>
      <w:iCs/>
      <w:color w:val="595959" w:themeColor="text1" w:themeTint="A6"/>
      <w:kern w:val="0"/>
      <w:sz w:val="22"/>
      <w:szCs w:val="22"/>
      <w:lang w:val="en-NG"/>
      <w14:ligatures w14:val="none"/>
    </w:rPr>
  </w:style>
  <w:style w:type="character" w:customStyle="1" w:styleId="Heading7Char">
    <w:name w:val="Heading 7 Char"/>
    <w:basedOn w:val="DefaultParagraphFont"/>
    <w:link w:val="Heading7"/>
    <w:uiPriority w:val="9"/>
    <w:semiHidden/>
    <w:rsid w:val="00BB7B63"/>
    <w:rPr>
      <w:rFonts w:eastAsiaTheme="majorEastAsia" w:cstheme="majorBidi"/>
      <w:color w:val="595959" w:themeColor="text1" w:themeTint="A6"/>
      <w:kern w:val="0"/>
      <w:sz w:val="22"/>
      <w:szCs w:val="22"/>
      <w:lang w:val="en-NG"/>
      <w14:ligatures w14:val="none"/>
    </w:rPr>
  </w:style>
  <w:style w:type="character" w:customStyle="1" w:styleId="Heading8Char">
    <w:name w:val="Heading 8 Char"/>
    <w:basedOn w:val="DefaultParagraphFont"/>
    <w:link w:val="Heading8"/>
    <w:uiPriority w:val="9"/>
    <w:semiHidden/>
    <w:rsid w:val="00BB7B63"/>
    <w:rPr>
      <w:rFonts w:eastAsiaTheme="majorEastAsia" w:cstheme="majorBidi"/>
      <w:i/>
      <w:iCs/>
      <w:color w:val="272727" w:themeColor="text1" w:themeTint="D8"/>
      <w:kern w:val="0"/>
      <w:sz w:val="22"/>
      <w:szCs w:val="22"/>
      <w:lang w:val="en-NG"/>
      <w14:ligatures w14:val="none"/>
    </w:rPr>
  </w:style>
  <w:style w:type="character" w:customStyle="1" w:styleId="Heading9Char">
    <w:name w:val="Heading 9 Char"/>
    <w:basedOn w:val="DefaultParagraphFont"/>
    <w:link w:val="Heading9"/>
    <w:uiPriority w:val="9"/>
    <w:semiHidden/>
    <w:rsid w:val="00BB7B63"/>
    <w:rPr>
      <w:rFonts w:eastAsiaTheme="majorEastAsia" w:cstheme="majorBidi"/>
      <w:color w:val="272727" w:themeColor="text1" w:themeTint="D8"/>
      <w:kern w:val="0"/>
      <w:sz w:val="22"/>
      <w:szCs w:val="22"/>
      <w:lang w:val="en-NG"/>
      <w14:ligatures w14:val="none"/>
    </w:rPr>
  </w:style>
  <w:style w:type="paragraph" w:styleId="Title">
    <w:name w:val="Title"/>
    <w:basedOn w:val="Normal"/>
    <w:next w:val="Normal"/>
    <w:link w:val="TitleChar"/>
    <w:uiPriority w:val="10"/>
    <w:qFormat/>
    <w:rsid w:val="00BB7B6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B7B63"/>
    <w:rPr>
      <w:rFonts w:asciiTheme="majorHAnsi" w:eastAsiaTheme="majorEastAsia" w:hAnsiTheme="majorHAnsi" w:cstheme="majorBidi"/>
      <w:spacing w:val="-10"/>
      <w:kern w:val="28"/>
      <w:sz w:val="56"/>
      <w:szCs w:val="56"/>
      <w:lang w:val="en-NG"/>
      <w14:ligatures w14:val="none"/>
    </w:rPr>
  </w:style>
  <w:style w:type="paragraph" w:styleId="Subtitle">
    <w:name w:val="Subtitle"/>
    <w:basedOn w:val="Normal"/>
    <w:next w:val="Normal"/>
    <w:link w:val="SubtitleChar"/>
    <w:uiPriority w:val="11"/>
    <w:qFormat/>
    <w:rsid w:val="00BB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B63"/>
    <w:rPr>
      <w:rFonts w:eastAsiaTheme="majorEastAsia" w:cstheme="majorBidi"/>
      <w:color w:val="595959" w:themeColor="text1" w:themeTint="A6"/>
      <w:spacing w:val="15"/>
      <w:kern w:val="0"/>
      <w:sz w:val="28"/>
      <w:szCs w:val="28"/>
      <w:lang w:val="en-NG"/>
      <w14:ligatures w14:val="none"/>
    </w:rPr>
  </w:style>
  <w:style w:type="paragraph" w:styleId="Quote">
    <w:name w:val="Quote"/>
    <w:basedOn w:val="Normal"/>
    <w:next w:val="Normal"/>
    <w:link w:val="QuoteChar"/>
    <w:uiPriority w:val="29"/>
    <w:qFormat/>
    <w:rsid w:val="00BB7B63"/>
    <w:pPr>
      <w:spacing w:before="160"/>
      <w:jc w:val="center"/>
    </w:pPr>
    <w:rPr>
      <w:i/>
      <w:iCs/>
      <w:color w:val="404040" w:themeColor="text1" w:themeTint="BF"/>
    </w:rPr>
  </w:style>
  <w:style w:type="character" w:customStyle="1" w:styleId="QuoteChar">
    <w:name w:val="Quote Char"/>
    <w:basedOn w:val="DefaultParagraphFont"/>
    <w:link w:val="Quote"/>
    <w:uiPriority w:val="29"/>
    <w:rsid w:val="00BB7B63"/>
    <w:rPr>
      <w:i/>
      <w:iCs/>
      <w:color w:val="404040" w:themeColor="text1" w:themeTint="BF"/>
      <w:kern w:val="0"/>
      <w:sz w:val="22"/>
      <w:szCs w:val="22"/>
      <w:lang w:val="en-NG"/>
      <w14:ligatures w14:val="none"/>
    </w:rPr>
  </w:style>
  <w:style w:type="paragraph" w:styleId="ListParagraph">
    <w:name w:val="List Paragraph"/>
    <w:basedOn w:val="Normal"/>
    <w:uiPriority w:val="34"/>
    <w:qFormat/>
    <w:rsid w:val="00BB7B63"/>
    <w:pPr>
      <w:ind w:left="720"/>
      <w:contextualSpacing/>
    </w:pPr>
  </w:style>
  <w:style w:type="character" w:styleId="IntenseEmphasis">
    <w:name w:val="Intense Emphasis"/>
    <w:basedOn w:val="DefaultParagraphFont"/>
    <w:uiPriority w:val="21"/>
    <w:qFormat/>
    <w:rsid w:val="00BB7B63"/>
    <w:rPr>
      <w:i/>
      <w:iCs/>
      <w:color w:val="0F4761" w:themeColor="accent1" w:themeShade="BF"/>
    </w:rPr>
  </w:style>
  <w:style w:type="paragraph" w:styleId="IntenseQuote">
    <w:name w:val="Intense Quote"/>
    <w:basedOn w:val="Normal"/>
    <w:next w:val="Normal"/>
    <w:link w:val="IntenseQuoteChar"/>
    <w:uiPriority w:val="30"/>
    <w:qFormat/>
    <w:rsid w:val="00BB7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B63"/>
    <w:rPr>
      <w:i/>
      <w:iCs/>
      <w:color w:val="0F4761" w:themeColor="accent1" w:themeShade="BF"/>
      <w:kern w:val="0"/>
      <w:sz w:val="22"/>
      <w:szCs w:val="22"/>
      <w:lang w:val="en-NG"/>
      <w14:ligatures w14:val="none"/>
    </w:rPr>
  </w:style>
  <w:style w:type="character" w:styleId="IntenseReference">
    <w:name w:val="Intense Reference"/>
    <w:basedOn w:val="DefaultParagraphFont"/>
    <w:uiPriority w:val="32"/>
    <w:qFormat/>
    <w:rsid w:val="00BB7B63"/>
    <w:rPr>
      <w:b/>
      <w:bCs/>
      <w:smallCaps/>
      <w:color w:val="0F4761" w:themeColor="accent1" w:themeShade="BF"/>
      <w:spacing w:val="5"/>
    </w:rPr>
  </w:style>
  <w:style w:type="paragraph" w:styleId="NormalWeb">
    <w:name w:val="Normal (Web)"/>
    <w:basedOn w:val="Normal"/>
    <w:uiPriority w:val="99"/>
    <w:semiHidden/>
    <w:unhideWhenUsed/>
    <w:rsid w:val="00BB7B63"/>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BB7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Piringar Niyang</dc:creator>
  <cp:keywords/>
  <dc:description/>
  <cp:lastModifiedBy>Piringar Niyang</cp:lastModifiedBy>
  <cp:revision>1</cp:revision>
  <dcterms:created xsi:type="dcterms:W3CDTF">2026-01-22T12:55:00Z</dcterms:created>
  <dcterms:modified xsi:type="dcterms:W3CDTF">2026-01-23T12:35:00Z</dcterms:modified>
</cp:coreProperties>
</file>