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2190" w14:textId="35AE7AC0" w:rsidR="0001670C" w:rsidRPr="0001670C" w:rsidRDefault="0001670C" w:rsidP="00016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GB"/>
        </w:rPr>
      </w:pPr>
      <w:r w:rsidRPr="0001670C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GB"/>
        </w:rPr>
        <w:t xml:space="preserve">AMR &amp; One Health Core Competencies – </w:t>
      </w:r>
      <w:r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GB"/>
        </w:rPr>
        <w:t xml:space="preserve">PMN’s </w:t>
      </w:r>
      <w:r w:rsidRPr="0001670C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  <w:lang w:eastAsia="en-GB"/>
        </w:rPr>
        <w:t>Demonstrated Expertise</w:t>
      </w:r>
    </w:p>
    <w:p w14:paraId="60AD8992" w14:textId="77777777" w:rsidR="0001670C" w:rsidRPr="0001670C" w:rsidRDefault="0001670C" w:rsidP="00016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1. One Health AMR Governance &amp; Coordination</w:t>
      </w:r>
    </w:p>
    <w:p w14:paraId="7C839455" w14:textId="77777777" w:rsidR="0001670C" w:rsidRPr="0001670C" w:rsidRDefault="0001670C" w:rsidP="00016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Extensive experience strengthening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One Health governance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structures and aligning human, animal, and environmental health systems with global AMR guidance.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Applied in:</w:t>
      </w:r>
    </w:p>
    <w:p w14:paraId="5EDE691A" w14:textId="77777777" w:rsidR="0001670C" w:rsidRPr="0001670C" w:rsidRDefault="0001670C" w:rsidP="00016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Technical Lead,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Fleming Fund Rwanda Country Grant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— institutionalized AMR governance across MINISANTE/RBC and MINAGRI/RAB.</w:t>
      </w:r>
    </w:p>
    <w:p w14:paraId="1572FDC3" w14:textId="77777777" w:rsidR="0001670C" w:rsidRPr="0001670C" w:rsidRDefault="0001670C" w:rsidP="00016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Supported NCDC Nigeria to establish and operationalize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One Health AMR coordination platforms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.</w:t>
      </w:r>
    </w:p>
    <w:p w14:paraId="777DEA38" w14:textId="77777777" w:rsidR="0001670C" w:rsidRPr="0001670C" w:rsidRDefault="0001670C" w:rsidP="00016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Contributed to national AMR policy reforms and multisectoral technical working groups.</w:t>
      </w:r>
    </w:p>
    <w:p w14:paraId="348F5204" w14:textId="77777777" w:rsidR="0001670C" w:rsidRPr="0001670C" w:rsidRDefault="0001670C" w:rsidP="00016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2. AMR Surveillance Systems (Human, Animal, Environment)</w:t>
      </w:r>
    </w:p>
    <w:p w14:paraId="794A3E0A" w14:textId="77777777" w:rsidR="0001670C" w:rsidRPr="0001670C" w:rsidRDefault="0001670C" w:rsidP="00016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Deep expertise designing and implementing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integrated AMR/AMU surveillance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aligned with GLASS, FAO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 xml:space="preserve">ATLASS, WOAH, and TISSA frameworks.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Applied in:</w:t>
      </w:r>
    </w:p>
    <w:p w14:paraId="303AF6A0" w14:textId="77777777" w:rsidR="0001670C" w:rsidRPr="0001670C" w:rsidRDefault="0001670C" w:rsidP="00016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Led AMR surveillance strengthening in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Rwanda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, integrating human, animal, and environmental data flows.</w:t>
      </w:r>
    </w:p>
    <w:p w14:paraId="61142EAA" w14:textId="77777777" w:rsidR="0001670C" w:rsidRPr="0001670C" w:rsidRDefault="0001670C" w:rsidP="00016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Implemented antimicrobial consumption surveillance in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12 Nigerian states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using digital tools.</w:t>
      </w:r>
    </w:p>
    <w:p w14:paraId="5E4F2817" w14:textId="77777777" w:rsidR="0001670C" w:rsidRPr="0001670C" w:rsidRDefault="0001670C" w:rsidP="00016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Strengthened IDSR and event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 xml:space="preserve">based surveillance across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29 Nigerian states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(SERS Project).</w:t>
      </w:r>
    </w:p>
    <w:p w14:paraId="1DC1EF9F" w14:textId="77777777" w:rsidR="0001670C" w:rsidRPr="0001670C" w:rsidRDefault="0001670C" w:rsidP="00016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Supported AMR surveillance system design in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Eswatini, Kenya, and Cameroon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.</w:t>
      </w:r>
    </w:p>
    <w:p w14:paraId="34126481" w14:textId="77777777" w:rsidR="0001670C" w:rsidRPr="0001670C" w:rsidRDefault="0001670C" w:rsidP="00016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3. AMR Laboratory Systems Strengthening</w:t>
      </w:r>
    </w:p>
    <w:p w14:paraId="40A6761D" w14:textId="77777777" w:rsidR="0001670C" w:rsidRPr="0001670C" w:rsidRDefault="0001670C" w:rsidP="00016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Hands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 xml:space="preserve">on experience improving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bacteriology capacity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, quality systems, and data standards required for GLASS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 xml:space="preserve">quality reporting.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Applied in:</w:t>
      </w:r>
    </w:p>
    <w:p w14:paraId="4D0E1ACA" w14:textId="77777777" w:rsidR="0001670C" w:rsidRPr="0001670C" w:rsidRDefault="0001670C" w:rsidP="00016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Strengthened laboratory networks under the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Fleming Fund Rwanda Grant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.</w:t>
      </w:r>
    </w:p>
    <w:p w14:paraId="31269292" w14:textId="77777777" w:rsidR="0001670C" w:rsidRPr="0001670C" w:rsidRDefault="0001670C" w:rsidP="00016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Supported NCDC’s laboratory surveillance systems for priority pathogens.</w:t>
      </w:r>
    </w:p>
    <w:p w14:paraId="2FD1C70D" w14:textId="77777777" w:rsidR="0001670C" w:rsidRPr="0001670C" w:rsidRDefault="0001670C" w:rsidP="00016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Led data quality audits and lab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 xml:space="preserve">linked surveillance improvements across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71 facilities in Cameroon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(TIDE Program).</w:t>
      </w:r>
    </w:p>
    <w:p w14:paraId="1DCE19A9" w14:textId="77777777" w:rsidR="0001670C" w:rsidRPr="0001670C" w:rsidRDefault="0001670C" w:rsidP="00016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4. AMR Data Systems, Interoperability &amp; Digital Health</w:t>
      </w:r>
    </w:p>
    <w:p w14:paraId="06BB3D5E" w14:textId="77777777" w:rsidR="0001670C" w:rsidRPr="0001670C" w:rsidRDefault="0001670C" w:rsidP="00016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Strong competencies in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digital AMR systems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interoperability, and data quality assurance.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Applied in:</w:t>
      </w:r>
    </w:p>
    <w:p w14:paraId="582DF1E0" w14:textId="77777777" w:rsidR="0001670C" w:rsidRPr="0001670C" w:rsidRDefault="0001670C" w:rsidP="00016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Designed dashboards, LIMS integrations, and digital reporting systems (DHIS2, SORMAS, mSERS, EMRs).</w:t>
      </w:r>
    </w:p>
    <w:p w14:paraId="75A4F716" w14:textId="77777777" w:rsidR="0001670C" w:rsidRPr="0001670C" w:rsidRDefault="0001670C" w:rsidP="00016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Implemented antibiotic consumption surveillance using digital tools in Nigeria.</w:t>
      </w:r>
    </w:p>
    <w:p w14:paraId="54A80997" w14:textId="77777777" w:rsidR="0001670C" w:rsidRPr="0001670C" w:rsidRDefault="0001670C" w:rsidP="00016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Led national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level data quality systems for AMR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related surveillance under multiple CDC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funded projects.</w:t>
      </w:r>
    </w:p>
    <w:p w14:paraId="4D84D6C6" w14:textId="77777777" w:rsidR="0001670C" w:rsidRPr="0001670C" w:rsidRDefault="0001670C" w:rsidP="00016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5. Antimicrobial Stewardship (AMS) &amp; Infection Prevention and Control (IPC)</w:t>
      </w:r>
    </w:p>
    <w:p w14:paraId="7C303980" w14:textId="77777777" w:rsidR="0001670C" w:rsidRPr="0001670C" w:rsidRDefault="0001670C" w:rsidP="00016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lastRenderedPageBreak/>
        <w:t xml:space="preserve">Applied global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AMS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and IPC guidance to strengthen facility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 xml:space="preserve">level systems.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Applied in:</w:t>
      </w:r>
    </w:p>
    <w:p w14:paraId="611ADFF4" w14:textId="77777777" w:rsidR="0001670C" w:rsidRPr="0001670C" w:rsidRDefault="0001670C" w:rsidP="00016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Developed and delivered on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the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job IDSR and AMS training for healthcare workers across Nigeria.</w:t>
      </w:r>
    </w:p>
    <w:p w14:paraId="5F0E889A" w14:textId="77777777" w:rsidR="0001670C" w:rsidRPr="0001670C" w:rsidRDefault="0001670C" w:rsidP="00016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Strengthened AMS, IPC, and surveillance programs in secondary and tertiary facilities across multiple states.</w:t>
      </w:r>
    </w:p>
    <w:p w14:paraId="4B9B6A8A" w14:textId="77777777" w:rsidR="0001670C" w:rsidRPr="0001670C" w:rsidRDefault="0001670C" w:rsidP="00016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Supported facility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level stewardship and IPC integration under the Fleming Fund Rwanda Grant.</w:t>
      </w:r>
    </w:p>
    <w:p w14:paraId="24530DDF" w14:textId="77777777" w:rsidR="0001670C" w:rsidRPr="0001670C" w:rsidRDefault="0001670C" w:rsidP="00016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6. AMR Policy Adaptation &amp; National Action Plan Implementation</w:t>
      </w:r>
    </w:p>
    <w:p w14:paraId="2147E068" w14:textId="77777777" w:rsidR="0001670C" w:rsidRPr="0001670C" w:rsidRDefault="0001670C" w:rsidP="00016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Experienced in contextualizing global AMR guidance (GAP, GLASS, ATLASS, WOAH standards) into national systems.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Applied in:</w:t>
      </w:r>
    </w:p>
    <w:p w14:paraId="5D78B8B1" w14:textId="77777777" w:rsidR="0001670C" w:rsidRPr="0001670C" w:rsidRDefault="0001670C" w:rsidP="00016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Supported adaptation of AMR surveillance and stewardship tools for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Nigeria and Rwanda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.</w:t>
      </w:r>
    </w:p>
    <w:p w14:paraId="7B524001" w14:textId="77777777" w:rsidR="0001670C" w:rsidRPr="0001670C" w:rsidRDefault="0001670C" w:rsidP="00016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Contributed to national AMR situation analyses, policy briefs, and multisectoral planning.</w:t>
      </w:r>
    </w:p>
    <w:p w14:paraId="1D6E612C" w14:textId="77777777" w:rsidR="0001670C" w:rsidRPr="0001670C" w:rsidRDefault="0001670C" w:rsidP="00016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Provided technical leadership on AMR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related governance, financing, and sustainability reforms.</w:t>
      </w:r>
    </w:p>
    <w:p w14:paraId="2E92A3BC" w14:textId="77777777" w:rsidR="0001670C" w:rsidRPr="0001670C" w:rsidRDefault="0001670C" w:rsidP="00016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7. AMR Workforce Development &amp; Capacity Building</w:t>
      </w:r>
    </w:p>
    <w:p w14:paraId="4AA03977" w14:textId="77777777" w:rsidR="0001670C" w:rsidRPr="0001670C" w:rsidRDefault="0001670C" w:rsidP="00016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Trained hundreds of professionals across Africa in AMR surveillance, stewardship, IPC, and data systems.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Applied in:</w:t>
      </w:r>
    </w:p>
    <w:p w14:paraId="7FC95FB8" w14:textId="77777777" w:rsidR="0001670C" w:rsidRPr="0001670C" w:rsidRDefault="0001670C" w:rsidP="00016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Designed and delivered national and subnational AMR training programs in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Nigeria, Rwanda, Cameroon, and Eswatini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.</w:t>
      </w:r>
    </w:p>
    <w:p w14:paraId="6B6A1FB6" w14:textId="77777777" w:rsidR="0001670C" w:rsidRPr="0001670C" w:rsidRDefault="0001670C" w:rsidP="00016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Led capacity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building for surveillance officers, lab scientists, veterinarians, and clinicians.</w:t>
      </w:r>
    </w:p>
    <w:p w14:paraId="614F6B59" w14:textId="77777777" w:rsidR="0001670C" w:rsidRPr="0001670C" w:rsidRDefault="0001670C" w:rsidP="00016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Developed curricula and training packages for IDSR, AMR surveillance, and digital reporting.</w:t>
      </w:r>
    </w:p>
    <w:p w14:paraId="3ED61444" w14:textId="77777777" w:rsidR="0001670C" w:rsidRPr="0001670C" w:rsidRDefault="0001670C" w:rsidP="00016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8. AMR Research, Evidence Generation &amp; Publications</w:t>
      </w:r>
    </w:p>
    <w:p w14:paraId="35D453DD" w14:textId="77777777" w:rsidR="0001670C" w:rsidRPr="0001670C" w:rsidRDefault="0001670C" w:rsidP="00016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Published peer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 xml:space="preserve">reviewed research on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AMR patterns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, antimicrobial consumption, and surveillance system performance. </w:t>
      </w:r>
      <w:r w:rsidRPr="000167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Applied in:</w:t>
      </w:r>
    </w:p>
    <w:p w14:paraId="2DA212FD" w14:textId="77777777" w:rsidR="0001670C" w:rsidRPr="0001670C" w:rsidRDefault="0001670C" w:rsidP="00016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Published AMR pattern studies across Nigerian states.</w:t>
      </w:r>
    </w:p>
    <w:p w14:paraId="3DBF3540" w14:textId="77777777" w:rsidR="0001670C" w:rsidRPr="0001670C" w:rsidRDefault="0001670C" w:rsidP="00016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authored national AMR situation analyses and surveillance evaluations.</w:t>
      </w:r>
    </w:p>
    <w:p w14:paraId="6B6A9AB6" w14:textId="77777777" w:rsidR="0001670C" w:rsidRPr="0001670C" w:rsidRDefault="0001670C" w:rsidP="00016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Led evaluations of AMR</w:t>
      </w:r>
      <w:r w:rsidRPr="0001670C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related digital surveillance systems.</w:t>
      </w:r>
    </w:p>
    <w:p w14:paraId="2BB4FAED" w14:textId="77777777" w:rsidR="004B5C16" w:rsidRPr="0001670C" w:rsidRDefault="004B5C16">
      <w:pPr>
        <w:rPr>
          <w:sz w:val="24"/>
          <w:szCs w:val="24"/>
        </w:rPr>
      </w:pPr>
    </w:p>
    <w:sectPr w:rsidR="004B5C16" w:rsidRPr="0001670C" w:rsidSect="007A0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20B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933ED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C7282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D640F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66090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03755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9483F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C2360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882595">
    <w:abstractNumId w:val="1"/>
  </w:num>
  <w:num w:numId="2" w16cid:durableId="1390686824">
    <w:abstractNumId w:val="7"/>
  </w:num>
  <w:num w:numId="3" w16cid:durableId="1077899734">
    <w:abstractNumId w:val="0"/>
  </w:num>
  <w:num w:numId="4" w16cid:durableId="34745682">
    <w:abstractNumId w:val="5"/>
  </w:num>
  <w:num w:numId="5" w16cid:durableId="1350984108">
    <w:abstractNumId w:val="6"/>
  </w:num>
  <w:num w:numId="6" w16cid:durableId="1326857224">
    <w:abstractNumId w:val="4"/>
  </w:num>
  <w:num w:numId="7" w16cid:durableId="1061833026">
    <w:abstractNumId w:val="2"/>
  </w:num>
  <w:num w:numId="8" w16cid:durableId="1476793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70C"/>
    <w:rsid w:val="0001670C"/>
    <w:rsid w:val="001C4C2E"/>
    <w:rsid w:val="004A4627"/>
    <w:rsid w:val="004B5C16"/>
    <w:rsid w:val="00584449"/>
    <w:rsid w:val="006A0040"/>
    <w:rsid w:val="007A08AB"/>
    <w:rsid w:val="00806E1C"/>
    <w:rsid w:val="009F2251"/>
    <w:rsid w:val="00C679D7"/>
    <w:rsid w:val="00DA202C"/>
    <w:rsid w:val="00F4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18B9B"/>
  <w15:chartTrackingRefBased/>
  <w15:docId w15:val="{52B1847E-050F-6947-A5B7-E3B19786E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A0040"/>
    <w:pPr>
      <w:spacing w:after="160" w:line="259" w:lineRule="auto"/>
    </w:pPr>
    <w:rPr>
      <w:color w:val="156082" w:themeColor="accent1"/>
      <w:kern w:val="0"/>
      <w:sz w:val="22"/>
      <w:szCs w:val="22"/>
      <w:lang w:val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0040"/>
    <w:rPr>
      <w:color w:val="156082" w:themeColor="accent1"/>
      <w:kern w:val="0"/>
      <w:sz w:val="22"/>
      <w:szCs w:val="22"/>
      <w:lang w:val="en-NG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9F2251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01670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1670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N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70C"/>
    <w:rPr>
      <w:rFonts w:eastAsiaTheme="majorEastAsia" w:cstheme="majorBidi"/>
      <w:color w:val="0F4761" w:themeColor="accent1" w:themeShade="BF"/>
      <w:kern w:val="0"/>
      <w:sz w:val="28"/>
      <w:szCs w:val="28"/>
      <w:lang w:val="en-N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70C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70C"/>
    <w:rPr>
      <w:rFonts w:eastAsiaTheme="majorEastAsia" w:cstheme="majorBidi"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70C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70C"/>
    <w:rPr>
      <w:rFonts w:eastAsiaTheme="majorEastAsia" w:cstheme="majorBidi"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70C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N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70C"/>
    <w:rPr>
      <w:rFonts w:eastAsiaTheme="majorEastAsia" w:cstheme="majorBidi"/>
      <w:color w:val="272727" w:themeColor="text1" w:themeTint="D8"/>
      <w:kern w:val="0"/>
      <w:sz w:val="22"/>
      <w:szCs w:val="22"/>
      <w:lang w:val="en-N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1670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70C"/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70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N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16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70C"/>
    <w:rPr>
      <w:i/>
      <w:iCs/>
      <w:color w:val="404040" w:themeColor="text1" w:themeTint="BF"/>
      <w:kern w:val="0"/>
      <w:sz w:val="22"/>
      <w:szCs w:val="22"/>
      <w:lang w:val="en-NG"/>
      <w14:ligatures w14:val="none"/>
    </w:rPr>
  </w:style>
  <w:style w:type="paragraph" w:styleId="ListParagraph">
    <w:name w:val="List Paragraph"/>
    <w:basedOn w:val="Normal"/>
    <w:uiPriority w:val="34"/>
    <w:qFormat/>
    <w:rsid w:val="00016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70C"/>
    <w:rPr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1670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167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6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Piringar Niyang</dc:creator>
  <cp:keywords/>
  <dc:description/>
  <cp:lastModifiedBy>Piringar Niyang</cp:lastModifiedBy>
  <cp:revision>1</cp:revision>
  <dcterms:created xsi:type="dcterms:W3CDTF">2026-02-25T23:13:00Z</dcterms:created>
  <dcterms:modified xsi:type="dcterms:W3CDTF">2026-02-25T23:14:00Z</dcterms:modified>
</cp:coreProperties>
</file>