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D7CC" w14:textId="4A86357B" w:rsidR="0004728F" w:rsidRPr="0004728F" w:rsidRDefault="0004728F" w:rsidP="000472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  <w:lang w:eastAsia="en-GB"/>
        </w:rPr>
        <w:t>Brief #1 Multi</w:t>
      </w:r>
      <w:r w:rsidRPr="0004728F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  <w:lang w:eastAsia="en-GB"/>
        </w:rPr>
        <w:noBreakHyphen/>
        <w:t>Country PEA</w:t>
      </w:r>
    </w:p>
    <w:p w14:paraId="35A781B4" w14:textId="4ED88EB9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1. Overview</w:t>
      </w:r>
    </w:p>
    <w:p w14:paraId="7627B300" w14:textId="540F9131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This brief provides a comparative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political–economic analysis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of AMR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relevant systems across 10+ African countries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.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It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describes </w:t>
      </w:r>
    </w:p>
    <w:p w14:paraId="6C0AF451" w14:textId="77777777" w:rsidR="0004728F" w:rsidRPr="0004728F" w:rsidRDefault="0004728F" w:rsidP="00047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governance</w:t>
      </w:r>
    </w:p>
    <w:p w14:paraId="7B4BC839" w14:textId="77777777" w:rsidR="0004728F" w:rsidRPr="0004728F" w:rsidRDefault="0004728F" w:rsidP="00047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financing</w:t>
      </w:r>
    </w:p>
    <w:p w14:paraId="254D3C34" w14:textId="77777777" w:rsidR="0004728F" w:rsidRPr="0004728F" w:rsidRDefault="0004728F" w:rsidP="00047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health system resilience</w:t>
      </w:r>
    </w:p>
    <w:p w14:paraId="1F0B565B" w14:textId="77777777" w:rsidR="0004728F" w:rsidRPr="0004728F" w:rsidRDefault="0004728F" w:rsidP="00047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veterinary and environmental systems</w:t>
      </w:r>
    </w:p>
    <w:p w14:paraId="10FCB522" w14:textId="77777777" w:rsidR="0004728F" w:rsidRPr="0004728F" w:rsidRDefault="0004728F" w:rsidP="00047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AMR surveillance and stewardship capacity</w:t>
      </w:r>
    </w:p>
    <w:p w14:paraId="49BD852F" w14:textId="77777777" w:rsidR="0004728F" w:rsidRPr="0004728F" w:rsidRDefault="0004728F" w:rsidP="00047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digital and laboratory infrastructure</w:t>
      </w:r>
    </w:p>
    <w:p w14:paraId="0F3AA710" w14:textId="1E30BD3D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2. Cross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 xml:space="preserve">Country Political–Economic Themes </w:t>
      </w:r>
    </w:p>
    <w:p w14:paraId="5827C423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A. Governance &amp; One Health Coordination</w:t>
      </w:r>
    </w:p>
    <w:p w14:paraId="089C5CD1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Most countries had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fragmented coordination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across human, animal, and environmental sectors.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Countries with relatively stronger coordination:</w:t>
      </w:r>
    </w:p>
    <w:p w14:paraId="71A17931" w14:textId="77777777" w:rsidR="0004728F" w:rsidRPr="0004728F" w:rsidRDefault="0004728F" w:rsidP="00047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Rwanda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Uganda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Kenya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Countries with weaker or inactive platforms:</w:t>
      </w:r>
    </w:p>
    <w:p w14:paraId="5AB340A3" w14:textId="77777777" w:rsidR="0004728F" w:rsidRPr="0004728F" w:rsidRDefault="0004728F" w:rsidP="00047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Nigeria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Sierra Leone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Zambia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Malawi</w:t>
      </w:r>
    </w:p>
    <w:p w14:paraId="51D27FB3" w14:textId="46A534AA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Explore: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One Health governance</w:t>
      </w:r>
    </w:p>
    <w:p w14:paraId="1379D32B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B. AMR Financing &amp; Fiscal Space</w:t>
      </w:r>
    </w:p>
    <w:p w14:paraId="43A6C3A1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Across all 10+ countries, AMR remained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underfunded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, with heavy reliance on donors.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Countries with emerging domestic financing:</w:t>
      </w:r>
    </w:p>
    <w:p w14:paraId="6FABDB5D" w14:textId="77777777" w:rsidR="0004728F" w:rsidRPr="0004728F" w:rsidRDefault="0004728F" w:rsidP="00047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Ghana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Kenya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Rwanda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Countries with severe fiscal constraints:</w:t>
      </w:r>
    </w:p>
    <w:p w14:paraId="2F0B83DC" w14:textId="77777777" w:rsidR="0004728F" w:rsidRPr="0004728F" w:rsidRDefault="0004728F" w:rsidP="00047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Sierra Leone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Malawi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Ethiopia</w:t>
      </w:r>
    </w:p>
    <w:p w14:paraId="723FED69" w14:textId="14184871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Explore: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AMR financing models</w:t>
      </w:r>
    </w:p>
    <w:p w14:paraId="1983BBB9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C. Laboratory &amp; Surveillance Capacity</w:t>
      </w:r>
    </w:p>
    <w:p w14:paraId="6DC5754E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GLASS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quality data remained limited across the region.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Countries with relatively stronger labs:</w:t>
      </w:r>
    </w:p>
    <w:p w14:paraId="4B322E04" w14:textId="77777777" w:rsidR="0004728F" w:rsidRPr="0004728F" w:rsidRDefault="0004728F" w:rsidP="00047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South Africa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Kenya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Rwanda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Countries with major gaps:</w:t>
      </w:r>
    </w:p>
    <w:p w14:paraId="5F1C32E2" w14:textId="77777777" w:rsidR="0004728F" w:rsidRPr="0004728F" w:rsidRDefault="0004728F" w:rsidP="00047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Sierra Leone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Malawi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Zambia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Tanzania</w:t>
      </w:r>
    </w:p>
    <w:p w14:paraId="369749C4" w14:textId="3DEFA268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Explore: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AMR laboratory systems</w:t>
      </w:r>
    </w:p>
    <w:p w14:paraId="64F5BC04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D. Veterinary, Livestock &amp; Food Safety Systems</w:t>
      </w:r>
    </w:p>
    <w:p w14:paraId="423AE129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 antimicrobial use in livestock persisted across:</w:t>
      </w:r>
    </w:p>
    <w:p w14:paraId="67DCB776" w14:textId="77777777" w:rsidR="0004728F" w:rsidRPr="0004728F" w:rsidRDefault="0004728F" w:rsidP="00047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Nigeria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Kenya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Tanzania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Uganda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Ghana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Regulatory enforcement remained weak in most countries.</w:t>
      </w:r>
    </w:p>
    <w:p w14:paraId="08542BB8" w14:textId="3E8500B8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Explore: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AMR in livestock</w:t>
      </w:r>
    </w:p>
    <w:p w14:paraId="201DEAB7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E. Environmental AMR Systems</w:t>
      </w:r>
    </w:p>
    <w:p w14:paraId="36C24326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Environmental surveillance was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nascent or absent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in nearly all countries except:</w:t>
      </w:r>
    </w:p>
    <w:p w14:paraId="5596EC62" w14:textId="77777777" w:rsidR="0004728F" w:rsidRPr="0004728F" w:rsidRDefault="0004728F" w:rsidP="000472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South Africa</w:t>
      </w:r>
    </w:p>
    <w:p w14:paraId="19F754CE" w14:textId="77777777" w:rsidR="0004728F" w:rsidRPr="0004728F" w:rsidRDefault="0004728F" w:rsidP="000472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Rwanda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(pilot wastewater monitoring)</w:t>
      </w:r>
    </w:p>
    <w:p w14:paraId="407D1736" w14:textId="77777777" w:rsidR="0004728F" w:rsidRPr="0004728F" w:rsidRDefault="0004728F" w:rsidP="000472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Kenya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(university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led initiatives)</w:t>
      </w:r>
    </w:p>
    <w:p w14:paraId="32811860" w14:textId="14BE7CB2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Explore: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Environmental AMR</w:t>
      </w:r>
    </w:p>
    <w:p w14:paraId="1D90ED99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F. Digital Health &amp; Data Interoperability</w:t>
      </w:r>
    </w:p>
    <w:p w14:paraId="5BF7CE70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Countries with strong digital surveillance foundations:</w:t>
      </w:r>
    </w:p>
    <w:p w14:paraId="4CB77FF2" w14:textId="77777777" w:rsidR="0004728F" w:rsidRPr="0004728F" w:rsidRDefault="0004728F" w:rsidP="00047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Nigeria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(SORMAS, mSERS)</w:t>
      </w:r>
    </w:p>
    <w:p w14:paraId="36B437EA" w14:textId="77777777" w:rsidR="0004728F" w:rsidRPr="0004728F" w:rsidRDefault="0004728F" w:rsidP="00047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Kenya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(DHIS2, lab systems)</w:t>
      </w:r>
    </w:p>
    <w:p w14:paraId="3AD1CD0C" w14:textId="77777777" w:rsidR="0004728F" w:rsidRPr="0004728F" w:rsidRDefault="0004728F" w:rsidP="00047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Rwanda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(Irembo, RBC digital systems)</w:t>
      </w:r>
    </w:p>
    <w:p w14:paraId="1DB41250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Countries with fragmented systems:</w:t>
      </w:r>
    </w:p>
    <w:p w14:paraId="202F4F72" w14:textId="77777777" w:rsidR="0004728F" w:rsidRPr="0004728F" w:rsidRDefault="0004728F" w:rsidP="000472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Malawi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Zambia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</w:t>
      </w:r>
      <w:r w:rsidRPr="000472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Sierra Leone</w:t>
      </w:r>
    </w:p>
    <w:p w14:paraId="52078DB9" w14:textId="62011DE9" w:rsidR="0004728F" w:rsidRPr="0004728F" w:rsidRDefault="0004728F" w:rsidP="000472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Explore: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Digital AMR systems</w:t>
      </w:r>
    </w:p>
    <w:p w14:paraId="513DE5D0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2 — Why Countries Struggle to Adapt Global AMR Guidance</w:t>
      </w:r>
    </w:p>
    <w:p w14:paraId="4EA6471C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Based on your existing policy brief; highlights systemic barriers. AMR guidance adaptation</w:t>
      </w:r>
    </w:p>
    <w:p w14:paraId="5C02E240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3 — The Political Economy of AMR in Africa</w:t>
      </w:r>
    </w:p>
    <w:p w14:paraId="75AE8C5C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Why AMR is shaped by incentives, power, financing, and institutional realities. AMR political economy</w:t>
      </w:r>
    </w:p>
    <w:p w14:paraId="444BA0D4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lastRenderedPageBreak/>
        <w:t>WEEK 4 — Global Economic Impact of US Funding Shifts (Feb 2025)</w:t>
      </w:r>
    </w:p>
    <w:p w14:paraId="2465C527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Your second miniseries brief; explains external shocks affecting LMIC AMR systems. Global funding shifts</w:t>
      </w:r>
    </w:p>
    <w:p w14:paraId="6F491E5D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5 — AMR as a National Security and Health Security Threat</w:t>
      </w:r>
    </w:p>
    <w:p w14:paraId="631ED4A3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Why AMR destabilizes economies, health systems, and public trust. AMR health security</w:t>
      </w:r>
    </w:p>
    <w:p w14:paraId="30D05EFC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6 — Financing AMR: Domestic Budgets, Donor Leverage &amp; Sustainability</w:t>
      </w:r>
    </w:p>
    <w:p w14:paraId="44D8C75B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Practical models for ministers to fund AMR beyond donor cycles. AMR financing</w:t>
      </w:r>
    </w:p>
    <w:p w14:paraId="4B64D7C8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7 — Strengthening One Health Governance for AMR</w:t>
      </w:r>
    </w:p>
    <w:p w14:paraId="76B6F8CE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How ministers can fix coordination failures across human, animal, and environment sectors. One Health governance</w:t>
      </w:r>
    </w:p>
    <w:p w14:paraId="6473FF47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8 — Designing Integrated AMR/AMU Surveillance (GLASS + ATLASS + WOAH + TISSA)</w:t>
      </w:r>
    </w:p>
    <w:p w14:paraId="51153E27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minister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friendly roadmap for integrated surveillance. Integrated surveillance</w:t>
      </w:r>
    </w:p>
    <w:p w14:paraId="36FE4592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9 — Strengthening Laboratory Systems for AMR Data Quality</w:t>
      </w:r>
    </w:p>
    <w:p w14:paraId="53BFBEFD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What ministers must invest in to meet GLASS</w:t>
      </w: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quality standards. AMR lab systems</w:t>
      </w:r>
    </w:p>
    <w:p w14:paraId="7E0EDEA7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10 — Stewardship &amp; IPC: The Most Cost</w:t>
      </w: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noBreakHyphen/>
        <w:t>Effective AMR Interventions</w:t>
      </w:r>
    </w:p>
    <w:p w14:paraId="1B809858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Why AMS + IPC are the fastest wins for ministers. Antimicrobial stewardship</w:t>
      </w:r>
    </w:p>
    <w:p w14:paraId="2F611C32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11 — AMR in Livestock, Food Safety &amp; Agriculture</w:t>
      </w:r>
    </w:p>
    <w:p w14:paraId="3B8374CB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Critical for trade, exports, and WOAH compliance. AMR in livestock</w:t>
      </w:r>
    </w:p>
    <w:p w14:paraId="3D24664A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12 — Environmental AMR: The Missing Pillar in National Plans</w:t>
      </w:r>
    </w:p>
    <w:p w14:paraId="3874F6DB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Wastewater, effluents, pollution, and UNEP’s environmental AMR priorities. Environmental AMR</w:t>
      </w:r>
    </w:p>
    <w:p w14:paraId="7A2EFE74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13 — Digital Transformation for AMR: AI, Interoperability &amp; Real</w:t>
      </w: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noBreakHyphen/>
        <w:t>Time Data</w:t>
      </w:r>
    </w:p>
    <w:p w14:paraId="77E4B29B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How ministers can modernize surveillance and stewardship. Digital AMR systems</w:t>
      </w:r>
    </w:p>
    <w:p w14:paraId="1BA4D7ED" w14:textId="206ACDCF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14 —Post</w:t>
      </w: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noBreakHyphen/>
        <w:t>Shock Political–Economic Conditions (Mar 2026)</w:t>
      </w:r>
    </w:p>
    <w:p w14:paraId="1DFC5D11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Completes the narrative arc: what changed, what remained stable, what it means for AMR. Political–economic shifts</w:t>
      </w:r>
    </w:p>
    <w:p w14:paraId="758B10F7" w14:textId="77777777" w:rsidR="0004728F" w:rsidRPr="0004728F" w:rsidRDefault="0004728F" w:rsidP="00047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</w:pPr>
      <w:r w:rsidRPr="0004728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en-GB"/>
        </w:rPr>
        <w:t>WEEK 15 — Final Ministerial Brief: Key Messages for the 5th Global AMR Conference</w:t>
      </w:r>
    </w:p>
    <w:p w14:paraId="7316D1FB" w14:textId="77777777" w:rsidR="0004728F" w:rsidRPr="0004728F" w:rsidRDefault="0004728F" w:rsidP="0004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4728F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synthesis of the entire series with 10 actionable commitments. AMR ministerial priorities</w:t>
      </w:r>
    </w:p>
    <w:p w14:paraId="2A203E93" w14:textId="77777777" w:rsidR="004B5C16" w:rsidRPr="0004728F" w:rsidRDefault="004B5C16">
      <w:pPr>
        <w:rPr>
          <w:sz w:val="24"/>
          <w:szCs w:val="24"/>
        </w:rPr>
      </w:pPr>
    </w:p>
    <w:sectPr w:rsidR="004B5C16" w:rsidRPr="0004728F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272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601A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367C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40C24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B302E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26DD1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D7929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8220D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958F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A3B8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A1E8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C147E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138081">
    <w:abstractNumId w:val="8"/>
  </w:num>
  <w:num w:numId="2" w16cid:durableId="1388994056">
    <w:abstractNumId w:val="11"/>
  </w:num>
  <w:num w:numId="3" w16cid:durableId="1736319731">
    <w:abstractNumId w:val="2"/>
  </w:num>
  <w:num w:numId="4" w16cid:durableId="2076276363">
    <w:abstractNumId w:val="7"/>
  </w:num>
  <w:num w:numId="5" w16cid:durableId="859243106">
    <w:abstractNumId w:val="10"/>
  </w:num>
  <w:num w:numId="6" w16cid:durableId="842281486">
    <w:abstractNumId w:val="0"/>
  </w:num>
  <w:num w:numId="7" w16cid:durableId="1559592212">
    <w:abstractNumId w:val="9"/>
  </w:num>
  <w:num w:numId="8" w16cid:durableId="1994404278">
    <w:abstractNumId w:val="3"/>
  </w:num>
  <w:num w:numId="9" w16cid:durableId="456799941">
    <w:abstractNumId w:val="4"/>
  </w:num>
  <w:num w:numId="10" w16cid:durableId="1245148807">
    <w:abstractNumId w:val="5"/>
  </w:num>
  <w:num w:numId="11" w16cid:durableId="1550190532">
    <w:abstractNumId w:val="6"/>
  </w:num>
  <w:num w:numId="12" w16cid:durableId="33241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8F"/>
    <w:rsid w:val="0004728F"/>
    <w:rsid w:val="001C4C2E"/>
    <w:rsid w:val="004A4627"/>
    <w:rsid w:val="004B5C16"/>
    <w:rsid w:val="00584449"/>
    <w:rsid w:val="006A0040"/>
    <w:rsid w:val="007A08AB"/>
    <w:rsid w:val="00806E1C"/>
    <w:rsid w:val="009F2251"/>
    <w:rsid w:val="00C679D7"/>
    <w:rsid w:val="00DA202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5F89"/>
  <w15:chartTrackingRefBased/>
  <w15:docId w15:val="{B5D14BDB-DEFA-FC4A-8D47-B9D9793E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04728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728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728F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8F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8F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8F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8F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8F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8F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4728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8F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8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4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8F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04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8F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472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7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4728F"/>
    <w:rPr>
      <w:b/>
      <w:bCs/>
    </w:rPr>
  </w:style>
  <w:style w:type="character" w:styleId="Emphasis">
    <w:name w:val="Emphasis"/>
    <w:basedOn w:val="DefaultParagraphFont"/>
    <w:uiPriority w:val="20"/>
    <w:qFormat/>
    <w:rsid w:val="000472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1</cp:revision>
  <dcterms:created xsi:type="dcterms:W3CDTF">2026-02-25T23:07:00Z</dcterms:created>
  <dcterms:modified xsi:type="dcterms:W3CDTF">2026-02-25T23:12:00Z</dcterms:modified>
</cp:coreProperties>
</file>