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89F9" w14:textId="08793072" w:rsidR="004D75B3" w:rsidRPr="004D75B3" w:rsidRDefault="004D75B3" w:rsidP="004D7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t>Proposed Mini</w:t>
      </w: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noBreakHyphen/>
        <w:t>Series Structure</w:t>
      </w:r>
    </w:p>
    <w:p w14:paraId="3CCAF31E" w14:textId="47D96C29" w:rsidR="004D75B3" w:rsidRPr="004D75B3" w:rsidRDefault="004D75B3" w:rsidP="004D75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 xml:space="preserve">1. Policy Brief 1 — PEA Part 1 (Rwanda as at Sep </w:t>
      </w:r>
      <w:commentRangeStart w:id="0"/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2024</w:t>
      </w:r>
      <w:commentRangeEnd w:id="0"/>
      <w:r w:rsidR="009B7E3A">
        <w:rPr>
          <w:rStyle w:val="CommentReference"/>
        </w:rPr>
        <w:commentReference w:id="0"/>
      </w: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)</w:t>
      </w:r>
      <w:r w:rsidR="009B7E3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 xml:space="preserve"> </w:t>
      </w:r>
    </w:p>
    <w:p w14:paraId="50DDA1AF" w14:textId="77777777" w:rsidR="004D75B3" w:rsidRPr="004D75B3" w:rsidRDefault="004D75B3" w:rsidP="004D75B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Theme: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4D75B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Baseline political–economic conditions before major external shifts.</w:t>
      </w:r>
    </w:p>
    <w:p w14:paraId="6190A3F8" w14:textId="77777777" w:rsidR="004D75B3" w:rsidRPr="004D75B3" w:rsidRDefault="004D75B3" w:rsidP="004D75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Captures Rwanda’s internal political dynamics, economic trends, and sectoral pressures as of late 2024.</w:t>
      </w:r>
    </w:p>
    <w:p w14:paraId="04EF426E" w14:textId="77777777" w:rsidR="004D75B3" w:rsidRPr="004D75B3" w:rsidRDefault="004D75B3" w:rsidP="004D7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Establishes the “before” picture.</w:t>
      </w:r>
    </w:p>
    <w:p w14:paraId="0AFEA299" w14:textId="1C6C7961" w:rsidR="004D75B3" w:rsidRPr="004D75B3" w:rsidRDefault="004D75B3" w:rsidP="004D7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Useful as a reference point for later changes.</w:t>
      </w:r>
    </w:p>
    <w:p w14:paraId="65B06E8B" w14:textId="77777777" w:rsidR="004D75B3" w:rsidRPr="004D75B3" w:rsidRDefault="004D75B3" w:rsidP="004D75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Policy Brief 2 — Global Economic Impact of the US Funding Landscape (Feb 2025)</w:t>
      </w:r>
    </w:p>
    <w:p w14:paraId="3C8DB5B8" w14:textId="77777777" w:rsidR="004D75B3" w:rsidRPr="004D75B3" w:rsidRDefault="004D75B3" w:rsidP="004D75B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Theme: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4D75B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External shock and its implications.</w:t>
      </w:r>
    </w:p>
    <w:p w14:paraId="23812AEA" w14:textId="77777777" w:rsidR="004D75B3" w:rsidRPr="004D75B3" w:rsidRDefault="004D75B3" w:rsidP="004D75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Focuses on how shifts in US global funding priorities affect low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 and middle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income countries, including Rwanda.</w:t>
      </w:r>
    </w:p>
    <w:p w14:paraId="2D580908" w14:textId="77777777" w:rsidR="004D75B3" w:rsidRPr="004D75B3" w:rsidRDefault="004D75B3" w:rsidP="004D7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Explores implications for health security, AMR, One Health, and broader development financing.</w:t>
      </w:r>
    </w:p>
    <w:p w14:paraId="54994084" w14:textId="6E68AD97" w:rsidR="004D75B3" w:rsidRPr="004D75B3" w:rsidRDefault="004D75B3" w:rsidP="004D7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Serves as the “intervening factor” between PEA Part 1 and Part 2.</w:t>
      </w:r>
    </w:p>
    <w:p w14:paraId="164CE2EB" w14:textId="77777777" w:rsidR="004D75B3" w:rsidRPr="004D75B3" w:rsidRDefault="004D75B3" w:rsidP="004D75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3. Policy Brief 3 — PEA Part 2 (Rwanda as at Mar 2026)</w:t>
      </w:r>
    </w:p>
    <w:p w14:paraId="1EAA187B" w14:textId="77777777" w:rsidR="004D75B3" w:rsidRPr="004D75B3" w:rsidRDefault="004D75B3" w:rsidP="004D75B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Theme: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4D75B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Updated political–economic conditions after the external shock.</w:t>
      </w:r>
    </w:p>
    <w:p w14:paraId="7E79E89E" w14:textId="77777777" w:rsidR="004D75B3" w:rsidRPr="004D75B3" w:rsidRDefault="004D75B3" w:rsidP="004D75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Revisits Rwanda’s political–economic landscape 18 months later.</w:t>
      </w:r>
    </w:p>
    <w:p w14:paraId="25DDEF9C" w14:textId="77777777" w:rsidR="004D75B3" w:rsidRPr="004D75B3" w:rsidRDefault="004D75B3" w:rsidP="004D7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Highlights what changed, what remained stable, and what new risks or opportunities emerged.</w:t>
      </w:r>
    </w:p>
    <w:p w14:paraId="3954DD68" w14:textId="3EB2E9D2" w:rsidR="004D75B3" w:rsidRPr="004D75B3" w:rsidRDefault="004D75B3" w:rsidP="004D7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Provides the “after” picture, completing the narrative arc.</w:t>
      </w:r>
    </w:p>
    <w:p w14:paraId="07BEB148" w14:textId="41016F91" w:rsidR="004D75B3" w:rsidRPr="004D75B3" w:rsidRDefault="004D75B3" w:rsidP="004D75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  <w:t>Benfits of this</w:t>
      </w: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  <w:t xml:space="preserve"> mini</w:t>
      </w: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  <w:noBreakHyphen/>
        <w:t>series</w:t>
      </w:r>
    </w:p>
    <w:p w14:paraId="39A3CA1C" w14:textId="77777777" w:rsidR="004D75B3" w:rsidRPr="004D75B3" w:rsidRDefault="004D75B3" w:rsidP="004D75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Clear chronological flow: Before → External shock → After.</w:t>
      </w:r>
    </w:p>
    <w:p w14:paraId="5B8D5B6D" w14:textId="77777777" w:rsidR="004D75B3" w:rsidRPr="004D75B3" w:rsidRDefault="004D75B3" w:rsidP="004D7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Consistent analytical lens: All three briefs use political–economic analysis and One Health/AMR relevance.</w:t>
      </w:r>
    </w:p>
    <w:p w14:paraId="58F95AD5" w14:textId="77777777" w:rsidR="004D75B3" w:rsidRPr="004D75B3" w:rsidRDefault="004D75B3" w:rsidP="004D7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Strong storytelling: Readers can follow how context evolves over time.</w:t>
      </w:r>
    </w:p>
    <w:p w14:paraId="3C6E0760" w14:textId="3746E928" w:rsidR="004D75B3" w:rsidRPr="004D75B3" w:rsidRDefault="004D75B3" w:rsidP="004D7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Useful for donors and policymakers: Shows responsiveness to changing global and national conditions.</w:t>
      </w:r>
    </w:p>
    <w:p w14:paraId="641DB0A2" w14:textId="4674C6B1" w:rsidR="004D75B3" w:rsidRPr="004D75B3" w:rsidRDefault="004D75B3" w:rsidP="004D75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  <w:t>Optional Add</w:t>
      </w:r>
      <w:r w:rsidRPr="004D75B3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</w:rPr>
        <w:noBreakHyphen/>
        <w:t xml:space="preserve">Ons </w:t>
      </w:r>
    </w:p>
    <w:p w14:paraId="620E30FC" w14:textId="77777777" w:rsidR="004D75B3" w:rsidRPr="004D75B3" w:rsidRDefault="004D75B3" w:rsidP="004D75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Brief 4: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Sector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specific deep dive (e.g., AMR, livestock, digital health).</w:t>
      </w:r>
    </w:p>
    <w:p w14:paraId="557A103B" w14:textId="77777777" w:rsidR="004D75B3" w:rsidRPr="004D75B3" w:rsidRDefault="004D75B3" w:rsidP="004D75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Brief 5: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Financing landscape for One Health in Rwanda.</w:t>
      </w:r>
    </w:p>
    <w:p w14:paraId="46CD9BB9" w14:textId="77777777" w:rsidR="004D75B3" w:rsidRPr="004D75B3" w:rsidRDefault="004D75B3" w:rsidP="004D7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4D75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Brief 6:</w:t>
      </w:r>
      <w:r w:rsidRPr="004D75B3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Regional comparison (EAC or Great Lakes region).</w:t>
      </w:r>
    </w:p>
    <w:p w14:paraId="7770A052" w14:textId="77777777" w:rsidR="004B5C16" w:rsidRDefault="004B5C16"/>
    <w:sectPr w:rsidR="004B5C16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ringar Niyang" w:date="2026-01-19T12:20:00Z" w:initials="PMN">
    <w:p w14:paraId="7B174B5D" w14:textId="77777777" w:rsidR="009B7E3A" w:rsidRDefault="009B7E3A" w:rsidP="009B7E3A">
      <w:r>
        <w:rPr>
          <w:rStyle w:val="CommentReference"/>
        </w:rPr>
        <w:annotationRef/>
      </w:r>
      <w:r>
        <w:rPr>
          <w:color w:val="156082"/>
          <w:sz w:val="20"/>
          <w:szCs w:val="20"/>
        </w:rPr>
        <w:t>Can we extend this across more countries?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174B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BF3E73" w16cex:dateUtc="2026-01-19T1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174B5D" w16cid:durableId="48BF3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B3C"/>
    <w:multiLevelType w:val="multilevel"/>
    <w:tmpl w:val="70F00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313D5"/>
    <w:multiLevelType w:val="multilevel"/>
    <w:tmpl w:val="0C4C3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24C5C"/>
    <w:multiLevelType w:val="multilevel"/>
    <w:tmpl w:val="6142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24D9C"/>
    <w:multiLevelType w:val="multilevel"/>
    <w:tmpl w:val="2B78E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F7FEF"/>
    <w:multiLevelType w:val="multilevel"/>
    <w:tmpl w:val="739A4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78296360">
    <w:abstractNumId w:val="2"/>
  </w:num>
  <w:num w:numId="2" w16cid:durableId="1796753944">
    <w:abstractNumId w:val="0"/>
  </w:num>
  <w:num w:numId="3" w16cid:durableId="286401640">
    <w:abstractNumId w:val="1"/>
  </w:num>
  <w:num w:numId="4" w16cid:durableId="516891555">
    <w:abstractNumId w:val="4"/>
  </w:num>
  <w:num w:numId="5" w16cid:durableId="169530409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ringar Niyang">
    <w15:presenceInfo w15:providerId="None" w15:userId="Piringar Niy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B3"/>
    <w:rsid w:val="001C4C2E"/>
    <w:rsid w:val="001F1C37"/>
    <w:rsid w:val="004A4627"/>
    <w:rsid w:val="004B5C16"/>
    <w:rsid w:val="004D75B3"/>
    <w:rsid w:val="00584449"/>
    <w:rsid w:val="006A0040"/>
    <w:rsid w:val="007A08AB"/>
    <w:rsid w:val="009B7E3A"/>
    <w:rsid w:val="009F2251"/>
    <w:rsid w:val="00C679D7"/>
    <w:rsid w:val="00DA202C"/>
    <w:rsid w:val="00E03402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6370"/>
  <w15:chartTrackingRefBased/>
  <w15:docId w15:val="{3F5D6C28-FB55-EB4B-A507-34661BC5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4D75B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75B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B3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B3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B3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B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B3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B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B3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D75B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B3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B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D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B3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4D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B3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D75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D75B3"/>
    <w:rPr>
      <w:b/>
      <w:bCs/>
    </w:rPr>
  </w:style>
  <w:style w:type="character" w:styleId="Emphasis">
    <w:name w:val="Emphasis"/>
    <w:basedOn w:val="DefaultParagraphFont"/>
    <w:uiPriority w:val="20"/>
    <w:qFormat/>
    <w:rsid w:val="004D75B3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B7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E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E3A"/>
    <w:rPr>
      <w:color w:val="156082" w:themeColor="accent1"/>
      <w:kern w:val="0"/>
      <w:sz w:val="20"/>
      <w:szCs w:val="20"/>
      <w:lang w:val="en-N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E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E3A"/>
    <w:rPr>
      <w:b/>
      <w:bCs/>
      <w:color w:val="156082" w:themeColor="accent1"/>
      <w:kern w:val="0"/>
      <w:sz w:val="20"/>
      <w:szCs w:val="20"/>
      <w:lang w:val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2</cp:revision>
  <dcterms:created xsi:type="dcterms:W3CDTF">2026-01-19T11:14:00Z</dcterms:created>
  <dcterms:modified xsi:type="dcterms:W3CDTF">2026-01-21T06:12:00Z</dcterms:modified>
</cp:coreProperties>
</file>