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B029" w14:textId="4A5D3DF3"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auto"/>
          <w:kern w:val="36"/>
          <w:sz w:val="28"/>
          <w:szCs w:val="28"/>
          <w:lang w:eastAsia="en-GB"/>
        </w:rPr>
      </w:pPr>
      <w:r w:rsidRPr="00BC0DE3">
        <w:rPr>
          <w:rFonts w:ascii="Times New Roman" w:eastAsia="Times New Roman" w:hAnsi="Times New Roman" w:cs="Times New Roman"/>
          <w:b/>
          <w:bCs/>
          <w:color w:val="auto"/>
          <w:kern w:val="36"/>
          <w:sz w:val="28"/>
          <w:szCs w:val="28"/>
          <w:lang w:eastAsia="en-GB"/>
        </w:rPr>
        <w:t>CONCEPT NOTE</w:t>
      </w:r>
      <w:r>
        <w:rPr>
          <w:rFonts w:ascii="Times New Roman" w:eastAsia="Times New Roman" w:hAnsi="Times New Roman" w:cs="Times New Roman"/>
          <w:b/>
          <w:bCs/>
          <w:color w:val="auto"/>
          <w:kern w:val="36"/>
          <w:sz w:val="28"/>
          <w:szCs w:val="28"/>
          <w:lang w:eastAsia="en-GB"/>
        </w:rPr>
        <w:t xml:space="preserve">: </w:t>
      </w:r>
      <w:r w:rsidRPr="00BC0DE3">
        <w:rPr>
          <w:rFonts w:ascii="Times New Roman" w:eastAsia="Times New Roman" w:hAnsi="Times New Roman" w:cs="Times New Roman"/>
          <w:b/>
          <w:bCs/>
          <w:color w:val="auto"/>
          <w:sz w:val="28"/>
          <w:szCs w:val="28"/>
          <w:lang w:eastAsia="en-GB"/>
        </w:rPr>
        <w:t>Pan</w:t>
      </w:r>
      <w:r w:rsidRPr="00BC0DE3">
        <w:rPr>
          <w:rFonts w:ascii="Times New Roman" w:eastAsia="Times New Roman" w:hAnsi="Times New Roman" w:cs="Times New Roman"/>
          <w:b/>
          <w:bCs/>
          <w:color w:val="auto"/>
          <w:sz w:val="28"/>
          <w:szCs w:val="28"/>
          <w:lang w:eastAsia="en-GB"/>
        </w:rPr>
        <w:noBreakHyphen/>
        <w:t>African Weekly AMR Policy Brief Series (March–June 2026)</w:t>
      </w:r>
    </w:p>
    <w:p w14:paraId="1EF3F9A9" w14:textId="0AC54D1F" w:rsidR="00BC0DE3" w:rsidRPr="00BC0DE3" w:rsidRDefault="00BC0DE3" w:rsidP="00BC0DE3">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GB"/>
        </w:rPr>
      </w:pPr>
      <w:r w:rsidRPr="00BC0DE3">
        <w:rPr>
          <w:rFonts w:ascii="Times New Roman" w:eastAsia="Times New Roman" w:hAnsi="Times New Roman" w:cs="Times New Roman"/>
          <w:b/>
          <w:bCs/>
          <w:i/>
          <w:iCs/>
          <w:color w:val="auto"/>
          <w:sz w:val="27"/>
          <w:szCs w:val="27"/>
          <w:lang w:eastAsia="en-GB"/>
        </w:rPr>
        <w:t>In preparation for the Inter</w:t>
      </w:r>
      <w:r w:rsidRPr="00BC0DE3">
        <w:rPr>
          <w:rFonts w:ascii="Times New Roman" w:eastAsia="Times New Roman" w:hAnsi="Times New Roman" w:cs="Times New Roman"/>
          <w:b/>
          <w:bCs/>
          <w:i/>
          <w:iCs/>
          <w:color w:val="auto"/>
          <w:sz w:val="27"/>
          <w:szCs w:val="27"/>
          <w:lang w:eastAsia="en-GB"/>
        </w:rPr>
        <w:noBreakHyphen/>
        <w:t>Ministerial Conference on AMR – June 28, 2026</w:t>
      </w:r>
    </w:p>
    <w:p w14:paraId="10BD974C" w14:textId="77777777"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C0DE3">
        <w:rPr>
          <w:rFonts w:ascii="Times New Roman" w:eastAsia="Times New Roman" w:hAnsi="Times New Roman" w:cs="Times New Roman"/>
          <w:b/>
          <w:bCs/>
          <w:color w:val="auto"/>
          <w:kern w:val="36"/>
          <w:sz w:val="24"/>
          <w:szCs w:val="24"/>
          <w:lang w:eastAsia="en-GB"/>
        </w:rPr>
        <w:t>1. Background</w:t>
      </w:r>
    </w:p>
    <w:p w14:paraId="5461FC59" w14:textId="77777777" w:rsidR="00BC0DE3" w:rsidRPr="00BC0DE3" w:rsidRDefault="00BC0DE3" w:rsidP="00BC0DE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Antimicrobial Resistance (AMR) remains one of the most pressing public health threats across Africa, undermining progress in infectious disease control, universal health coverage, and health security. As countries prepare for the Inter</w:t>
      </w:r>
      <w:r w:rsidRPr="00BC0DE3">
        <w:rPr>
          <w:rFonts w:ascii="Times New Roman" w:eastAsia="Times New Roman" w:hAnsi="Times New Roman" w:cs="Times New Roman"/>
          <w:color w:val="auto"/>
          <w:sz w:val="24"/>
          <w:szCs w:val="24"/>
          <w:lang w:eastAsia="en-GB"/>
        </w:rPr>
        <w:noBreakHyphen/>
        <w:t>Ministerial Conference on AMR scheduled for June 28, 2026, there is a critical need for clear, accessible, and evidence</w:t>
      </w:r>
      <w:r w:rsidRPr="00BC0DE3">
        <w:rPr>
          <w:rFonts w:ascii="Times New Roman" w:eastAsia="Times New Roman" w:hAnsi="Times New Roman" w:cs="Times New Roman"/>
          <w:color w:val="auto"/>
          <w:sz w:val="24"/>
          <w:szCs w:val="24"/>
          <w:lang w:eastAsia="en-GB"/>
        </w:rPr>
        <w:noBreakHyphen/>
        <w:t>driven policy communication that can support ministers, policymakers, technical leaders, and partners in aligning priorities and accelerating action.</w:t>
      </w:r>
    </w:p>
    <w:p w14:paraId="768E892A" w14:textId="1753B9CC" w:rsidR="00BC0DE3" w:rsidRPr="00BC0DE3" w:rsidRDefault="00BC0DE3" w:rsidP="00BC0DE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To support this continental momentum, Georgetown Global Health Nigeria proposes a Weekly AMR Policy Brief Series that synthesizes technical insights, field experience, and policy recommendations relevant across all African countries. The series will be authored by a senior technical expert with deep, multidisciplinary AMR expertise and a strong track record of leadership across laboratory systems, surveillance, genomics, and One Health implementation.</w:t>
      </w:r>
    </w:p>
    <w:p w14:paraId="553111CF" w14:textId="77777777"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BF4E14" w:themeColor="accent2" w:themeShade="BF"/>
          <w:kern w:val="36"/>
          <w:sz w:val="24"/>
          <w:szCs w:val="24"/>
          <w:lang w:eastAsia="en-GB"/>
        </w:rPr>
      </w:pPr>
      <w:r w:rsidRPr="00BC0DE3">
        <w:rPr>
          <w:rFonts w:ascii="Times New Roman" w:eastAsia="Times New Roman" w:hAnsi="Times New Roman" w:cs="Times New Roman"/>
          <w:b/>
          <w:bCs/>
          <w:color w:val="BF4E14" w:themeColor="accent2" w:themeShade="BF"/>
          <w:kern w:val="36"/>
          <w:sz w:val="24"/>
          <w:szCs w:val="24"/>
          <w:lang w:eastAsia="en-GB"/>
        </w:rPr>
        <w:t>2. Profile of the Lead Author (Staff Expertise)</w:t>
      </w:r>
    </w:p>
    <w:p w14:paraId="56850E49" w14:textId="77777777" w:rsidR="00BC0DE3" w:rsidRPr="00BC0DE3" w:rsidRDefault="00BC0DE3" w:rsidP="00BC0DE3">
      <w:p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 xml:space="preserve">The series will be authored by a seasoned AMR professional whose expertise spans </w:t>
      </w:r>
      <w:r w:rsidRPr="00BC0DE3">
        <w:rPr>
          <w:rFonts w:ascii="Times New Roman" w:eastAsia="Times New Roman" w:hAnsi="Times New Roman" w:cs="Times New Roman"/>
          <w:b/>
          <w:bCs/>
          <w:color w:val="BF4E14" w:themeColor="accent2" w:themeShade="BF"/>
          <w:sz w:val="24"/>
          <w:szCs w:val="24"/>
          <w:lang w:eastAsia="en-GB"/>
        </w:rPr>
        <w:t>clinical laboratory science</w:t>
      </w:r>
      <w:r w:rsidRPr="00BC0DE3">
        <w:rPr>
          <w:rFonts w:ascii="Times New Roman" w:eastAsia="Times New Roman" w:hAnsi="Times New Roman" w:cs="Times New Roman"/>
          <w:color w:val="BF4E14" w:themeColor="accent2" w:themeShade="BF"/>
          <w:sz w:val="24"/>
          <w:szCs w:val="24"/>
          <w:lang w:eastAsia="en-GB"/>
        </w:rPr>
        <w:t xml:space="preserve">, </w:t>
      </w:r>
      <w:r w:rsidRPr="00BC0DE3">
        <w:rPr>
          <w:rFonts w:ascii="Times New Roman" w:eastAsia="Times New Roman" w:hAnsi="Times New Roman" w:cs="Times New Roman"/>
          <w:b/>
          <w:bCs/>
          <w:color w:val="BF4E14" w:themeColor="accent2" w:themeShade="BF"/>
          <w:sz w:val="24"/>
          <w:szCs w:val="24"/>
          <w:lang w:eastAsia="en-GB"/>
        </w:rPr>
        <w:t>genomics</w:t>
      </w:r>
      <w:r w:rsidRPr="00BC0DE3">
        <w:rPr>
          <w:rFonts w:ascii="Times New Roman" w:eastAsia="Times New Roman" w:hAnsi="Times New Roman" w:cs="Times New Roman"/>
          <w:color w:val="BF4E14" w:themeColor="accent2" w:themeShade="BF"/>
          <w:sz w:val="24"/>
          <w:szCs w:val="24"/>
          <w:lang w:eastAsia="en-GB"/>
        </w:rPr>
        <w:t xml:space="preserve">, </w:t>
      </w:r>
      <w:r w:rsidRPr="00BC0DE3">
        <w:rPr>
          <w:rFonts w:ascii="Times New Roman" w:eastAsia="Times New Roman" w:hAnsi="Times New Roman" w:cs="Times New Roman"/>
          <w:b/>
          <w:bCs/>
          <w:color w:val="BF4E14" w:themeColor="accent2" w:themeShade="BF"/>
          <w:sz w:val="24"/>
          <w:szCs w:val="24"/>
          <w:lang w:eastAsia="en-GB"/>
        </w:rPr>
        <w:t>public health systems</w:t>
      </w:r>
      <w:r w:rsidRPr="00BC0DE3">
        <w:rPr>
          <w:rFonts w:ascii="Times New Roman" w:eastAsia="Times New Roman" w:hAnsi="Times New Roman" w:cs="Times New Roman"/>
          <w:color w:val="BF4E14" w:themeColor="accent2" w:themeShade="BF"/>
          <w:sz w:val="24"/>
          <w:szCs w:val="24"/>
          <w:lang w:eastAsia="en-GB"/>
        </w:rPr>
        <w:t xml:space="preserve">, and </w:t>
      </w:r>
      <w:r w:rsidRPr="00BC0DE3">
        <w:rPr>
          <w:rFonts w:ascii="Times New Roman" w:eastAsia="Times New Roman" w:hAnsi="Times New Roman" w:cs="Times New Roman"/>
          <w:b/>
          <w:bCs/>
          <w:color w:val="BF4E14" w:themeColor="accent2" w:themeShade="BF"/>
          <w:sz w:val="24"/>
          <w:szCs w:val="24"/>
          <w:lang w:eastAsia="en-GB"/>
        </w:rPr>
        <w:t>One Health AMR surveillance</w:t>
      </w:r>
      <w:r w:rsidRPr="00BC0DE3">
        <w:rPr>
          <w:rFonts w:ascii="Times New Roman" w:eastAsia="Times New Roman" w:hAnsi="Times New Roman" w:cs="Times New Roman"/>
          <w:color w:val="BF4E14" w:themeColor="accent2" w:themeShade="BF"/>
          <w:sz w:val="24"/>
          <w:szCs w:val="24"/>
          <w:lang w:eastAsia="en-GB"/>
        </w:rPr>
        <w:t>.</w:t>
      </w:r>
    </w:p>
    <w:p w14:paraId="4981E96D" w14:textId="77777777" w:rsidR="00BC0DE3" w:rsidRPr="00BC0DE3" w:rsidRDefault="00BC0DE3" w:rsidP="00BC0DE3">
      <w:pPr>
        <w:spacing w:before="100" w:beforeAutospacing="1" w:after="100" w:afterAutospacing="1" w:line="240" w:lineRule="auto"/>
        <w:outlineLvl w:val="2"/>
        <w:rPr>
          <w:rFonts w:ascii="Times New Roman" w:eastAsia="Times New Roman" w:hAnsi="Times New Roman" w:cs="Times New Roman"/>
          <w:b/>
          <w:bCs/>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Academic &amp; Professional Credentials</w:t>
      </w:r>
    </w:p>
    <w:p w14:paraId="17E4CB73" w14:textId="77777777" w:rsidR="00BC0DE3" w:rsidRPr="00BC0DE3" w:rsidRDefault="00BC0DE3" w:rsidP="00BC0DE3">
      <w:pPr>
        <w:numPr>
          <w:ilvl w:val="0"/>
          <w:numId w:val="10"/>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Bachelor of Medical Laboratory Science (BMLS)</w:t>
      </w:r>
    </w:p>
    <w:p w14:paraId="3F5DADE1" w14:textId="77777777" w:rsidR="00BC0DE3" w:rsidRPr="00BC0DE3" w:rsidRDefault="00BC0DE3" w:rsidP="00BC0DE3">
      <w:pPr>
        <w:numPr>
          <w:ilvl w:val="0"/>
          <w:numId w:val="10"/>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MSc in Medical Microbiology</w:t>
      </w:r>
    </w:p>
    <w:p w14:paraId="07E465EF" w14:textId="77777777" w:rsidR="00BC0DE3" w:rsidRPr="00BC0DE3" w:rsidRDefault="00BC0DE3" w:rsidP="00BC0DE3">
      <w:pPr>
        <w:numPr>
          <w:ilvl w:val="0"/>
          <w:numId w:val="10"/>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MPH in Field and Laboratory Epidemiology Practice</w:t>
      </w:r>
    </w:p>
    <w:p w14:paraId="60274974" w14:textId="77777777" w:rsidR="00BC0DE3" w:rsidRPr="00BC0DE3" w:rsidRDefault="00BC0DE3" w:rsidP="00BC0DE3">
      <w:pPr>
        <w:numPr>
          <w:ilvl w:val="0"/>
          <w:numId w:val="10"/>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PhD in Molecular Genomics and Medical Virology</w:t>
      </w:r>
    </w:p>
    <w:p w14:paraId="5E39D9DB" w14:textId="77777777" w:rsidR="00BC0DE3" w:rsidRPr="00BC0DE3" w:rsidRDefault="00BC0DE3" w:rsidP="00BC0DE3">
      <w:pPr>
        <w:numPr>
          <w:ilvl w:val="0"/>
          <w:numId w:val="10"/>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Fellow, Medical Laboratory Science Council of Nigeria</w:t>
      </w:r>
    </w:p>
    <w:p w14:paraId="6C6783EB" w14:textId="77777777" w:rsidR="00BC0DE3" w:rsidRPr="00BC0DE3" w:rsidRDefault="00BC0DE3" w:rsidP="00BC0DE3">
      <w:pPr>
        <w:numPr>
          <w:ilvl w:val="0"/>
          <w:numId w:val="10"/>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Fellow, Nigeria Field Epidemiology and Laboratory Training Programme (NFELTP)</w:t>
      </w:r>
    </w:p>
    <w:p w14:paraId="5A3CB4A6" w14:textId="77777777" w:rsidR="00BC0DE3" w:rsidRPr="00BC0DE3" w:rsidRDefault="00BC0DE3" w:rsidP="00BC0DE3">
      <w:pPr>
        <w:spacing w:before="100" w:beforeAutospacing="1" w:after="100" w:afterAutospacing="1" w:line="240" w:lineRule="auto"/>
        <w:outlineLvl w:val="2"/>
        <w:rPr>
          <w:rFonts w:ascii="Times New Roman" w:eastAsia="Times New Roman" w:hAnsi="Times New Roman" w:cs="Times New Roman"/>
          <w:b/>
          <w:bCs/>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Technical Expertise</w:t>
      </w:r>
    </w:p>
    <w:p w14:paraId="65EB1BE5" w14:textId="77777777" w:rsidR="00BC0DE3" w:rsidRPr="00BC0DE3" w:rsidRDefault="00BC0DE3" w:rsidP="00BC0DE3">
      <w:pPr>
        <w:numPr>
          <w:ilvl w:val="0"/>
          <w:numId w:val="11"/>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AMR Surveillance &amp; Intelligence:</w:t>
      </w:r>
      <w:r w:rsidRPr="00BC0DE3">
        <w:rPr>
          <w:rFonts w:ascii="Times New Roman" w:eastAsia="Times New Roman" w:hAnsi="Times New Roman" w:cs="Times New Roman"/>
          <w:color w:val="BF4E14" w:themeColor="accent2" w:themeShade="BF"/>
          <w:sz w:val="24"/>
          <w:szCs w:val="24"/>
          <w:lang w:eastAsia="en-GB"/>
        </w:rPr>
        <w:t xml:space="preserve"> Design and optimization of national and sub</w:t>
      </w:r>
      <w:r w:rsidRPr="00BC0DE3">
        <w:rPr>
          <w:rFonts w:ascii="Times New Roman" w:eastAsia="Times New Roman" w:hAnsi="Times New Roman" w:cs="Times New Roman"/>
          <w:color w:val="BF4E14" w:themeColor="accent2" w:themeShade="BF"/>
          <w:sz w:val="24"/>
          <w:szCs w:val="24"/>
          <w:lang w:eastAsia="en-GB"/>
        </w:rPr>
        <w:noBreakHyphen/>
        <w:t>national AMR surveillance systems aligned with GLASS and One Health frameworks.</w:t>
      </w:r>
    </w:p>
    <w:p w14:paraId="079A06FF" w14:textId="77777777" w:rsidR="00BC0DE3" w:rsidRPr="00BC0DE3" w:rsidRDefault="00BC0DE3" w:rsidP="00BC0DE3">
      <w:pPr>
        <w:numPr>
          <w:ilvl w:val="0"/>
          <w:numId w:val="11"/>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Laboratory Systems Strengthening:</w:t>
      </w:r>
      <w:r w:rsidRPr="00BC0DE3">
        <w:rPr>
          <w:rFonts w:ascii="Times New Roman" w:eastAsia="Times New Roman" w:hAnsi="Times New Roman" w:cs="Times New Roman"/>
          <w:color w:val="BF4E14" w:themeColor="accent2" w:themeShade="BF"/>
          <w:sz w:val="24"/>
          <w:szCs w:val="24"/>
          <w:lang w:eastAsia="en-GB"/>
        </w:rPr>
        <w:t xml:space="preserve"> Scaling diagnostic capacity across tiered networks, including AST, molecular detection, and quality assurance.</w:t>
      </w:r>
    </w:p>
    <w:p w14:paraId="3B0B2035" w14:textId="77777777" w:rsidR="00BC0DE3" w:rsidRPr="00BC0DE3" w:rsidRDefault="00BC0DE3" w:rsidP="00BC0DE3">
      <w:pPr>
        <w:numPr>
          <w:ilvl w:val="0"/>
          <w:numId w:val="11"/>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Genomic AMR &amp; Pathogen Tracking:</w:t>
      </w:r>
      <w:r w:rsidRPr="00BC0DE3">
        <w:rPr>
          <w:rFonts w:ascii="Times New Roman" w:eastAsia="Times New Roman" w:hAnsi="Times New Roman" w:cs="Times New Roman"/>
          <w:color w:val="BF4E14" w:themeColor="accent2" w:themeShade="BF"/>
          <w:sz w:val="24"/>
          <w:szCs w:val="24"/>
          <w:lang w:eastAsia="en-GB"/>
        </w:rPr>
        <w:t xml:space="preserve"> Application of whole</w:t>
      </w:r>
      <w:r w:rsidRPr="00BC0DE3">
        <w:rPr>
          <w:rFonts w:ascii="Times New Roman" w:eastAsia="Times New Roman" w:hAnsi="Times New Roman" w:cs="Times New Roman"/>
          <w:color w:val="BF4E14" w:themeColor="accent2" w:themeShade="BF"/>
          <w:sz w:val="24"/>
          <w:szCs w:val="24"/>
          <w:lang w:eastAsia="en-GB"/>
        </w:rPr>
        <w:noBreakHyphen/>
        <w:t>genome sequencing and bioinformatics for resistance detection, outbreak investigation, and transmission mapping.</w:t>
      </w:r>
    </w:p>
    <w:p w14:paraId="34DF543E" w14:textId="77777777" w:rsidR="00BC0DE3" w:rsidRPr="00BC0DE3" w:rsidRDefault="00BC0DE3" w:rsidP="00BC0DE3">
      <w:pPr>
        <w:numPr>
          <w:ilvl w:val="0"/>
          <w:numId w:val="11"/>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AMR Data</w:t>
      </w:r>
      <w:r w:rsidRPr="00BC0DE3">
        <w:rPr>
          <w:rFonts w:ascii="Times New Roman" w:eastAsia="Times New Roman" w:hAnsi="Times New Roman" w:cs="Times New Roman"/>
          <w:b/>
          <w:bCs/>
          <w:color w:val="BF4E14" w:themeColor="accent2" w:themeShade="BF"/>
          <w:sz w:val="24"/>
          <w:szCs w:val="24"/>
          <w:lang w:eastAsia="en-GB"/>
        </w:rPr>
        <w:noBreakHyphen/>
        <w:t>to</w:t>
      </w:r>
      <w:r w:rsidRPr="00BC0DE3">
        <w:rPr>
          <w:rFonts w:ascii="Times New Roman" w:eastAsia="Times New Roman" w:hAnsi="Times New Roman" w:cs="Times New Roman"/>
          <w:b/>
          <w:bCs/>
          <w:color w:val="BF4E14" w:themeColor="accent2" w:themeShade="BF"/>
          <w:sz w:val="24"/>
          <w:szCs w:val="24"/>
          <w:lang w:eastAsia="en-GB"/>
        </w:rPr>
        <w:noBreakHyphen/>
        <w:t>Policy Translation:</w:t>
      </w:r>
      <w:r w:rsidRPr="00BC0DE3">
        <w:rPr>
          <w:rFonts w:ascii="Times New Roman" w:eastAsia="Times New Roman" w:hAnsi="Times New Roman" w:cs="Times New Roman"/>
          <w:color w:val="BF4E14" w:themeColor="accent2" w:themeShade="BF"/>
          <w:sz w:val="24"/>
          <w:szCs w:val="24"/>
          <w:lang w:eastAsia="en-GB"/>
        </w:rPr>
        <w:t xml:space="preserve"> Development of antibiograms, stewardship guidance, IPC recommendations, and national AMR action plan inputs.</w:t>
      </w:r>
    </w:p>
    <w:p w14:paraId="76AF90D5" w14:textId="77777777" w:rsidR="00BC0DE3" w:rsidRPr="00BC0DE3" w:rsidRDefault="00BC0DE3" w:rsidP="00BC0DE3">
      <w:pPr>
        <w:numPr>
          <w:ilvl w:val="0"/>
          <w:numId w:val="11"/>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Digital Integration:</w:t>
      </w:r>
      <w:r w:rsidRPr="00BC0DE3">
        <w:rPr>
          <w:rFonts w:ascii="Times New Roman" w:eastAsia="Times New Roman" w:hAnsi="Times New Roman" w:cs="Times New Roman"/>
          <w:color w:val="BF4E14" w:themeColor="accent2" w:themeShade="BF"/>
          <w:sz w:val="24"/>
          <w:szCs w:val="24"/>
          <w:lang w:eastAsia="en-GB"/>
        </w:rPr>
        <w:t xml:space="preserve"> Strengthening WHONET and digital AMR reporting systems for real</w:t>
      </w:r>
      <w:r w:rsidRPr="00BC0DE3">
        <w:rPr>
          <w:rFonts w:ascii="Times New Roman" w:eastAsia="Times New Roman" w:hAnsi="Times New Roman" w:cs="Times New Roman"/>
          <w:color w:val="BF4E14" w:themeColor="accent2" w:themeShade="BF"/>
          <w:sz w:val="24"/>
          <w:szCs w:val="24"/>
          <w:lang w:eastAsia="en-GB"/>
        </w:rPr>
        <w:noBreakHyphen/>
        <w:t>time decision</w:t>
      </w:r>
      <w:r w:rsidRPr="00BC0DE3">
        <w:rPr>
          <w:rFonts w:ascii="Times New Roman" w:eastAsia="Times New Roman" w:hAnsi="Times New Roman" w:cs="Times New Roman"/>
          <w:color w:val="BF4E14" w:themeColor="accent2" w:themeShade="BF"/>
          <w:sz w:val="24"/>
          <w:szCs w:val="24"/>
          <w:lang w:eastAsia="en-GB"/>
        </w:rPr>
        <w:noBreakHyphen/>
        <w:t>making.</w:t>
      </w:r>
    </w:p>
    <w:p w14:paraId="48543211" w14:textId="77777777" w:rsidR="00BC0DE3" w:rsidRPr="00BC0DE3" w:rsidRDefault="00BC0DE3" w:rsidP="00BC0DE3">
      <w:pPr>
        <w:numPr>
          <w:ilvl w:val="0"/>
          <w:numId w:val="11"/>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Global Knowledge Contribution:</w:t>
      </w:r>
      <w:r w:rsidRPr="00BC0DE3">
        <w:rPr>
          <w:rFonts w:ascii="Times New Roman" w:eastAsia="Times New Roman" w:hAnsi="Times New Roman" w:cs="Times New Roman"/>
          <w:color w:val="BF4E14" w:themeColor="accent2" w:themeShade="BF"/>
          <w:sz w:val="24"/>
          <w:szCs w:val="24"/>
          <w:lang w:eastAsia="en-GB"/>
        </w:rPr>
        <w:t xml:space="preserve"> Regular teaching, webinar facilitation, conference presentations, and peer</w:t>
      </w:r>
      <w:r w:rsidRPr="00BC0DE3">
        <w:rPr>
          <w:rFonts w:ascii="Times New Roman" w:eastAsia="Times New Roman" w:hAnsi="Times New Roman" w:cs="Times New Roman"/>
          <w:color w:val="BF4E14" w:themeColor="accent2" w:themeShade="BF"/>
          <w:sz w:val="24"/>
          <w:szCs w:val="24"/>
          <w:lang w:eastAsia="en-GB"/>
        </w:rPr>
        <w:noBreakHyphen/>
        <w:t>reviewed publications.</w:t>
      </w:r>
    </w:p>
    <w:p w14:paraId="61118539" w14:textId="77777777" w:rsidR="00BC0DE3" w:rsidRPr="00BC0DE3" w:rsidRDefault="00BC0DE3" w:rsidP="00BC0DE3">
      <w:pPr>
        <w:spacing w:before="100" w:beforeAutospacing="1" w:after="100" w:afterAutospacing="1" w:line="240" w:lineRule="auto"/>
        <w:outlineLvl w:val="2"/>
        <w:rPr>
          <w:rFonts w:ascii="Times New Roman" w:eastAsia="Times New Roman" w:hAnsi="Times New Roman" w:cs="Times New Roman"/>
          <w:b/>
          <w:bCs/>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lastRenderedPageBreak/>
        <w:t>Regional Leadership</w:t>
      </w:r>
    </w:p>
    <w:p w14:paraId="7830CDBF" w14:textId="77777777" w:rsidR="00BC0DE3" w:rsidRPr="00BC0DE3" w:rsidRDefault="00BC0DE3" w:rsidP="00BC0DE3">
      <w:p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Currently serves as One Health Laboratory Advisor for the Georgetown University Fleming Fund AMR Project in Rwanda, working with the Government of Rwanda and regional partners (ASLM, SeqAfrica, AMROH) to strengthen AMR laboratory and surveillance systems.</w:t>
      </w:r>
    </w:p>
    <w:p w14:paraId="035203C3" w14:textId="77777777" w:rsidR="00BC0DE3" w:rsidRPr="00BC0DE3" w:rsidRDefault="00BC0DE3" w:rsidP="00BC0DE3">
      <w:pPr>
        <w:spacing w:before="100" w:beforeAutospacing="1" w:after="100" w:afterAutospacing="1" w:line="240" w:lineRule="auto"/>
        <w:outlineLvl w:val="2"/>
        <w:rPr>
          <w:rFonts w:ascii="Times New Roman" w:eastAsia="Times New Roman" w:hAnsi="Times New Roman" w:cs="Times New Roman"/>
          <w:b/>
          <w:bCs/>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Notable Achievements</w:t>
      </w:r>
    </w:p>
    <w:p w14:paraId="7C670E8D" w14:textId="77777777" w:rsidR="00BC0DE3" w:rsidRPr="00BC0DE3" w:rsidRDefault="00BC0DE3" w:rsidP="00BC0DE3">
      <w:pPr>
        <w:numPr>
          <w:ilvl w:val="0"/>
          <w:numId w:val="12"/>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 xml:space="preserve">AMR abstract published in the </w:t>
      </w:r>
      <w:r w:rsidRPr="00BC0DE3">
        <w:rPr>
          <w:rFonts w:ascii="Times New Roman" w:eastAsia="Times New Roman" w:hAnsi="Times New Roman" w:cs="Times New Roman"/>
          <w:i/>
          <w:iCs/>
          <w:color w:val="BF4E14" w:themeColor="accent2" w:themeShade="BF"/>
          <w:sz w:val="24"/>
          <w:szCs w:val="24"/>
          <w:lang w:eastAsia="en-GB"/>
        </w:rPr>
        <w:t>Journal of Interventional Epidemiology and Public Health</w:t>
      </w:r>
      <w:r w:rsidRPr="00BC0DE3">
        <w:rPr>
          <w:rFonts w:ascii="Times New Roman" w:eastAsia="Times New Roman" w:hAnsi="Times New Roman" w:cs="Times New Roman"/>
          <w:color w:val="BF4E14" w:themeColor="accent2" w:themeShade="BF"/>
          <w:sz w:val="24"/>
          <w:szCs w:val="24"/>
          <w:lang w:eastAsia="en-GB"/>
        </w:rPr>
        <w:t xml:space="preserve"> (AFENET Conference Proceedings, 2024).</w:t>
      </w:r>
    </w:p>
    <w:p w14:paraId="18A638B4" w14:textId="77777777" w:rsidR="00BC0DE3" w:rsidRPr="00BC0DE3" w:rsidRDefault="00BC0DE3" w:rsidP="00BC0DE3">
      <w:pPr>
        <w:numPr>
          <w:ilvl w:val="0"/>
          <w:numId w:val="12"/>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Multiple manuscripts from the Fleming Fund project under review.</w:t>
      </w:r>
    </w:p>
    <w:p w14:paraId="3BDA1700" w14:textId="77777777" w:rsidR="00BC0DE3" w:rsidRPr="00BC0DE3" w:rsidRDefault="00BC0DE3" w:rsidP="00BC0DE3">
      <w:pPr>
        <w:numPr>
          <w:ilvl w:val="0"/>
          <w:numId w:val="12"/>
        </w:num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Recipient of AFENET full travel grant for scientific presentation.</w:t>
      </w:r>
    </w:p>
    <w:p w14:paraId="38B12B06" w14:textId="77777777" w:rsidR="00BC0DE3" w:rsidRPr="00BC0DE3" w:rsidRDefault="00BC0DE3" w:rsidP="00BC0DE3">
      <w:pPr>
        <w:spacing w:before="100" w:beforeAutospacing="1" w:after="100" w:afterAutospacing="1" w:line="240" w:lineRule="auto"/>
        <w:outlineLvl w:val="2"/>
        <w:rPr>
          <w:rFonts w:ascii="Times New Roman" w:eastAsia="Times New Roman" w:hAnsi="Times New Roman" w:cs="Times New Roman"/>
          <w:b/>
          <w:bCs/>
          <w:color w:val="BF4E14" w:themeColor="accent2" w:themeShade="BF"/>
          <w:sz w:val="24"/>
          <w:szCs w:val="24"/>
          <w:lang w:eastAsia="en-GB"/>
        </w:rPr>
      </w:pPr>
      <w:r w:rsidRPr="00BC0DE3">
        <w:rPr>
          <w:rFonts w:ascii="Times New Roman" w:eastAsia="Times New Roman" w:hAnsi="Times New Roman" w:cs="Times New Roman"/>
          <w:b/>
          <w:bCs/>
          <w:color w:val="BF4E14" w:themeColor="accent2" w:themeShade="BF"/>
          <w:sz w:val="24"/>
          <w:szCs w:val="24"/>
          <w:lang w:eastAsia="en-GB"/>
        </w:rPr>
        <w:t>Strategic Positioning Statement</w:t>
      </w:r>
    </w:p>
    <w:p w14:paraId="7FCC5EB7" w14:textId="77777777" w:rsidR="00BC0DE3" w:rsidRPr="00BC0DE3" w:rsidRDefault="00BC0DE3" w:rsidP="00BC0DE3">
      <w:p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“I do not merely detect and study antimicrobial resistance — I design, operationalize, and scale One Health</w:t>
      </w:r>
      <w:r w:rsidRPr="00BC0DE3">
        <w:rPr>
          <w:rFonts w:ascii="Times New Roman" w:eastAsia="Times New Roman" w:hAnsi="Times New Roman" w:cs="Times New Roman"/>
          <w:i/>
          <w:iCs/>
          <w:color w:val="BF4E14" w:themeColor="accent2" w:themeShade="BF"/>
          <w:sz w:val="24"/>
          <w:szCs w:val="24"/>
          <w:lang w:eastAsia="en-GB"/>
        </w:rPr>
        <w:noBreakHyphen/>
        <w:t>driven laboratory and surveillance systems that detect it, track it, and convert it into policy</w:t>
      </w:r>
      <w:r w:rsidRPr="00BC0DE3">
        <w:rPr>
          <w:rFonts w:ascii="Times New Roman" w:eastAsia="Times New Roman" w:hAnsi="Times New Roman" w:cs="Times New Roman"/>
          <w:i/>
          <w:iCs/>
          <w:color w:val="BF4E14" w:themeColor="accent2" w:themeShade="BF"/>
          <w:sz w:val="24"/>
          <w:szCs w:val="24"/>
          <w:lang w:eastAsia="en-GB"/>
        </w:rPr>
        <w:noBreakHyphen/>
        <w:t>relevant action.”</w:t>
      </w:r>
    </w:p>
    <w:p w14:paraId="5413313C" w14:textId="0FEE8133" w:rsidR="00BC0DE3" w:rsidRPr="00BC0DE3" w:rsidRDefault="00BC0DE3" w:rsidP="00BC0DE3">
      <w:pPr>
        <w:spacing w:before="100" w:beforeAutospacing="1" w:after="100" w:afterAutospacing="1" w:line="240" w:lineRule="auto"/>
        <w:rPr>
          <w:rFonts w:ascii="Times New Roman" w:eastAsia="Times New Roman" w:hAnsi="Times New Roman" w:cs="Times New Roman"/>
          <w:color w:val="BF4E14" w:themeColor="accent2" w:themeShade="BF"/>
          <w:sz w:val="24"/>
          <w:szCs w:val="24"/>
          <w:lang w:eastAsia="en-GB"/>
        </w:rPr>
      </w:pPr>
      <w:r w:rsidRPr="00BC0DE3">
        <w:rPr>
          <w:rFonts w:ascii="Times New Roman" w:eastAsia="Times New Roman" w:hAnsi="Times New Roman" w:cs="Times New Roman"/>
          <w:color w:val="BF4E14" w:themeColor="accent2" w:themeShade="BF"/>
          <w:sz w:val="24"/>
          <w:szCs w:val="24"/>
          <w:lang w:eastAsia="en-GB"/>
        </w:rPr>
        <w:t>This expertise positions him as a credible, authoritative voice for a continental AMR policy brief series.</w:t>
      </w:r>
    </w:p>
    <w:p w14:paraId="7F54BDE2" w14:textId="77777777"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C0DE3">
        <w:rPr>
          <w:rFonts w:ascii="Times New Roman" w:eastAsia="Times New Roman" w:hAnsi="Times New Roman" w:cs="Times New Roman"/>
          <w:b/>
          <w:bCs/>
          <w:color w:val="auto"/>
          <w:kern w:val="36"/>
          <w:sz w:val="24"/>
          <w:szCs w:val="24"/>
          <w:lang w:eastAsia="en-GB"/>
        </w:rPr>
        <w:t>3. Rationale for the Weekly AMR Policy Brief Series</w:t>
      </w:r>
    </w:p>
    <w:p w14:paraId="7105874D" w14:textId="77777777" w:rsidR="00BC0DE3" w:rsidRPr="00BC0DE3" w:rsidRDefault="00BC0DE3" w:rsidP="00BC0DE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The series will:</w:t>
      </w:r>
    </w:p>
    <w:p w14:paraId="7C248D14" w14:textId="77777777" w:rsidR="00BC0DE3" w:rsidRPr="00BC0DE3" w:rsidRDefault="00BC0DE3" w:rsidP="00BC0DE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Provide consistent, high</w:t>
      </w:r>
      <w:r w:rsidRPr="00BC0DE3">
        <w:rPr>
          <w:rFonts w:ascii="Times New Roman" w:eastAsia="Times New Roman" w:hAnsi="Times New Roman" w:cs="Times New Roman"/>
          <w:color w:val="auto"/>
          <w:sz w:val="24"/>
          <w:szCs w:val="24"/>
          <w:lang w:eastAsia="en-GB"/>
        </w:rPr>
        <w:noBreakHyphen/>
        <w:t>quality AMR insights leading up to the ministerial meeting.</w:t>
      </w:r>
    </w:p>
    <w:p w14:paraId="21453F10" w14:textId="77777777" w:rsidR="00BC0DE3" w:rsidRPr="00BC0DE3" w:rsidRDefault="00BC0DE3" w:rsidP="00BC0DE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Strengthen continental awareness of AMR priorities.</w:t>
      </w:r>
    </w:p>
    <w:p w14:paraId="789119F5" w14:textId="77777777" w:rsidR="00BC0DE3" w:rsidRPr="00BC0DE3" w:rsidRDefault="00BC0DE3" w:rsidP="00BC0DE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Support policy alignment across Member States.</w:t>
      </w:r>
    </w:p>
    <w:p w14:paraId="719DC157" w14:textId="77777777" w:rsidR="00BC0DE3" w:rsidRPr="00BC0DE3" w:rsidRDefault="00BC0DE3" w:rsidP="00BC0DE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Position Georgetown Global Health Nigeria as a thought leader in AMR.</w:t>
      </w:r>
    </w:p>
    <w:p w14:paraId="4C0F11AD" w14:textId="77777777" w:rsidR="00BC0DE3" w:rsidRPr="00BC0DE3" w:rsidRDefault="00BC0DE3" w:rsidP="00BC0DE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Amplify Africa’s voice in global AMR discourse.</w:t>
      </w:r>
    </w:p>
    <w:p w14:paraId="7926096A" w14:textId="77777777" w:rsidR="00BC0DE3" w:rsidRPr="00BC0DE3" w:rsidRDefault="00BC0DE3" w:rsidP="00BC0DE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Provide ministers and senior officials with actionable, evidence</w:t>
      </w:r>
      <w:r w:rsidRPr="00BC0DE3">
        <w:rPr>
          <w:rFonts w:ascii="Times New Roman" w:eastAsia="Times New Roman" w:hAnsi="Times New Roman" w:cs="Times New Roman"/>
          <w:color w:val="auto"/>
          <w:sz w:val="24"/>
          <w:szCs w:val="24"/>
          <w:lang w:eastAsia="en-GB"/>
        </w:rPr>
        <w:noBreakHyphen/>
        <w:t>based recommendations.</w:t>
      </w:r>
    </w:p>
    <w:p w14:paraId="39EB99D0" w14:textId="77777777"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C0DE3">
        <w:rPr>
          <w:rFonts w:ascii="Times New Roman" w:eastAsia="Times New Roman" w:hAnsi="Times New Roman" w:cs="Times New Roman"/>
          <w:b/>
          <w:bCs/>
          <w:color w:val="auto"/>
          <w:kern w:val="36"/>
          <w:sz w:val="24"/>
          <w:szCs w:val="24"/>
          <w:lang w:eastAsia="en-GB"/>
        </w:rPr>
        <w:t>4. Objectives</w:t>
      </w:r>
    </w:p>
    <w:p w14:paraId="1E78813A" w14:textId="77777777" w:rsidR="00BC0DE3" w:rsidRPr="00BC0DE3" w:rsidRDefault="00BC0DE3" w:rsidP="00BC0DE3">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To disseminate weekly AMR policy briefs that address cross</w:t>
      </w:r>
      <w:r w:rsidRPr="00BC0DE3">
        <w:rPr>
          <w:rFonts w:ascii="Times New Roman" w:eastAsia="Times New Roman" w:hAnsi="Times New Roman" w:cs="Times New Roman"/>
          <w:color w:val="auto"/>
          <w:sz w:val="24"/>
          <w:szCs w:val="24"/>
          <w:lang w:eastAsia="en-GB"/>
        </w:rPr>
        <w:noBreakHyphen/>
        <w:t>country challenges and opportunities.</w:t>
      </w:r>
    </w:p>
    <w:p w14:paraId="10025E8C" w14:textId="77777777" w:rsidR="00BC0DE3" w:rsidRPr="00BC0DE3" w:rsidRDefault="00BC0DE3" w:rsidP="00BC0DE3">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To strengthen policy literacy among ministers, DGs, and technical leaders.</w:t>
      </w:r>
    </w:p>
    <w:p w14:paraId="45F1D77B" w14:textId="77777777" w:rsidR="00BC0DE3" w:rsidRPr="00BC0DE3" w:rsidRDefault="00BC0DE3" w:rsidP="00BC0DE3">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To highlight African AMR innovations, gaps, and priorities.</w:t>
      </w:r>
    </w:p>
    <w:p w14:paraId="69E4737B" w14:textId="77777777" w:rsidR="00BC0DE3" w:rsidRPr="00BC0DE3" w:rsidRDefault="00BC0DE3" w:rsidP="00BC0DE3">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To support evidence</w:t>
      </w:r>
      <w:r w:rsidRPr="00BC0DE3">
        <w:rPr>
          <w:rFonts w:ascii="Times New Roman" w:eastAsia="Times New Roman" w:hAnsi="Times New Roman" w:cs="Times New Roman"/>
          <w:color w:val="auto"/>
          <w:sz w:val="24"/>
          <w:szCs w:val="24"/>
          <w:lang w:eastAsia="en-GB"/>
        </w:rPr>
        <w:noBreakHyphen/>
        <w:t>based decision</w:t>
      </w:r>
      <w:r w:rsidRPr="00BC0DE3">
        <w:rPr>
          <w:rFonts w:ascii="Times New Roman" w:eastAsia="Times New Roman" w:hAnsi="Times New Roman" w:cs="Times New Roman"/>
          <w:color w:val="auto"/>
          <w:sz w:val="24"/>
          <w:szCs w:val="24"/>
          <w:lang w:eastAsia="en-GB"/>
        </w:rPr>
        <w:noBreakHyphen/>
        <w:t>making ahead of the June 28 ministerial meeting.</w:t>
      </w:r>
    </w:p>
    <w:p w14:paraId="3730B9CC" w14:textId="5E1FB787" w:rsidR="00BC0DE3" w:rsidRPr="00BC0DE3" w:rsidRDefault="00BC0DE3" w:rsidP="00BC0DE3">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To elevate the visibility of Georgetown Global Health Nigeria as a continental AMR knowledge hub.</w:t>
      </w:r>
    </w:p>
    <w:p w14:paraId="63549868" w14:textId="77777777"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C0DE3">
        <w:rPr>
          <w:rFonts w:ascii="Times New Roman" w:eastAsia="Times New Roman" w:hAnsi="Times New Roman" w:cs="Times New Roman"/>
          <w:b/>
          <w:bCs/>
          <w:color w:val="auto"/>
          <w:kern w:val="36"/>
          <w:sz w:val="24"/>
          <w:szCs w:val="24"/>
          <w:lang w:eastAsia="en-GB"/>
        </w:rPr>
        <w:t>5. Proposed Weekly Themes (12 Weeks)</w:t>
      </w:r>
    </w:p>
    <w:p w14:paraId="3F67AAB1" w14:textId="1672E423"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Continental Overview of AMR</w:t>
      </w:r>
      <w:r w:rsidR="00661472">
        <w:rPr>
          <w:rFonts w:ascii="Times New Roman" w:eastAsia="Times New Roman" w:hAnsi="Times New Roman" w:cs="Times New Roman"/>
          <w:i/>
          <w:iCs/>
          <w:color w:val="BF4E14" w:themeColor="accent2" w:themeShade="BF"/>
          <w:sz w:val="24"/>
          <w:szCs w:val="24"/>
          <w:lang w:eastAsia="en-GB"/>
        </w:rPr>
        <w:t xml:space="preserve"> (2-3 NPHI Collaborators, NCDC, NG Council, FMoH, Academic Collaborators, atleast 2 - 3 countries as focus</w:t>
      </w:r>
      <w:r w:rsidR="005E0966">
        <w:rPr>
          <w:rFonts w:ascii="Times New Roman" w:eastAsia="Times New Roman" w:hAnsi="Times New Roman" w:cs="Times New Roman"/>
          <w:i/>
          <w:iCs/>
          <w:color w:val="BF4E14" w:themeColor="accent2" w:themeShade="BF"/>
          <w:sz w:val="24"/>
          <w:szCs w:val="24"/>
          <w:lang w:eastAsia="en-GB"/>
        </w:rPr>
        <w:t>, Africa CDC</w:t>
      </w:r>
      <w:r w:rsidR="00661472">
        <w:rPr>
          <w:rFonts w:ascii="Times New Roman" w:eastAsia="Times New Roman" w:hAnsi="Times New Roman" w:cs="Times New Roman"/>
          <w:i/>
          <w:iCs/>
          <w:color w:val="BF4E14" w:themeColor="accent2" w:themeShade="BF"/>
          <w:sz w:val="24"/>
          <w:szCs w:val="24"/>
          <w:lang w:eastAsia="en-GB"/>
        </w:rPr>
        <w:t>)</w:t>
      </w:r>
    </w:p>
    <w:p w14:paraId="070C2B23" w14:textId="1371253F"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Strengthening National AMR Surveillance</w:t>
      </w:r>
      <w:r w:rsidR="005E0966">
        <w:rPr>
          <w:rFonts w:ascii="Times New Roman" w:eastAsia="Times New Roman" w:hAnsi="Times New Roman" w:cs="Times New Roman"/>
          <w:i/>
          <w:iCs/>
          <w:color w:val="BF4E14" w:themeColor="accent2" w:themeShade="BF"/>
          <w:sz w:val="24"/>
          <w:szCs w:val="24"/>
          <w:lang w:eastAsia="en-GB"/>
        </w:rPr>
        <w:t xml:space="preserve"> (FF/</w:t>
      </w:r>
    </w:p>
    <w:p w14:paraId="78DF813A" w14:textId="3B5DE523"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One Health AMR Governance</w:t>
      </w:r>
      <w:r w:rsidR="00661472">
        <w:rPr>
          <w:rFonts w:ascii="Times New Roman" w:eastAsia="Times New Roman" w:hAnsi="Times New Roman" w:cs="Times New Roman"/>
          <w:i/>
          <w:iCs/>
          <w:color w:val="BF4E14" w:themeColor="accent2" w:themeShade="BF"/>
          <w:sz w:val="24"/>
          <w:szCs w:val="24"/>
          <w:lang w:eastAsia="en-GB"/>
        </w:rPr>
        <w:t xml:space="preserve"> (5 Sectors/MDAs)</w:t>
      </w:r>
    </w:p>
    <w:p w14:paraId="316D9205" w14:textId="20F1C9F7"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lastRenderedPageBreak/>
        <w:t>Scaling Laboratory Capacity</w:t>
      </w:r>
      <w:r w:rsidR="00661472">
        <w:rPr>
          <w:rFonts w:ascii="Times New Roman" w:eastAsia="Times New Roman" w:hAnsi="Times New Roman" w:cs="Times New Roman"/>
          <w:i/>
          <w:iCs/>
          <w:color w:val="BF4E14" w:themeColor="accent2" w:themeShade="BF"/>
          <w:sz w:val="24"/>
          <w:szCs w:val="24"/>
          <w:lang w:eastAsia="en-GB"/>
        </w:rPr>
        <w:t xml:space="preserve"> (Olawale, Kingsley, Magaji, </w:t>
      </w:r>
    </w:p>
    <w:p w14:paraId="53879EB6" w14:textId="18CC70CE"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Genomic Surveillance for AMR</w:t>
      </w:r>
      <w:r w:rsidR="00661472">
        <w:rPr>
          <w:rFonts w:ascii="Times New Roman" w:eastAsia="Times New Roman" w:hAnsi="Times New Roman" w:cs="Times New Roman"/>
          <w:i/>
          <w:iCs/>
          <w:color w:val="BF4E14" w:themeColor="accent2" w:themeShade="BF"/>
          <w:sz w:val="24"/>
          <w:szCs w:val="24"/>
          <w:lang w:eastAsia="en-GB"/>
        </w:rPr>
        <w:t xml:space="preserve"> (DTU/, Phramceuticals,</w:t>
      </w:r>
    </w:p>
    <w:p w14:paraId="14E07E3E" w14:textId="77777777"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Digital Integration &amp; WHONET</w:t>
      </w:r>
    </w:p>
    <w:p w14:paraId="0357C700" w14:textId="77777777"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Antimicrobial Stewardship</w:t>
      </w:r>
    </w:p>
    <w:p w14:paraId="597A007F" w14:textId="77777777"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Infection Prevention &amp; Control</w:t>
      </w:r>
    </w:p>
    <w:p w14:paraId="3871FC80" w14:textId="1C6ACBAD"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b/>
          <w:bCs/>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AMR in Agriculture &amp; Animal Health</w:t>
      </w:r>
      <w:r w:rsidR="00661472">
        <w:rPr>
          <w:rFonts w:ascii="Times New Roman" w:eastAsia="Times New Roman" w:hAnsi="Times New Roman" w:cs="Times New Roman"/>
          <w:b/>
          <w:bCs/>
          <w:i/>
          <w:iCs/>
          <w:color w:val="BF4E14" w:themeColor="accent2" w:themeShade="BF"/>
          <w:sz w:val="24"/>
          <w:szCs w:val="24"/>
          <w:lang w:eastAsia="en-GB"/>
        </w:rPr>
        <w:t xml:space="preserve"> </w:t>
      </w:r>
      <w:r w:rsidR="00661472" w:rsidRPr="00661472">
        <w:rPr>
          <w:rFonts w:ascii="Times New Roman" w:eastAsia="Times New Roman" w:hAnsi="Times New Roman" w:cs="Times New Roman"/>
          <w:i/>
          <w:iCs/>
          <w:color w:val="BF4E14" w:themeColor="accent2" w:themeShade="BF"/>
          <w:sz w:val="24"/>
          <w:szCs w:val="24"/>
          <w:lang w:eastAsia="en-GB"/>
        </w:rPr>
        <w:t>(Zahurdeen, Emmauel/AH Acedemia, Vastina/AH NPHI Lab, FMARD vetinary, Vet Labori)</w:t>
      </w:r>
    </w:p>
    <w:p w14:paraId="07F097B7" w14:textId="77777777"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Financing AMR Action Plans</w:t>
      </w:r>
    </w:p>
    <w:p w14:paraId="33F8F975" w14:textId="77777777" w:rsidR="00BC0DE3" w:rsidRP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Cross</w:t>
      </w:r>
      <w:r w:rsidRPr="00BC0DE3">
        <w:rPr>
          <w:rFonts w:ascii="Times New Roman" w:eastAsia="Times New Roman" w:hAnsi="Times New Roman" w:cs="Times New Roman"/>
          <w:i/>
          <w:iCs/>
          <w:color w:val="BF4E14" w:themeColor="accent2" w:themeShade="BF"/>
          <w:sz w:val="24"/>
          <w:szCs w:val="24"/>
          <w:lang w:eastAsia="en-GB"/>
        </w:rPr>
        <w:noBreakHyphen/>
        <w:t>Border AMR Threats</w:t>
      </w:r>
    </w:p>
    <w:p w14:paraId="7186DD42" w14:textId="77777777" w:rsidR="00BC0DE3" w:rsidRDefault="00BC0DE3" w:rsidP="00BC0DE3">
      <w:pPr>
        <w:numPr>
          <w:ilvl w:val="0"/>
          <w:numId w:val="16"/>
        </w:numPr>
        <w:spacing w:before="100" w:beforeAutospacing="1" w:after="100" w:afterAutospacing="1" w:line="240" w:lineRule="auto"/>
        <w:rPr>
          <w:rFonts w:ascii="Times New Roman" w:eastAsia="Times New Roman" w:hAnsi="Times New Roman" w:cs="Times New Roman"/>
          <w:i/>
          <w:iCs/>
          <w:color w:val="BF4E14" w:themeColor="accent2" w:themeShade="BF"/>
          <w:sz w:val="24"/>
          <w:szCs w:val="24"/>
          <w:lang w:eastAsia="en-GB"/>
        </w:rPr>
      </w:pPr>
      <w:r w:rsidRPr="00BC0DE3">
        <w:rPr>
          <w:rFonts w:ascii="Times New Roman" w:eastAsia="Times New Roman" w:hAnsi="Times New Roman" w:cs="Times New Roman"/>
          <w:i/>
          <w:iCs/>
          <w:color w:val="BF4E14" w:themeColor="accent2" w:themeShade="BF"/>
          <w:sz w:val="24"/>
          <w:szCs w:val="24"/>
          <w:lang w:eastAsia="en-GB"/>
        </w:rPr>
        <w:t>A Continental Vision for AMR (Pre</w:t>
      </w:r>
      <w:r w:rsidRPr="00BC0DE3">
        <w:rPr>
          <w:rFonts w:ascii="Times New Roman" w:eastAsia="Times New Roman" w:hAnsi="Times New Roman" w:cs="Times New Roman"/>
          <w:i/>
          <w:iCs/>
          <w:color w:val="BF4E14" w:themeColor="accent2" w:themeShade="BF"/>
          <w:sz w:val="24"/>
          <w:szCs w:val="24"/>
          <w:lang w:eastAsia="en-GB"/>
        </w:rPr>
        <w:noBreakHyphen/>
        <w:t>Ministerial Brief)</w:t>
      </w:r>
    </w:p>
    <w:p w14:paraId="74D7D827" w14:textId="2B054573" w:rsidR="005E0966" w:rsidRPr="005E0966" w:rsidRDefault="005E0966" w:rsidP="005E0966">
      <w:pPr>
        <w:pStyle w:val="NoSpacing"/>
        <w:rPr>
          <w:i/>
          <w:iCs/>
          <w:lang w:eastAsia="en-GB"/>
        </w:rPr>
      </w:pPr>
      <w:r w:rsidRPr="005E0966">
        <w:rPr>
          <w:i/>
          <w:iCs/>
          <w:lang w:eastAsia="en-GB"/>
        </w:rPr>
        <w:t xml:space="preserve">FF- Africa Countries that they supported  </w:t>
      </w:r>
    </w:p>
    <w:p w14:paraId="29DD0E2A" w14:textId="5A406E64" w:rsidR="005E0966" w:rsidRDefault="005E0966" w:rsidP="005E0966">
      <w:pPr>
        <w:pStyle w:val="NoSpacing"/>
        <w:rPr>
          <w:lang w:eastAsia="en-GB"/>
        </w:rPr>
      </w:pPr>
      <w:r>
        <w:rPr>
          <w:lang w:eastAsia="en-GB"/>
        </w:rPr>
        <w:t xml:space="preserve">Rwanda – East Africa </w:t>
      </w:r>
      <w:r>
        <w:rPr>
          <w:lang w:eastAsia="en-GB"/>
        </w:rPr>
        <w:t>(Africa CDC RCC Lead Dr Lucy</w:t>
      </w:r>
      <w:r>
        <w:rPr>
          <w:lang w:eastAsia="en-GB"/>
        </w:rPr>
        <w:t>/Claudia</w:t>
      </w:r>
      <w:r>
        <w:rPr>
          <w:lang w:eastAsia="en-GB"/>
        </w:rPr>
        <w:t>)</w:t>
      </w:r>
    </w:p>
    <w:p w14:paraId="63443E54" w14:textId="4C6C01D8" w:rsidR="005E0966" w:rsidRDefault="005E0966" w:rsidP="005E0966">
      <w:pPr>
        <w:pStyle w:val="NoSpacing"/>
        <w:rPr>
          <w:lang w:eastAsia="en-GB"/>
        </w:rPr>
      </w:pPr>
      <w:r>
        <w:rPr>
          <w:lang w:eastAsia="en-GB"/>
        </w:rPr>
        <w:t>Kenya – East Africa (Africa CDC RCC Lead Dr Lucy)</w:t>
      </w:r>
    </w:p>
    <w:p w14:paraId="2F4C7E90" w14:textId="12CF981F" w:rsidR="005E0966" w:rsidRDefault="005E0966" w:rsidP="005E0966">
      <w:pPr>
        <w:pStyle w:val="NoSpacing"/>
        <w:rPr>
          <w:lang w:eastAsia="en-GB"/>
        </w:rPr>
      </w:pPr>
      <w:r>
        <w:rPr>
          <w:lang w:eastAsia="en-GB"/>
        </w:rPr>
        <w:t>Botswana – Southern Africa (Komotso)</w:t>
      </w:r>
    </w:p>
    <w:p w14:paraId="7790A83B" w14:textId="1632D15E" w:rsidR="005E0966" w:rsidRDefault="005E0966" w:rsidP="005E0966">
      <w:pPr>
        <w:pStyle w:val="NoSpacing"/>
        <w:rPr>
          <w:lang w:eastAsia="en-GB"/>
        </w:rPr>
      </w:pPr>
      <w:r>
        <w:rPr>
          <w:lang w:eastAsia="en-GB"/>
        </w:rPr>
        <w:t xml:space="preserve">Zambia – Southern Africa </w:t>
      </w:r>
      <w:r>
        <w:rPr>
          <w:lang w:eastAsia="en-GB"/>
        </w:rPr>
        <w:t xml:space="preserve">(Africa CDC RCC Lead </w:t>
      </w:r>
      <w:r>
        <w:rPr>
          <w:lang w:eastAsia="en-GB"/>
        </w:rPr>
        <w:t>Dr he is from DRC Congo</w:t>
      </w:r>
      <w:r>
        <w:rPr>
          <w:lang w:eastAsia="en-GB"/>
        </w:rPr>
        <w:t>)</w:t>
      </w:r>
    </w:p>
    <w:p w14:paraId="4FC08019" w14:textId="645FFA4E" w:rsidR="005E0966" w:rsidRDefault="005E0966" w:rsidP="005E0966">
      <w:pPr>
        <w:pStyle w:val="NoSpacing"/>
        <w:rPr>
          <w:lang w:eastAsia="en-GB"/>
        </w:rPr>
      </w:pPr>
      <w:r>
        <w:rPr>
          <w:lang w:eastAsia="en-GB"/>
        </w:rPr>
        <w:t>Nigeria – West Africa (</w:t>
      </w:r>
      <w:r>
        <w:rPr>
          <w:lang w:eastAsia="en-GB"/>
        </w:rPr>
        <w:t xml:space="preserve">Africa CDC RCC Lead Dr </w:t>
      </w:r>
      <w:r>
        <w:rPr>
          <w:lang w:eastAsia="en-GB"/>
        </w:rPr>
        <w:t>Kokuo Cote Divorie</w:t>
      </w:r>
      <w:r>
        <w:rPr>
          <w:lang w:eastAsia="en-GB"/>
        </w:rPr>
        <w:t>)</w:t>
      </w:r>
    </w:p>
    <w:p w14:paraId="4CBDA38F" w14:textId="7C059645" w:rsidR="005E0966" w:rsidRDefault="005E0966" w:rsidP="005E0966">
      <w:pPr>
        <w:pStyle w:val="NoSpacing"/>
        <w:rPr>
          <w:lang w:eastAsia="en-GB"/>
        </w:rPr>
      </w:pPr>
      <w:r>
        <w:rPr>
          <w:lang w:eastAsia="en-GB"/>
        </w:rPr>
        <w:t xml:space="preserve">Burkina Faso – Dir Surviellance, </w:t>
      </w:r>
      <w:r w:rsidRPr="005E0966">
        <w:rPr>
          <w:i/>
          <w:iCs/>
          <w:color w:val="BF4E14" w:themeColor="accent2" w:themeShade="BF"/>
          <w:lang w:eastAsia="en-GB"/>
        </w:rPr>
        <w:t>Head of FETP for West and Central Francophoe Africa, &amp; their former MPHI DG/scientific officer for IANPHI Africa</w:t>
      </w:r>
      <w:r w:rsidRPr="005E0966">
        <w:rPr>
          <w:color w:val="BF4E14" w:themeColor="accent2" w:themeShade="BF"/>
          <w:lang w:eastAsia="en-GB"/>
        </w:rPr>
        <w:t xml:space="preserve"> </w:t>
      </w:r>
      <w:r>
        <w:rPr>
          <w:lang w:eastAsia="en-GB"/>
        </w:rPr>
        <w:t xml:space="preserve">– West Africa here </w:t>
      </w:r>
    </w:p>
    <w:p w14:paraId="4F8B1ACE" w14:textId="24B876DA" w:rsidR="005E0966" w:rsidRDefault="005E0966" w:rsidP="005E0966">
      <w:pPr>
        <w:pStyle w:val="NoSpacing"/>
        <w:shd w:val="clear" w:color="auto" w:fill="FFFF00"/>
        <w:rPr>
          <w:lang w:eastAsia="en-GB"/>
        </w:rPr>
      </w:pPr>
      <w:r>
        <w:rPr>
          <w:lang w:eastAsia="en-GB"/>
        </w:rPr>
        <w:t xml:space="preserve">Central Africa – 2 Countries </w:t>
      </w:r>
    </w:p>
    <w:p w14:paraId="5AF40856" w14:textId="0F11EE2F" w:rsidR="005E0966" w:rsidRPr="00BC0DE3" w:rsidRDefault="005E0966" w:rsidP="005E0966">
      <w:pPr>
        <w:pStyle w:val="NoSpacing"/>
        <w:rPr>
          <w:lang w:eastAsia="en-GB"/>
        </w:rPr>
      </w:pPr>
      <w:r>
        <w:rPr>
          <w:lang w:eastAsia="en-GB"/>
        </w:rPr>
        <w:t>North Africa – 2 Countries (</w:t>
      </w:r>
      <w:r>
        <w:rPr>
          <w:lang w:eastAsia="en-GB"/>
        </w:rPr>
        <w:t xml:space="preserve">Africa CDC RCC Lead Dr </w:t>
      </w:r>
      <w:r>
        <w:rPr>
          <w:lang w:eastAsia="en-GB"/>
        </w:rPr>
        <w:t>Wessen/Egypt</w:t>
      </w:r>
      <w:r>
        <w:rPr>
          <w:lang w:eastAsia="en-GB"/>
        </w:rPr>
        <w:t>)</w:t>
      </w:r>
    </w:p>
    <w:p w14:paraId="0E00E74A" w14:textId="77777777"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C0DE3">
        <w:rPr>
          <w:rFonts w:ascii="Times New Roman" w:eastAsia="Times New Roman" w:hAnsi="Times New Roman" w:cs="Times New Roman"/>
          <w:b/>
          <w:bCs/>
          <w:color w:val="auto"/>
          <w:kern w:val="36"/>
          <w:sz w:val="24"/>
          <w:szCs w:val="24"/>
          <w:lang w:eastAsia="en-GB"/>
        </w:rPr>
        <w:t>6. Expected Outputs</w:t>
      </w:r>
    </w:p>
    <w:p w14:paraId="53B5B369" w14:textId="77777777" w:rsidR="00BC0DE3" w:rsidRPr="00BC0DE3" w:rsidRDefault="00BC0DE3" w:rsidP="00BC0DE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12 policy briefs (1–2 pages each)</w:t>
      </w:r>
    </w:p>
    <w:p w14:paraId="7CB09F74" w14:textId="77777777" w:rsidR="00BC0DE3" w:rsidRPr="00BC0DE3" w:rsidRDefault="00BC0DE3" w:rsidP="00BC0DE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Social media summaries for each brief</w:t>
      </w:r>
    </w:p>
    <w:p w14:paraId="1EE21CF4" w14:textId="77777777" w:rsidR="00BC0DE3" w:rsidRPr="00BC0DE3" w:rsidRDefault="00BC0DE3" w:rsidP="00BC0DE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A consolidated pre</w:t>
      </w:r>
      <w:r w:rsidRPr="00BC0DE3">
        <w:rPr>
          <w:rFonts w:ascii="Times New Roman" w:eastAsia="Times New Roman" w:hAnsi="Times New Roman" w:cs="Times New Roman"/>
          <w:color w:val="auto"/>
          <w:sz w:val="24"/>
          <w:szCs w:val="24"/>
          <w:lang w:eastAsia="en-GB"/>
        </w:rPr>
        <w:noBreakHyphen/>
        <w:t>conference AMR policy pack</w:t>
      </w:r>
    </w:p>
    <w:p w14:paraId="637D8133" w14:textId="77777777" w:rsidR="00BC0DE3" w:rsidRPr="00BC0DE3" w:rsidRDefault="00BC0DE3" w:rsidP="00BC0DE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A minister</w:t>
      </w:r>
      <w:r w:rsidRPr="00BC0DE3">
        <w:rPr>
          <w:rFonts w:ascii="Times New Roman" w:eastAsia="Times New Roman" w:hAnsi="Times New Roman" w:cs="Times New Roman"/>
          <w:color w:val="auto"/>
          <w:sz w:val="24"/>
          <w:szCs w:val="24"/>
          <w:lang w:eastAsia="en-GB"/>
        </w:rPr>
        <w:noBreakHyphen/>
        <w:t>ready executive summary</w:t>
      </w:r>
    </w:p>
    <w:p w14:paraId="02300981" w14:textId="4F739B76" w:rsidR="00BC0DE3" w:rsidRPr="00BC0DE3" w:rsidRDefault="00BC0DE3" w:rsidP="00BC0DE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Infographics for public engagement</w:t>
      </w:r>
    </w:p>
    <w:p w14:paraId="07E94A6C" w14:textId="77777777"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C0DE3">
        <w:rPr>
          <w:rFonts w:ascii="Times New Roman" w:eastAsia="Times New Roman" w:hAnsi="Times New Roman" w:cs="Times New Roman"/>
          <w:b/>
          <w:bCs/>
          <w:color w:val="auto"/>
          <w:kern w:val="36"/>
          <w:sz w:val="24"/>
          <w:szCs w:val="24"/>
          <w:lang w:eastAsia="en-GB"/>
        </w:rPr>
        <w:t>7. Target Audience</w:t>
      </w:r>
    </w:p>
    <w:p w14:paraId="1BD8B953" w14:textId="77777777" w:rsidR="00BC0DE3" w:rsidRPr="00BC0DE3" w:rsidRDefault="00BC0DE3" w:rsidP="00BC0DE3">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Ministers of Health, Agriculture, Environment</w:t>
      </w:r>
    </w:p>
    <w:p w14:paraId="644A7670" w14:textId="77777777" w:rsidR="00BC0DE3" w:rsidRPr="00BC0DE3" w:rsidRDefault="00BC0DE3" w:rsidP="00BC0DE3">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National AMR Coordinating Committees</w:t>
      </w:r>
    </w:p>
    <w:p w14:paraId="17AE9AB7" w14:textId="77777777" w:rsidR="00BC0DE3" w:rsidRPr="00BC0DE3" w:rsidRDefault="00BC0DE3" w:rsidP="00BC0DE3">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Africa CDC and RCCs</w:t>
      </w:r>
    </w:p>
    <w:p w14:paraId="20722F8E" w14:textId="77777777" w:rsidR="00BC0DE3" w:rsidRPr="00BC0DE3" w:rsidRDefault="00BC0DE3" w:rsidP="00BC0DE3">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WHO AFRO</w:t>
      </w:r>
    </w:p>
    <w:p w14:paraId="57972297" w14:textId="77777777" w:rsidR="00BC0DE3" w:rsidRPr="00BC0DE3" w:rsidRDefault="00BC0DE3" w:rsidP="00BC0DE3">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Donors and implementing partners</w:t>
      </w:r>
    </w:p>
    <w:p w14:paraId="5C16EA0C" w14:textId="77777777" w:rsidR="00BC0DE3" w:rsidRPr="00BC0DE3" w:rsidRDefault="00BC0DE3" w:rsidP="00BC0DE3">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Academic and research institutions</w:t>
      </w:r>
    </w:p>
    <w:p w14:paraId="6DFAD978" w14:textId="71F1C8F0" w:rsidR="00BC0DE3" w:rsidRPr="00BC0DE3" w:rsidRDefault="00BC0DE3" w:rsidP="00BC0DE3">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Civil society and professional associations</w:t>
      </w:r>
    </w:p>
    <w:p w14:paraId="4B75BCDD" w14:textId="77777777"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C0DE3">
        <w:rPr>
          <w:rFonts w:ascii="Times New Roman" w:eastAsia="Times New Roman" w:hAnsi="Times New Roman" w:cs="Times New Roman"/>
          <w:b/>
          <w:bCs/>
          <w:color w:val="auto"/>
          <w:kern w:val="36"/>
          <w:sz w:val="24"/>
          <w:szCs w:val="24"/>
          <w:lang w:eastAsia="en-GB"/>
        </w:rPr>
        <w:t>8. Timeline</w:t>
      </w:r>
    </w:p>
    <w:p w14:paraId="3F88F200" w14:textId="6F867713" w:rsidR="00BC0DE3" w:rsidRPr="00BC0DE3" w:rsidRDefault="00BC0DE3" w:rsidP="00BC0DE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b/>
          <w:bCs/>
          <w:color w:val="auto"/>
          <w:sz w:val="24"/>
          <w:szCs w:val="24"/>
          <w:lang w:eastAsia="en-GB"/>
        </w:rPr>
        <w:t>March – June 2026</w:t>
      </w:r>
      <w:r w:rsidRPr="00BC0DE3">
        <w:rPr>
          <w:rFonts w:ascii="Times New Roman" w:eastAsia="Times New Roman" w:hAnsi="Times New Roman" w:cs="Times New Roman"/>
          <w:color w:val="auto"/>
          <w:sz w:val="24"/>
          <w:szCs w:val="24"/>
          <w:lang w:eastAsia="en-GB"/>
        </w:rPr>
        <w:t xml:space="preserve"> </w:t>
      </w:r>
      <w:r w:rsidRPr="00BC0DE3">
        <w:rPr>
          <w:rFonts w:ascii="Times New Roman" w:eastAsia="Times New Roman" w:hAnsi="Times New Roman" w:cs="Times New Roman"/>
          <w:color w:val="auto"/>
          <w:sz w:val="24"/>
          <w:szCs w:val="24"/>
          <w:lang w:eastAsia="en-GB"/>
        </w:rPr>
        <w:br/>
        <w:t>One brief published every week, culminating in a consolidated policy pack ahead of the June 28 Inter</w:t>
      </w:r>
      <w:r w:rsidRPr="00BC0DE3">
        <w:rPr>
          <w:rFonts w:ascii="Times New Roman" w:eastAsia="Times New Roman" w:hAnsi="Times New Roman" w:cs="Times New Roman"/>
          <w:color w:val="auto"/>
          <w:sz w:val="24"/>
          <w:szCs w:val="24"/>
          <w:lang w:eastAsia="en-GB"/>
        </w:rPr>
        <w:noBreakHyphen/>
        <w:t>Ministerial Conference.</w:t>
      </w:r>
    </w:p>
    <w:p w14:paraId="03B8C38B" w14:textId="77777777" w:rsidR="00BC0DE3" w:rsidRPr="00BC0DE3" w:rsidRDefault="00BC0DE3" w:rsidP="00BC0DE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C0DE3">
        <w:rPr>
          <w:rFonts w:ascii="Times New Roman" w:eastAsia="Times New Roman" w:hAnsi="Times New Roman" w:cs="Times New Roman"/>
          <w:b/>
          <w:bCs/>
          <w:color w:val="auto"/>
          <w:kern w:val="36"/>
          <w:sz w:val="24"/>
          <w:szCs w:val="24"/>
          <w:lang w:eastAsia="en-GB"/>
        </w:rPr>
        <w:t>9. Next Steps</w:t>
      </w:r>
    </w:p>
    <w:p w14:paraId="6232614B" w14:textId="77777777" w:rsidR="00BC0DE3" w:rsidRPr="00BC0DE3" w:rsidRDefault="00BC0DE3" w:rsidP="00BC0DE3">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Approval of concept</w:t>
      </w:r>
    </w:p>
    <w:p w14:paraId="41CB641F" w14:textId="77777777" w:rsidR="00BC0DE3" w:rsidRPr="00BC0DE3" w:rsidRDefault="00BC0DE3" w:rsidP="00BC0DE3">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Alignment with Communications Team</w:t>
      </w:r>
    </w:p>
    <w:p w14:paraId="32CCC5FD" w14:textId="77777777" w:rsidR="00BC0DE3" w:rsidRPr="00BC0DE3" w:rsidRDefault="00BC0DE3" w:rsidP="00BC0DE3">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lastRenderedPageBreak/>
        <w:t>Development of brief templates</w:t>
      </w:r>
    </w:p>
    <w:p w14:paraId="74D454BF" w14:textId="77777777" w:rsidR="00BC0DE3" w:rsidRPr="00BC0DE3" w:rsidRDefault="00BC0DE3" w:rsidP="00BC0DE3">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Weekly drafting and review</w:t>
      </w:r>
    </w:p>
    <w:p w14:paraId="10C41B6D" w14:textId="77777777" w:rsidR="00BC0DE3" w:rsidRPr="00BC0DE3" w:rsidRDefault="00BC0DE3" w:rsidP="00BC0DE3">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C0DE3">
        <w:rPr>
          <w:rFonts w:ascii="Times New Roman" w:eastAsia="Times New Roman" w:hAnsi="Times New Roman" w:cs="Times New Roman"/>
          <w:color w:val="auto"/>
          <w:sz w:val="24"/>
          <w:szCs w:val="24"/>
          <w:lang w:eastAsia="en-GB"/>
        </w:rPr>
        <w:t>Dissemination through institutional channels</w:t>
      </w:r>
    </w:p>
    <w:p w14:paraId="6BA7F430" w14:textId="77777777" w:rsidR="005E0966" w:rsidRDefault="009B0996" w:rsidP="009B0996">
      <w:pPr>
        <w:spacing w:before="100" w:beforeAutospacing="1" w:after="100" w:afterAutospacing="1" w:line="240" w:lineRule="auto"/>
        <w:outlineLvl w:val="0"/>
        <w:rPr>
          <w:rFonts w:ascii="Times New Roman" w:eastAsia="Times New Roman" w:hAnsi="Times New Roman" w:cs="Times New Roman"/>
          <w:b/>
          <w:bCs/>
          <w:color w:val="EE0000"/>
          <w:kern w:val="36"/>
          <w:sz w:val="40"/>
          <w:szCs w:val="40"/>
          <w:lang w:eastAsia="en-GB"/>
        </w:rPr>
      </w:pPr>
      <w:r w:rsidRPr="009B0996">
        <w:rPr>
          <w:rFonts w:ascii="Times New Roman" w:eastAsia="Times New Roman" w:hAnsi="Times New Roman" w:cs="Times New Roman"/>
          <w:b/>
          <w:bCs/>
          <w:color w:val="EE0000"/>
          <w:kern w:val="36"/>
          <w:sz w:val="40"/>
          <w:szCs w:val="40"/>
          <w:lang w:eastAsia="en-GB"/>
        </w:rPr>
        <w:t>Outline for a 2</w:t>
      </w:r>
      <w:r w:rsidRPr="009B0996">
        <w:rPr>
          <w:rFonts w:ascii="Times New Roman" w:eastAsia="Times New Roman" w:hAnsi="Times New Roman" w:cs="Times New Roman"/>
          <w:b/>
          <w:bCs/>
          <w:color w:val="EE0000"/>
          <w:kern w:val="36"/>
          <w:sz w:val="40"/>
          <w:szCs w:val="40"/>
          <w:lang w:eastAsia="en-GB"/>
        </w:rPr>
        <w:noBreakHyphen/>
        <w:t>Page AMR Policy Brief</w:t>
      </w:r>
      <w:r w:rsidR="005E0966">
        <w:rPr>
          <w:rFonts w:ascii="Times New Roman" w:eastAsia="Times New Roman" w:hAnsi="Times New Roman" w:cs="Times New Roman"/>
          <w:b/>
          <w:bCs/>
          <w:color w:val="EE0000"/>
          <w:kern w:val="36"/>
          <w:sz w:val="40"/>
          <w:szCs w:val="40"/>
          <w:lang w:eastAsia="en-GB"/>
        </w:rPr>
        <w:t xml:space="preserve"> </w:t>
      </w:r>
    </w:p>
    <w:p w14:paraId="22832A45" w14:textId="0D21FB07" w:rsidR="009B0996" w:rsidRPr="009B0996" w:rsidRDefault="005E0966" w:rsidP="009B0996">
      <w:pPr>
        <w:spacing w:before="100" w:beforeAutospacing="1" w:after="100" w:afterAutospacing="1" w:line="240" w:lineRule="auto"/>
        <w:outlineLvl w:val="0"/>
        <w:rPr>
          <w:rFonts w:ascii="Times New Roman" w:eastAsia="Times New Roman" w:hAnsi="Times New Roman" w:cs="Times New Roman"/>
          <w:b/>
          <w:bCs/>
          <w:color w:val="EE0000"/>
          <w:kern w:val="36"/>
          <w:sz w:val="40"/>
          <w:szCs w:val="40"/>
          <w:lang w:eastAsia="en-GB"/>
        </w:rPr>
      </w:pPr>
      <w:r w:rsidRPr="005E0966">
        <w:rPr>
          <w:rFonts w:ascii="Times New Roman" w:eastAsia="Times New Roman" w:hAnsi="Times New Roman" w:cs="Times New Roman"/>
          <w:b/>
          <w:bCs/>
          <w:i/>
          <w:iCs/>
          <w:color w:val="EE0000"/>
          <w:kern w:val="36"/>
          <w:sz w:val="32"/>
          <w:szCs w:val="32"/>
          <w:lang w:eastAsia="en-GB"/>
        </w:rPr>
        <w:t>(3 pages for Initial draft + 1 page on the collaborators)</w:t>
      </w:r>
    </w:p>
    <w:p w14:paraId="27838DEC" w14:textId="0DC41547" w:rsidR="009B0996" w:rsidRPr="009B0996" w:rsidRDefault="009B0996" w:rsidP="009B0996">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GB"/>
        </w:rPr>
      </w:pPr>
      <w:r w:rsidRPr="009B0996">
        <w:rPr>
          <w:rFonts w:ascii="Times New Roman" w:eastAsia="Times New Roman" w:hAnsi="Times New Roman" w:cs="Times New Roman"/>
          <w:b/>
          <w:bCs/>
          <w:i/>
          <w:iCs/>
          <w:color w:val="auto"/>
          <w:sz w:val="27"/>
          <w:szCs w:val="27"/>
          <w:lang w:eastAsia="en-GB"/>
        </w:rPr>
        <w:t>Pan</w:t>
      </w:r>
      <w:r w:rsidRPr="009B0996">
        <w:rPr>
          <w:rFonts w:ascii="Times New Roman" w:eastAsia="Times New Roman" w:hAnsi="Times New Roman" w:cs="Times New Roman"/>
          <w:b/>
          <w:bCs/>
          <w:i/>
          <w:iCs/>
          <w:color w:val="auto"/>
          <w:sz w:val="27"/>
          <w:szCs w:val="27"/>
          <w:lang w:eastAsia="en-GB"/>
        </w:rPr>
        <w:noBreakHyphen/>
        <w:t>African Weekly AMR Policy Brief Series</w:t>
      </w:r>
    </w:p>
    <w:p w14:paraId="7CE860D6" w14:textId="77777777" w:rsidR="009B0996" w:rsidRPr="009B0996" w:rsidRDefault="009B0996" w:rsidP="009B0996">
      <w:pPr>
        <w:spacing w:before="100" w:beforeAutospacing="1" w:after="100" w:afterAutospacing="1" w:line="240" w:lineRule="auto"/>
        <w:outlineLvl w:val="0"/>
        <w:rPr>
          <w:rFonts w:ascii="Times New Roman" w:eastAsia="Times New Roman" w:hAnsi="Times New Roman" w:cs="Times New Roman"/>
          <w:b/>
          <w:bCs/>
          <w:color w:val="EE0000"/>
          <w:kern w:val="36"/>
          <w:sz w:val="36"/>
          <w:szCs w:val="36"/>
          <w:lang w:eastAsia="en-GB"/>
        </w:rPr>
      </w:pPr>
      <w:r w:rsidRPr="009B0996">
        <w:rPr>
          <w:rFonts w:ascii="Times New Roman" w:eastAsia="Times New Roman" w:hAnsi="Times New Roman" w:cs="Times New Roman"/>
          <w:b/>
          <w:bCs/>
          <w:color w:val="EE0000"/>
          <w:kern w:val="36"/>
          <w:sz w:val="36"/>
          <w:szCs w:val="36"/>
          <w:lang w:eastAsia="en-GB"/>
        </w:rPr>
        <w:t>PAGE 1</w:t>
      </w:r>
    </w:p>
    <w:p w14:paraId="57397BF7" w14:textId="1B6D2EC8" w:rsidR="009B0996" w:rsidRPr="009B0996" w:rsidRDefault="009B0996" w:rsidP="005E096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1. Title &amp; Subtitle (Clear and Action</w:t>
      </w:r>
      <w:r w:rsidRPr="009B0996">
        <w:rPr>
          <w:rFonts w:ascii="Times New Roman" w:eastAsia="Times New Roman" w:hAnsi="Times New Roman" w:cs="Times New Roman"/>
          <w:b/>
          <w:bCs/>
          <w:color w:val="auto"/>
          <w:sz w:val="24"/>
          <w:szCs w:val="24"/>
          <w:lang w:eastAsia="en-GB"/>
        </w:rPr>
        <w:noBreakHyphen/>
        <w:t>Oriented)</w:t>
      </w:r>
      <w:r w:rsidR="005E0966">
        <w:rPr>
          <w:rFonts w:ascii="Times New Roman" w:eastAsia="Times New Roman" w:hAnsi="Times New Roman" w:cs="Times New Roman"/>
          <w:b/>
          <w:bCs/>
          <w:color w:val="auto"/>
          <w:sz w:val="24"/>
          <w:szCs w:val="24"/>
          <w:lang w:eastAsia="en-GB"/>
        </w:rPr>
        <w:t xml:space="preserve">: </w:t>
      </w:r>
      <w:r>
        <w:rPr>
          <w:rFonts w:ascii="Times New Roman" w:eastAsia="Times New Roman" w:hAnsi="Times New Roman" w:cs="Times New Roman"/>
          <w:color w:val="auto"/>
          <w:sz w:val="24"/>
          <w:szCs w:val="24"/>
          <w:lang w:eastAsia="en-GB"/>
        </w:rPr>
        <w:t xml:space="preserve"> </w:t>
      </w:r>
      <w:r w:rsidRPr="009B0996">
        <w:rPr>
          <w:rFonts w:ascii="Times New Roman" w:eastAsia="Times New Roman" w:hAnsi="Times New Roman" w:cs="Times New Roman"/>
          <w:b/>
          <w:bCs/>
          <w:color w:val="auto"/>
          <w:sz w:val="24"/>
          <w:szCs w:val="24"/>
          <w:lang w:eastAsia="en-GB"/>
        </w:rPr>
        <w:t>Strengthening AMR Surveillance Across Africa: Priorities for Action Ahead of the Inter</w:t>
      </w:r>
      <w:r w:rsidRPr="009B0996">
        <w:rPr>
          <w:rFonts w:ascii="Times New Roman" w:eastAsia="Times New Roman" w:hAnsi="Times New Roman" w:cs="Times New Roman"/>
          <w:b/>
          <w:bCs/>
          <w:color w:val="auto"/>
          <w:sz w:val="24"/>
          <w:szCs w:val="24"/>
          <w:lang w:eastAsia="en-GB"/>
        </w:rPr>
        <w:noBreakHyphen/>
        <w:t>Ministerial Conference</w:t>
      </w:r>
      <w:r w:rsidRPr="009B0996">
        <w:rPr>
          <w:rFonts w:ascii="Times New Roman" w:eastAsia="Times New Roman" w:hAnsi="Times New Roman" w:cs="Times New Roman"/>
          <w:color w:val="auto"/>
          <w:sz w:val="24"/>
          <w:szCs w:val="24"/>
          <w:lang w:eastAsia="en-GB"/>
        </w:rPr>
        <w:t xml:space="preserve"> </w:t>
      </w:r>
    </w:p>
    <w:p w14:paraId="53559017" w14:textId="77777777" w:rsidR="009B0996" w:rsidRPr="009B0996" w:rsidRDefault="009B0996" w:rsidP="009B099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2. Executive Summary (4–5 sentences)</w:t>
      </w:r>
    </w:p>
    <w:p w14:paraId="1485A8A3" w14:textId="77777777" w:rsidR="009B0996" w:rsidRPr="009B0996" w:rsidRDefault="009B0996" w:rsidP="009B0996">
      <w:p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A concise overview of:</w:t>
      </w:r>
    </w:p>
    <w:p w14:paraId="66A3265E" w14:textId="77777777" w:rsidR="009B0996" w:rsidRPr="009B0996" w:rsidRDefault="009B0996" w:rsidP="009B0996">
      <w:pPr>
        <w:numPr>
          <w:ilvl w:val="0"/>
          <w:numId w:val="1"/>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The AMR challenge</w:t>
      </w:r>
    </w:p>
    <w:p w14:paraId="1C03C3FC" w14:textId="77777777" w:rsidR="009B0996" w:rsidRPr="009B0996" w:rsidRDefault="009B0996" w:rsidP="009B0996">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Why this issue matters now</w:t>
      </w:r>
    </w:p>
    <w:p w14:paraId="57825A3C" w14:textId="77777777" w:rsidR="009B0996" w:rsidRPr="009B0996" w:rsidRDefault="009B0996" w:rsidP="009B0996">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Key findings or insights</w:t>
      </w:r>
    </w:p>
    <w:p w14:paraId="4A0DA9C3" w14:textId="38DE8A09" w:rsidR="009B0996" w:rsidRPr="009B0996" w:rsidRDefault="009B0996" w:rsidP="009B0996">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What policymakers need to do</w:t>
      </w:r>
      <w:r w:rsidRPr="009B0996">
        <w:rPr>
          <w:rFonts w:ascii="Times New Roman" w:eastAsia="Times New Roman" w:hAnsi="Times New Roman" w:cs="Times New Roman"/>
          <w:color w:val="auto"/>
          <w:sz w:val="24"/>
          <w:szCs w:val="24"/>
          <w:lang w:eastAsia="en-GB"/>
        </w:rPr>
        <w:br/>
        <w:t>Explore: AMR impact</w:t>
      </w:r>
    </w:p>
    <w:p w14:paraId="093682C6" w14:textId="77777777" w:rsidR="009B0996" w:rsidRPr="009B0996" w:rsidRDefault="009B0996" w:rsidP="009B099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3. Background &amp; Context (Short, Evidence</w:t>
      </w:r>
      <w:r w:rsidRPr="009B0996">
        <w:rPr>
          <w:rFonts w:ascii="Times New Roman" w:eastAsia="Times New Roman" w:hAnsi="Times New Roman" w:cs="Times New Roman"/>
          <w:b/>
          <w:bCs/>
          <w:color w:val="auto"/>
          <w:sz w:val="24"/>
          <w:szCs w:val="24"/>
          <w:lang w:eastAsia="en-GB"/>
        </w:rPr>
        <w:noBreakHyphen/>
        <w:t>Based)</w:t>
      </w:r>
    </w:p>
    <w:p w14:paraId="0B438CBF" w14:textId="77777777" w:rsidR="009B0996" w:rsidRPr="009B0996" w:rsidRDefault="009B0996" w:rsidP="009B0996">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Brief overview of AMR in Africa</w:t>
      </w:r>
    </w:p>
    <w:p w14:paraId="397B324F" w14:textId="77777777" w:rsidR="009B0996" w:rsidRPr="009B0996" w:rsidRDefault="009B0996" w:rsidP="009B0996">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Relevance to health security, UHC, and One Health</w:t>
      </w:r>
    </w:p>
    <w:p w14:paraId="01AF885E" w14:textId="2AC73B5E" w:rsidR="009B0996" w:rsidRPr="009B0996" w:rsidRDefault="009B0996" w:rsidP="009B0996">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Link to the upcoming Inter</w:t>
      </w:r>
      <w:r w:rsidRPr="009B0996">
        <w:rPr>
          <w:rFonts w:ascii="Times New Roman" w:eastAsia="Times New Roman" w:hAnsi="Times New Roman" w:cs="Times New Roman"/>
          <w:color w:val="auto"/>
          <w:sz w:val="24"/>
          <w:szCs w:val="24"/>
          <w:lang w:eastAsia="en-GB"/>
        </w:rPr>
        <w:noBreakHyphen/>
        <w:t>Ministerial Conference</w:t>
      </w:r>
      <w:r w:rsidRPr="009B0996">
        <w:rPr>
          <w:rFonts w:ascii="Times New Roman" w:eastAsia="Times New Roman" w:hAnsi="Times New Roman" w:cs="Times New Roman"/>
          <w:color w:val="auto"/>
          <w:sz w:val="24"/>
          <w:szCs w:val="24"/>
          <w:lang w:eastAsia="en-GB"/>
        </w:rPr>
        <w:br/>
        <w:t>Explore: One Health</w:t>
      </w:r>
    </w:p>
    <w:p w14:paraId="460F373E" w14:textId="77777777" w:rsidR="009B0996" w:rsidRPr="009B0996" w:rsidRDefault="009B0996" w:rsidP="009B099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4. Author Expertise (Staff Profile Section)</w:t>
      </w:r>
    </w:p>
    <w:p w14:paraId="50C72F19" w14:textId="77777777" w:rsidR="009B0996" w:rsidRPr="009B0996" w:rsidRDefault="009B0996" w:rsidP="009B0996">
      <w:p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A short, authoritative paragraph highlighting the lead author’s AMR expertise:</w:t>
      </w:r>
    </w:p>
    <w:p w14:paraId="0466C04E" w14:textId="77777777" w:rsidR="009B0996" w:rsidRPr="009B0996" w:rsidRDefault="009B0996" w:rsidP="009B0996">
      <w:pPr>
        <w:numPr>
          <w:ilvl w:val="0"/>
          <w:numId w:val="3"/>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Multidisciplinary background (BMLS, MSc, MPH, PhD)</w:t>
      </w:r>
    </w:p>
    <w:p w14:paraId="74EC2B3A" w14:textId="77777777" w:rsidR="009B0996" w:rsidRPr="009B0996" w:rsidRDefault="009B0996" w:rsidP="009B0996">
      <w:pPr>
        <w:numPr>
          <w:ilvl w:val="0"/>
          <w:numId w:val="3"/>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Fellowships (MLSCN, NFELTP)</w:t>
      </w:r>
    </w:p>
    <w:p w14:paraId="2343476F" w14:textId="77777777" w:rsidR="009B0996" w:rsidRPr="009B0996" w:rsidRDefault="009B0996" w:rsidP="009B0996">
      <w:pPr>
        <w:numPr>
          <w:ilvl w:val="0"/>
          <w:numId w:val="3"/>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One Health Laboratory Advisor for the Georgetown University Fleming Fund Project in Rwanda</w:t>
      </w:r>
    </w:p>
    <w:p w14:paraId="67182E6F" w14:textId="77777777" w:rsidR="009B0996" w:rsidRPr="009B0996" w:rsidRDefault="009B0996" w:rsidP="009B0996">
      <w:pPr>
        <w:numPr>
          <w:ilvl w:val="0"/>
          <w:numId w:val="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Expertise in surveillance, genomics, laboratory systems, and policy translation</w:t>
      </w:r>
    </w:p>
    <w:p w14:paraId="25BA529C" w14:textId="77777777" w:rsidR="009B0996" w:rsidRPr="009B0996" w:rsidRDefault="009B0996" w:rsidP="009B0996">
      <w:pPr>
        <w:numPr>
          <w:ilvl w:val="0"/>
          <w:numId w:val="3"/>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Publications and conference contributions</w:t>
      </w:r>
      <w:r w:rsidRPr="009B0996">
        <w:rPr>
          <w:rFonts w:ascii="Times New Roman" w:eastAsia="Times New Roman" w:hAnsi="Times New Roman" w:cs="Times New Roman"/>
          <w:color w:val="auto"/>
          <w:sz w:val="24"/>
          <w:szCs w:val="24"/>
          <w:lang w:eastAsia="en-GB"/>
        </w:rPr>
        <w:br/>
        <w:t>Explore: AMR expertise</w:t>
      </w:r>
    </w:p>
    <w:p w14:paraId="307E0C82" w14:textId="37A344A6" w:rsidR="009B0996" w:rsidRPr="009B0996" w:rsidRDefault="009B0996" w:rsidP="009B0996">
      <w:p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This section builds credibility and positions the brief as technically sound.</w:t>
      </w:r>
    </w:p>
    <w:p w14:paraId="6EB2AE37" w14:textId="77777777" w:rsidR="009B0996" w:rsidRPr="009B0996" w:rsidRDefault="009B0996" w:rsidP="009B0996">
      <w:pPr>
        <w:spacing w:before="100" w:beforeAutospacing="1" w:after="100" w:afterAutospacing="1" w:line="240" w:lineRule="auto"/>
        <w:outlineLvl w:val="0"/>
        <w:rPr>
          <w:rFonts w:ascii="Times New Roman" w:eastAsia="Times New Roman" w:hAnsi="Times New Roman" w:cs="Times New Roman"/>
          <w:b/>
          <w:bCs/>
          <w:color w:val="EE0000"/>
          <w:kern w:val="36"/>
          <w:sz w:val="36"/>
          <w:szCs w:val="36"/>
          <w:lang w:eastAsia="en-GB"/>
        </w:rPr>
      </w:pPr>
      <w:r w:rsidRPr="009B0996">
        <w:rPr>
          <w:rFonts w:ascii="Times New Roman" w:eastAsia="Times New Roman" w:hAnsi="Times New Roman" w:cs="Times New Roman"/>
          <w:b/>
          <w:bCs/>
          <w:color w:val="EE0000"/>
          <w:kern w:val="36"/>
          <w:sz w:val="36"/>
          <w:szCs w:val="36"/>
          <w:lang w:eastAsia="en-GB"/>
        </w:rPr>
        <w:t>PAGE 2</w:t>
      </w:r>
    </w:p>
    <w:p w14:paraId="57D26FC3" w14:textId="77777777" w:rsidR="009B0996" w:rsidRPr="009B0996" w:rsidRDefault="009B0996" w:rsidP="009B099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5. Key Issues / Problem Statement (3–5 bullet points)</w:t>
      </w:r>
    </w:p>
    <w:p w14:paraId="3F166860" w14:textId="77777777" w:rsidR="009B0996" w:rsidRPr="009B0996" w:rsidRDefault="009B0996" w:rsidP="009B0996">
      <w:p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lastRenderedPageBreak/>
        <w:t>Clearly articulate the challenge.</w:t>
      </w:r>
      <w:r w:rsidRPr="009B0996">
        <w:rPr>
          <w:rFonts w:ascii="Times New Roman" w:eastAsia="Times New Roman" w:hAnsi="Times New Roman" w:cs="Times New Roman"/>
          <w:color w:val="auto"/>
          <w:sz w:val="24"/>
          <w:szCs w:val="24"/>
          <w:lang w:eastAsia="en-GB"/>
        </w:rPr>
        <w:br/>
        <w:t>Examples:</w:t>
      </w:r>
    </w:p>
    <w:p w14:paraId="59AF113A" w14:textId="77777777" w:rsidR="009B0996" w:rsidRPr="009B0996" w:rsidRDefault="009B0996" w:rsidP="009B0996">
      <w:pPr>
        <w:numPr>
          <w:ilvl w:val="0"/>
          <w:numId w:val="4"/>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Weak surveillance coverage</w:t>
      </w:r>
    </w:p>
    <w:p w14:paraId="2C34BC8E" w14:textId="77777777" w:rsidR="009B0996" w:rsidRPr="009B0996" w:rsidRDefault="009B0996" w:rsidP="009B0996">
      <w:pPr>
        <w:numPr>
          <w:ilvl w:val="0"/>
          <w:numId w:val="4"/>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Limited genomic capacity</w:t>
      </w:r>
    </w:p>
    <w:p w14:paraId="7E326F4B" w14:textId="77777777" w:rsidR="009B0996" w:rsidRPr="009B0996" w:rsidRDefault="009B0996" w:rsidP="009B0996">
      <w:pPr>
        <w:numPr>
          <w:ilvl w:val="0"/>
          <w:numId w:val="4"/>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Data quality and reporting gaps</w:t>
      </w:r>
    </w:p>
    <w:p w14:paraId="306947CC" w14:textId="2AE57D44" w:rsidR="009B0996" w:rsidRPr="009B0996" w:rsidRDefault="009B0996" w:rsidP="009B0996">
      <w:pPr>
        <w:numPr>
          <w:ilvl w:val="0"/>
          <w:numId w:val="4"/>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Inadequate AMS and IPC implementation</w:t>
      </w:r>
      <w:r w:rsidRPr="009B0996">
        <w:rPr>
          <w:rFonts w:ascii="Times New Roman" w:eastAsia="Times New Roman" w:hAnsi="Times New Roman" w:cs="Times New Roman"/>
          <w:color w:val="auto"/>
          <w:sz w:val="24"/>
          <w:szCs w:val="24"/>
          <w:lang w:eastAsia="en-GB"/>
        </w:rPr>
        <w:br/>
        <w:t>Explore: AMR governance</w:t>
      </w:r>
    </w:p>
    <w:p w14:paraId="51F43BBE" w14:textId="77777777" w:rsidR="009B0996" w:rsidRPr="009B0996" w:rsidRDefault="009B0996" w:rsidP="009B099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6. Evidence &amp; Insights (Short, High</w:t>
      </w:r>
      <w:r w:rsidRPr="009B0996">
        <w:rPr>
          <w:rFonts w:ascii="Times New Roman" w:eastAsia="Times New Roman" w:hAnsi="Times New Roman" w:cs="Times New Roman"/>
          <w:b/>
          <w:bCs/>
          <w:color w:val="auto"/>
          <w:sz w:val="24"/>
          <w:szCs w:val="24"/>
          <w:lang w:eastAsia="en-GB"/>
        </w:rPr>
        <w:noBreakHyphen/>
        <w:t>Impact)</w:t>
      </w:r>
    </w:p>
    <w:p w14:paraId="21A4D1AD" w14:textId="77777777" w:rsidR="009B0996" w:rsidRPr="009B0996" w:rsidRDefault="009B0996" w:rsidP="009B0996">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What the data shows</w:t>
      </w:r>
    </w:p>
    <w:p w14:paraId="4B0C91AB" w14:textId="77777777" w:rsidR="009B0996" w:rsidRPr="009B0996" w:rsidRDefault="009B0996" w:rsidP="009B0996">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Trends across countries</w:t>
      </w:r>
    </w:p>
    <w:p w14:paraId="3C3D3353" w14:textId="77777777" w:rsidR="009B0996" w:rsidRPr="009B0996" w:rsidRDefault="009B0996" w:rsidP="009B0996">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Lessons from field implementation (e.g., Rwanda, Nigeria, East Africa)</w:t>
      </w:r>
    </w:p>
    <w:p w14:paraId="3A8801FB" w14:textId="284E9C18" w:rsidR="009B0996" w:rsidRPr="009B0996" w:rsidRDefault="009B0996" w:rsidP="009B0996">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Relevant global frameworks (GLASS, WHO, Africa CDC)</w:t>
      </w:r>
      <w:r w:rsidRPr="009B0996">
        <w:rPr>
          <w:rFonts w:ascii="Times New Roman" w:eastAsia="Times New Roman" w:hAnsi="Times New Roman" w:cs="Times New Roman"/>
          <w:color w:val="auto"/>
          <w:sz w:val="24"/>
          <w:szCs w:val="24"/>
          <w:lang w:eastAsia="en-GB"/>
        </w:rPr>
        <w:br/>
        <w:t>Explore: GLASS</w:t>
      </w:r>
    </w:p>
    <w:p w14:paraId="0EC0DFDD" w14:textId="77777777" w:rsidR="009B0996" w:rsidRPr="009B0996" w:rsidRDefault="009B0996" w:rsidP="009B099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7. Policy Options / Recommendations (Actionable, Africa</w:t>
      </w:r>
      <w:r w:rsidRPr="009B0996">
        <w:rPr>
          <w:rFonts w:ascii="Times New Roman" w:eastAsia="Times New Roman" w:hAnsi="Times New Roman" w:cs="Times New Roman"/>
          <w:b/>
          <w:bCs/>
          <w:color w:val="auto"/>
          <w:sz w:val="24"/>
          <w:szCs w:val="24"/>
          <w:lang w:eastAsia="en-GB"/>
        </w:rPr>
        <w:noBreakHyphen/>
        <w:t>Focused)</w:t>
      </w:r>
    </w:p>
    <w:p w14:paraId="1858E76C" w14:textId="77777777" w:rsidR="009B0996" w:rsidRPr="009B0996" w:rsidRDefault="009B0996" w:rsidP="009B0996">
      <w:p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 xml:space="preserve">Provide </w:t>
      </w:r>
      <w:r w:rsidRPr="009B0996">
        <w:rPr>
          <w:rFonts w:ascii="Times New Roman" w:eastAsia="Times New Roman" w:hAnsi="Times New Roman" w:cs="Times New Roman"/>
          <w:b/>
          <w:bCs/>
          <w:color w:val="auto"/>
          <w:sz w:val="24"/>
          <w:szCs w:val="24"/>
          <w:lang w:eastAsia="en-GB"/>
        </w:rPr>
        <w:t>3–5 clear recommendations</w:t>
      </w:r>
      <w:r w:rsidRPr="009B0996">
        <w:rPr>
          <w:rFonts w:ascii="Times New Roman" w:eastAsia="Times New Roman" w:hAnsi="Times New Roman" w:cs="Times New Roman"/>
          <w:color w:val="auto"/>
          <w:sz w:val="24"/>
          <w:szCs w:val="24"/>
          <w:lang w:eastAsia="en-GB"/>
        </w:rPr>
        <w:t>, such as:</w:t>
      </w:r>
    </w:p>
    <w:p w14:paraId="25B2CE50" w14:textId="77777777" w:rsidR="009B0996" w:rsidRPr="009B0996" w:rsidRDefault="009B0996" w:rsidP="009B0996">
      <w:pPr>
        <w:numPr>
          <w:ilvl w:val="0"/>
          <w:numId w:val="6"/>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Strengthen national AMR surveillance systems</w:t>
      </w:r>
    </w:p>
    <w:p w14:paraId="57A18FC1" w14:textId="77777777" w:rsidR="009B0996" w:rsidRPr="009B0996" w:rsidRDefault="009B0996" w:rsidP="009B0996">
      <w:pPr>
        <w:numPr>
          <w:ilvl w:val="0"/>
          <w:numId w:val="6"/>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Expand genomic sequencing capacity</w:t>
      </w:r>
    </w:p>
    <w:p w14:paraId="6C14BDE5" w14:textId="77777777" w:rsidR="009B0996" w:rsidRPr="009B0996" w:rsidRDefault="009B0996" w:rsidP="009B0996">
      <w:pPr>
        <w:numPr>
          <w:ilvl w:val="0"/>
          <w:numId w:val="6"/>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Integrate AMR data into digital platforms (e.g., WHONET)</w:t>
      </w:r>
    </w:p>
    <w:p w14:paraId="72C5F1C6" w14:textId="77777777" w:rsidR="009B0996" w:rsidRPr="009B0996" w:rsidRDefault="009B0996" w:rsidP="009B0996">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Invest in AMS and IPC programs</w:t>
      </w:r>
    </w:p>
    <w:p w14:paraId="5DDC25D2" w14:textId="3CF457DA" w:rsidR="009B0996" w:rsidRPr="009B0996" w:rsidRDefault="009B0996" w:rsidP="009B0996">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Enhance cross</w:t>
      </w:r>
      <w:r w:rsidRPr="009B0996">
        <w:rPr>
          <w:rFonts w:ascii="Times New Roman" w:eastAsia="Times New Roman" w:hAnsi="Times New Roman" w:cs="Times New Roman"/>
          <w:color w:val="auto"/>
          <w:sz w:val="24"/>
          <w:szCs w:val="24"/>
          <w:lang w:eastAsia="en-GB"/>
        </w:rPr>
        <w:noBreakHyphen/>
        <w:t>border collaboration</w:t>
      </w:r>
      <w:r w:rsidRPr="009B0996">
        <w:rPr>
          <w:rFonts w:ascii="Times New Roman" w:eastAsia="Times New Roman" w:hAnsi="Times New Roman" w:cs="Times New Roman"/>
          <w:color w:val="auto"/>
          <w:sz w:val="24"/>
          <w:szCs w:val="24"/>
          <w:lang w:eastAsia="en-GB"/>
        </w:rPr>
        <w:br/>
        <w:t>Explore: AMR policy</w:t>
      </w:r>
    </w:p>
    <w:p w14:paraId="61A3E020" w14:textId="77777777" w:rsidR="009B0996" w:rsidRPr="009B0996" w:rsidRDefault="009B0996" w:rsidP="009B099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8. Implementation Considerations (Practical Steps)</w:t>
      </w:r>
    </w:p>
    <w:p w14:paraId="66DA089C" w14:textId="77777777" w:rsidR="009B0996" w:rsidRPr="009B0996" w:rsidRDefault="009B0996" w:rsidP="009B0996">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Required resources</w:t>
      </w:r>
    </w:p>
    <w:p w14:paraId="55893278" w14:textId="77777777" w:rsidR="009B0996" w:rsidRPr="009B0996" w:rsidRDefault="009B0996" w:rsidP="009B0996">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Key actors (MoH, MoA, MoE, NPHIs, RCCs)</w:t>
      </w:r>
    </w:p>
    <w:p w14:paraId="0B6211B8" w14:textId="77777777" w:rsidR="009B0996" w:rsidRPr="009B0996" w:rsidRDefault="009B0996" w:rsidP="009B0996">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Timelines</w:t>
      </w:r>
    </w:p>
    <w:p w14:paraId="7948FB58" w14:textId="308A768B" w:rsidR="009B0996" w:rsidRPr="009B0996" w:rsidRDefault="009B0996" w:rsidP="009B0996">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Risks and mitigation</w:t>
      </w:r>
      <w:r w:rsidRPr="009B0996">
        <w:rPr>
          <w:rFonts w:ascii="Times New Roman" w:eastAsia="Times New Roman" w:hAnsi="Times New Roman" w:cs="Times New Roman"/>
          <w:color w:val="auto"/>
          <w:sz w:val="24"/>
          <w:szCs w:val="24"/>
          <w:lang w:eastAsia="en-GB"/>
        </w:rPr>
        <w:br/>
        <w:t>Explore: Health systems</w:t>
      </w:r>
    </w:p>
    <w:p w14:paraId="7FDF623D" w14:textId="77777777" w:rsidR="009B0996" w:rsidRPr="009B0996" w:rsidRDefault="009B0996" w:rsidP="009B099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9. Call to Action (Strong Closing Paragraph)</w:t>
      </w:r>
    </w:p>
    <w:p w14:paraId="37C8C75B" w14:textId="77777777" w:rsidR="009B0996" w:rsidRPr="009B0996" w:rsidRDefault="009B0996" w:rsidP="009B0996">
      <w:p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 xml:space="preserve">A compelling statement linking the brief to the </w:t>
      </w:r>
      <w:r w:rsidRPr="009B0996">
        <w:rPr>
          <w:rFonts w:ascii="Times New Roman" w:eastAsia="Times New Roman" w:hAnsi="Times New Roman" w:cs="Times New Roman"/>
          <w:b/>
          <w:bCs/>
          <w:color w:val="auto"/>
          <w:sz w:val="24"/>
          <w:szCs w:val="24"/>
          <w:lang w:eastAsia="en-GB"/>
        </w:rPr>
        <w:t>June 28 Inter</w:t>
      </w:r>
      <w:r w:rsidRPr="009B0996">
        <w:rPr>
          <w:rFonts w:ascii="Times New Roman" w:eastAsia="Times New Roman" w:hAnsi="Times New Roman" w:cs="Times New Roman"/>
          <w:b/>
          <w:bCs/>
          <w:color w:val="auto"/>
          <w:sz w:val="24"/>
          <w:szCs w:val="24"/>
          <w:lang w:eastAsia="en-GB"/>
        </w:rPr>
        <w:noBreakHyphen/>
        <w:t>Ministerial Conference</w:t>
      </w:r>
      <w:r w:rsidRPr="009B0996">
        <w:rPr>
          <w:rFonts w:ascii="Times New Roman" w:eastAsia="Times New Roman" w:hAnsi="Times New Roman" w:cs="Times New Roman"/>
          <w:color w:val="auto"/>
          <w:sz w:val="24"/>
          <w:szCs w:val="24"/>
          <w:lang w:eastAsia="en-GB"/>
        </w:rPr>
        <w:t>, urging:</w:t>
      </w:r>
    </w:p>
    <w:p w14:paraId="2C94B804" w14:textId="77777777" w:rsidR="009B0996" w:rsidRPr="009B0996" w:rsidRDefault="009B0996" w:rsidP="009B0996">
      <w:pPr>
        <w:numPr>
          <w:ilvl w:val="0"/>
          <w:numId w:val="8"/>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Political commitment</w:t>
      </w:r>
    </w:p>
    <w:p w14:paraId="60642FA4" w14:textId="77777777" w:rsidR="009B0996" w:rsidRPr="009B0996" w:rsidRDefault="009B0996" w:rsidP="009B0996">
      <w:pPr>
        <w:numPr>
          <w:ilvl w:val="0"/>
          <w:numId w:val="8"/>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Investment</w:t>
      </w:r>
    </w:p>
    <w:p w14:paraId="7E849DA3" w14:textId="77777777" w:rsidR="009B0996" w:rsidRPr="009B0996" w:rsidRDefault="009B0996" w:rsidP="009B0996">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Cross</w:t>
      </w:r>
      <w:r w:rsidRPr="009B0996">
        <w:rPr>
          <w:rFonts w:ascii="Times New Roman" w:eastAsia="Times New Roman" w:hAnsi="Times New Roman" w:cs="Times New Roman"/>
          <w:color w:val="auto"/>
          <w:sz w:val="24"/>
          <w:szCs w:val="24"/>
          <w:lang w:eastAsia="en-GB"/>
        </w:rPr>
        <w:noBreakHyphen/>
        <w:t>sector collaboration</w:t>
      </w:r>
    </w:p>
    <w:p w14:paraId="64C6B13E" w14:textId="2D47BB24" w:rsidR="009B0996" w:rsidRPr="009B0996" w:rsidRDefault="009B0996" w:rsidP="009B0996">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Adoption of evidence</w:t>
      </w:r>
      <w:r w:rsidRPr="009B0996">
        <w:rPr>
          <w:rFonts w:ascii="Times New Roman" w:eastAsia="Times New Roman" w:hAnsi="Times New Roman" w:cs="Times New Roman"/>
          <w:color w:val="auto"/>
          <w:sz w:val="24"/>
          <w:szCs w:val="24"/>
          <w:lang w:eastAsia="en-GB"/>
        </w:rPr>
        <w:noBreakHyphen/>
        <w:t>based AMR strategies</w:t>
      </w:r>
      <w:r w:rsidRPr="009B0996">
        <w:rPr>
          <w:rFonts w:ascii="Times New Roman" w:eastAsia="Times New Roman" w:hAnsi="Times New Roman" w:cs="Times New Roman"/>
          <w:color w:val="auto"/>
          <w:sz w:val="24"/>
          <w:szCs w:val="24"/>
          <w:lang w:eastAsia="en-GB"/>
        </w:rPr>
        <w:br/>
        <w:t>Explore: AMR strategy</w:t>
      </w:r>
    </w:p>
    <w:p w14:paraId="358A84C5" w14:textId="77777777" w:rsidR="009B0996" w:rsidRPr="009B0996" w:rsidRDefault="009B0996" w:rsidP="009B0996">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9B0996">
        <w:rPr>
          <w:rFonts w:ascii="Times New Roman" w:eastAsia="Times New Roman" w:hAnsi="Times New Roman" w:cs="Times New Roman"/>
          <w:b/>
          <w:bCs/>
          <w:color w:val="auto"/>
          <w:sz w:val="24"/>
          <w:szCs w:val="24"/>
          <w:lang w:eastAsia="en-GB"/>
        </w:rPr>
        <w:t>10. References (Short, Selective)</w:t>
      </w:r>
    </w:p>
    <w:p w14:paraId="1E144CF7" w14:textId="77777777" w:rsidR="009B0996" w:rsidRPr="009B0996" w:rsidRDefault="009B0996" w:rsidP="009B0996">
      <w:p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3–5 key sources:</w:t>
      </w:r>
    </w:p>
    <w:p w14:paraId="0BD95994" w14:textId="77777777" w:rsidR="009B0996" w:rsidRPr="009B0996" w:rsidRDefault="009B0996" w:rsidP="009B0996">
      <w:pPr>
        <w:numPr>
          <w:ilvl w:val="0"/>
          <w:numId w:val="9"/>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WHO</w:t>
      </w:r>
    </w:p>
    <w:p w14:paraId="2C4E3EEF" w14:textId="77777777" w:rsidR="009B0996" w:rsidRPr="009B0996" w:rsidRDefault="009B0996" w:rsidP="009B0996">
      <w:pPr>
        <w:numPr>
          <w:ilvl w:val="0"/>
          <w:numId w:val="9"/>
        </w:numPr>
        <w:spacing w:after="0"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Africa CDC</w:t>
      </w:r>
    </w:p>
    <w:p w14:paraId="50D12B31" w14:textId="77777777" w:rsidR="009B0996" w:rsidRPr="009B0996" w:rsidRDefault="009B0996" w:rsidP="009B0996">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t>Fleming Fund</w:t>
      </w:r>
    </w:p>
    <w:p w14:paraId="0372E4E0" w14:textId="77777777" w:rsidR="009B0996" w:rsidRPr="009B0996" w:rsidRDefault="009B0996" w:rsidP="009B0996">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9B0996">
        <w:rPr>
          <w:rFonts w:ascii="Times New Roman" w:eastAsia="Times New Roman" w:hAnsi="Times New Roman" w:cs="Times New Roman"/>
          <w:color w:val="auto"/>
          <w:sz w:val="24"/>
          <w:szCs w:val="24"/>
          <w:lang w:eastAsia="en-GB"/>
        </w:rPr>
        <w:lastRenderedPageBreak/>
        <w:t>Peer</w:t>
      </w:r>
      <w:r w:rsidRPr="009B0996">
        <w:rPr>
          <w:rFonts w:ascii="Times New Roman" w:eastAsia="Times New Roman" w:hAnsi="Times New Roman" w:cs="Times New Roman"/>
          <w:color w:val="auto"/>
          <w:sz w:val="24"/>
          <w:szCs w:val="24"/>
          <w:lang w:eastAsia="en-GB"/>
        </w:rPr>
        <w:noBreakHyphen/>
        <w:t>reviewed publications</w:t>
      </w:r>
    </w:p>
    <w:p w14:paraId="6711175D" w14:textId="77777777" w:rsidR="004B5C16" w:rsidRDefault="004B5C16"/>
    <w:sectPr w:rsidR="004B5C16" w:rsidSect="007A0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5033"/>
    <w:multiLevelType w:val="multilevel"/>
    <w:tmpl w:val="E9A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A015E"/>
    <w:multiLevelType w:val="multilevel"/>
    <w:tmpl w:val="4FF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1FFD"/>
    <w:multiLevelType w:val="multilevel"/>
    <w:tmpl w:val="04CEB952"/>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25412B"/>
    <w:multiLevelType w:val="multilevel"/>
    <w:tmpl w:val="83CA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F32D4"/>
    <w:multiLevelType w:val="multilevel"/>
    <w:tmpl w:val="715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E7A30"/>
    <w:multiLevelType w:val="multilevel"/>
    <w:tmpl w:val="A4F2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73BBA"/>
    <w:multiLevelType w:val="multilevel"/>
    <w:tmpl w:val="30A0BF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7FF64DE"/>
    <w:multiLevelType w:val="multilevel"/>
    <w:tmpl w:val="DC0A1A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9FF311F"/>
    <w:multiLevelType w:val="multilevel"/>
    <w:tmpl w:val="572A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B1767"/>
    <w:multiLevelType w:val="multilevel"/>
    <w:tmpl w:val="24C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77F94"/>
    <w:multiLevelType w:val="multilevel"/>
    <w:tmpl w:val="303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37CDB"/>
    <w:multiLevelType w:val="multilevel"/>
    <w:tmpl w:val="6D84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10D6A"/>
    <w:multiLevelType w:val="multilevel"/>
    <w:tmpl w:val="79F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E4FBA"/>
    <w:multiLevelType w:val="multilevel"/>
    <w:tmpl w:val="CD3278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F4F4B6B"/>
    <w:multiLevelType w:val="multilevel"/>
    <w:tmpl w:val="F6BE6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6162200"/>
    <w:multiLevelType w:val="multilevel"/>
    <w:tmpl w:val="1F8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1213A"/>
    <w:multiLevelType w:val="multilevel"/>
    <w:tmpl w:val="C11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815BA"/>
    <w:multiLevelType w:val="multilevel"/>
    <w:tmpl w:val="5E9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252A9"/>
    <w:multiLevelType w:val="multilevel"/>
    <w:tmpl w:val="A42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F4DF8"/>
    <w:multiLevelType w:val="multilevel"/>
    <w:tmpl w:val="B066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164350">
    <w:abstractNumId w:val="0"/>
  </w:num>
  <w:num w:numId="2" w16cid:durableId="522715697">
    <w:abstractNumId w:val="8"/>
  </w:num>
  <w:num w:numId="3" w16cid:durableId="1387484170">
    <w:abstractNumId w:val="10"/>
  </w:num>
  <w:num w:numId="4" w16cid:durableId="706376857">
    <w:abstractNumId w:val="11"/>
  </w:num>
  <w:num w:numId="5" w16cid:durableId="1408111006">
    <w:abstractNumId w:val="17"/>
  </w:num>
  <w:num w:numId="6" w16cid:durableId="61022666">
    <w:abstractNumId w:val="19"/>
  </w:num>
  <w:num w:numId="7" w16cid:durableId="891618668">
    <w:abstractNumId w:val="18"/>
  </w:num>
  <w:num w:numId="8" w16cid:durableId="954364894">
    <w:abstractNumId w:val="9"/>
  </w:num>
  <w:num w:numId="9" w16cid:durableId="639581732">
    <w:abstractNumId w:val="16"/>
  </w:num>
  <w:num w:numId="10" w16cid:durableId="1626888656">
    <w:abstractNumId w:val="12"/>
  </w:num>
  <w:num w:numId="11" w16cid:durableId="1170557154">
    <w:abstractNumId w:val="13"/>
  </w:num>
  <w:num w:numId="12" w16cid:durableId="1693873220">
    <w:abstractNumId w:val="14"/>
  </w:num>
  <w:num w:numId="13" w16cid:durableId="504365639">
    <w:abstractNumId w:val="6"/>
  </w:num>
  <w:num w:numId="14" w16cid:durableId="918101718">
    <w:abstractNumId w:val="1"/>
  </w:num>
  <w:num w:numId="15" w16cid:durableId="1930699698">
    <w:abstractNumId w:val="7"/>
  </w:num>
  <w:num w:numId="16" w16cid:durableId="457337793">
    <w:abstractNumId w:val="2"/>
  </w:num>
  <w:num w:numId="17" w16cid:durableId="238641252">
    <w:abstractNumId w:val="3"/>
  </w:num>
  <w:num w:numId="18" w16cid:durableId="1003627272">
    <w:abstractNumId w:val="4"/>
  </w:num>
  <w:num w:numId="19" w16cid:durableId="1949969543">
    <w:abstractNumId w:val="5"/>
  </w:num>
  <w:num w:numId="20" w16cid:durableId="3883841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96"/>
    <w:rsid w:val="001C4C2E"/>
    <w:rsid w:val="004A4627"/>
    <w:rsid w:val="004B5C16"/>
    <w:rsid w:val="00557F89"/>
    <w:rsid w:val="00584449"/>
    <w:rsid w:val="005E0966"/>
    <w:rsid w:val="00661472"/>
    <w:rsid w:val="006A0040"/>
    <w:rsid w:val="007A08AB"/>
    <w:rsid w:val="00806E1C"/>
    <w:rsid w:val="009B0996"/>
    <w:rsid w:val="009F2251"/>
    <w:rsid w:val="00BC0DE3"/>
    <w:rsid w:val="00C679D7"/>
    <w:rsid w:val="00DA202C"/>
    <w:rsid w:val="00F4612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93F5"/>
  <w15:chartTrackingRefBased/>
  <w15:docId w15:val="{A272CA88-FD3C-6A45-A383-A57B08AE6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6A0040"/>
    <w:pPr>
      <w:spacing w:after="160" w:line="259" w:lineRule="auto"/>
    </w:pPr>
    <w:rPr>
      <w:color w:val="156082" w:themeColor="accent1"/>
      <w:kern w:val="0"/>
      <w:sz w:val="22"/>
      <w:szCs w:val="22"/>
      <w:lang w:val="en-NG"/>
      <w14:ligatures w14:val="none"/>
    </w:rPr>
  </w:style>
  <w:style w:type="paragraph" w:styleId="Heading1">
    <w:name w:val="heading 1"/>
    <w:basedOn w:val="Normal"/>
    <w:next w:val="Normal"/>
    <w:link w:val="Heading1Char"/>
    <w:uiPriority w:val="9"/>
    <w:qFormat/>
    <w:rsid w:val="009B0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0040"/>
    <w:rPr>
      <w:color w:val="156082" w:themeColor="accent1"/>
      <w:kern w:val="0"/>
      <w:sz w:val="22"/>
      <w:szCs w:val="22"/>
      <w:lang w:val="en-NG"/>
      <w14:ligatures w14:val="none"/>
    </w:rPr>
  </w:style>
  <w:style w:type="character" w:styleId="FootnoteReference">
    <w:name w:val="footnote reference"/>
    <w:basedOn w:val="DefaultParagraphFont"/>
    <w:uiPriority w:val="99"/>
    <w:unhideWhenUsed/>
    <w:rsid w:val="009F2251"/>
    <w:rPr>
      <w:vertAlign w:val="superscript"/>
    </w:rPr>
  </w:style>
  <w:style w:type="character" w:customStyle="1" w:styleId="Heading1Char">
    <w:name w:val="Heading 1 Char"/>
    <w:basedOn w:val="DefaultParagraphFont"/>
    <w:link w:val="Heading1"/>
    <w:uiPriority w:val="9"/>
    <w:rsid w:val="009B0996"/>
    <w:rPr>
      <w:rFonts w:asciiTheme="majorHAnsi" w:eastAsiaTheme="majorEastAsia" w:hAnsiTheme="majorHAnsi" w:cstheme="majorBidi"/>
      <w:color w:val="0F4761" w:themeColor="accent1" w:themeShade="BF"/>
      <w:kern w:val="0"/>
      <w:sz w:val="40"/>
      <w:szCs w:val="40"/>
      <w:lang w:val="en-NG"/>
      <w14:ligatures w14:val="none"/>
    </w:rPr>
  </w:style>
  <w:style w:type="character" w:customStyle="1" w:styleId="Heading2Char">
    <w:name w:val="Heading 2 Char"/>
    <w:basedOn w:val="DefaultParagraphFont"/>
    <w:link w:val="Heading2"/>
    <w:uiPriority w:val="9"/>
    <w:rsid w:val="009B0996"/>
    <w:rPr>
      <w:rFonts w:asciiTheme="majorHAnsi" w:eastAsiaTheme="majorEastAsia" w:hAnsiTheme="majorHAnsi" w:cstheme="majorBidi"/>
      <w:color w:val="0F4761" w:themeColor="accent1" w:themeShade="BF"/>
      <w:kern w:val="0"/>
      <w:sz w:val="32"/>
      <w:szCs w:val="32"/>
      <w:lang w:val="en-NG"/>
      <w14:ligatures w14:val="none"/>
    </w:rPr>
  </w:style>
  <w:style w:type="character" w:customStyle="1" w:styleId="Heading3Char">
    <w:name w:val="Heading 3 Char"/>
    <w:basedOn w:val="DefaultParagraphFont"/>
    <w:link w:val="Heading3"/>
    <w:uiPriority w:val="9"/>
    <w:rsid w:val="009B0996"/>
    <w:rPr>
      <w:rFonts w:eastAsiaTheme="majorEastAsia" w:cstheme="majorBidi"/>
      <w:color w:val="0F4761" w:themeColor="accent1" w:themeShade="BF"/>
      <w:kern w:val="0"/>
      <w:sz w:val="28"/>
      <w:szCs w:val="28"/>
      <w:lang w:val="en-NG"/>
      <w14:ligatures w14:val="none"/>
    </w:rPr>
  </w:style>
  <w:style w:type="character" w:customStyle="1" w:styleId="Heading4Char">
    <w:name w:val="Heading 4 Char"/>
    <w:basedOn w:val="DefaultParagraphFont"/>
    <w:link w:val="Heading4"/>
    <w:uiPriority w:val="9"/>
    <w:semiHidden/>
    <w:rsid w:val="009B0996"/>
    <w:rPr>
      <w:rFonts w:eastAsiaTheme="majorEastAsia" w:cstheme="majorBidi"/>
      <w:i/>
      <w:iCs/>
      <w:color w:val="0F4761" w:themeColor="accent1" w:themeShade="BF"/>
      <w:kern w:val="0"/>
      <w:sz w:val="22"/>
      <w:szCs w:val="22"/>
      <w:lang w:val="en-NG"/>
      <w14:ligatures w14:val="none"/>
    </w:rPr>
  </w:style>
  <w:style w:type="character" w:customStyle="1" w:styleId="Heading5Char">
    <w:name w:val="Heading 5 Char"/>
    <w:basedOn w:val="DefaultParagraphFont"/>
    <w:link w:val="Heading5"/>
    <w:uiPriority w:val="9"/>
    <w:semiHidden/>
    <w:rsid w:val="009B0996"/>
    <w:rPr>
      <w:rFonts w:eastAsiaTheme="majorEastAsia" w:cstheme="majorBidi"/>
      <w:color w:val="0F4761" w:themeColor="accent1" w:themeShade="BF"/>
      <w:kern w:val="0"/>
      <w:sz w:val="22"/>
      <w:szCs w:val="22"/>
      <w:lang w:val="en-NG"/>
      <w14:ligatures w14:val="none"/>
    </w:rPr>
  </w:style>
  <w:style w:type="character" w:customStyle="1" w:styleId="Heading6Char">
    <w:name w:val="Heading 6 Char"/>
    <w:basedOn w:val="DefaultParagraphFont"/>
    <w:link w:val="Heading6"/>
    <w:uiPriority w:val="9"/>
    <w:semiHidden/>
    <w:rsid w:val="009B0996"/>
    <w:rPr>
      <w:rFonts w:eastAsiaTheme="majorEastAsia" w:cstheme="majorBidi"/>
      <w:i/>
      <w:iCs/>
      <w:color w:val="595959" w:themeColor="text1" w:themeTint="A6"/>
      <w:kern w:val="0"/>
      <w:sz w:val="22"/>
      <w:szCs w:val="22"/>
      <w:lang w:val="en-NG"/>
      <w14:ligatures w14:val="none"/>
    </w:rPr>
  </w:style>
  <w:style w:type="character" w:customStyle="1" w:styleId="Heading7Char">
    <w:name w:val="Heading 7 Char"/>
    <w:basedOn w:val="DefaultParagraphFont"/>
    <w:link w:val="Heading7"/>
    <w:uiPriority w:val="9"/>
    <w:semiHidden/>
    <w:rsid w:val="009B0996"/>
    <w:rPr>
      <w:rFonts w:eastAsiaTheme="majorEastAsia" w:cstheme="majorBidi"/>
      <w:color w:val="595959" w:themeColor="text1" w:themeTint="A6"/>
      <w:kern w:val="0"/>
      <w:sz w:val="22"/>
      <w:szCs w:val="22"/>
      <w:lang w:val="en-NG"/>
      <w14:ligatures w14:val="none"/>
    </w:rPr>
  </w:style>
  <w:style w:type="character" w:customStyle="1" w:styleId="Heading8Char">
    <w:name w:val="Heading 8 Char"/>
    <w:basedOn w:val="DefaultParagraphFont"/>
    <w:link w:val="Heading8"/>
    <w:uiPriority w:val="9"/>
    <w:semiHidden/>
    <w:rsid w:val="009B0996"/>
    <w:rPr>
      <w:rFonts w:eastAsiaTheme="majorEastAsia" w:cstheme="majorBidi"/>
      <w:i/>
      <w:iCs/>
      <w:color w:val="272727" w:themeColor="text1" w:themeTint="D8"/>
      <w:kern w:val="0"/>
      <w:sz w:val="22"/>
      <w:szCs w:val="22"/>
      <w:lang w:val="en-NG"/>
      <w14:ligatures w14:val="none"/>
    </w:rPr>
  </w:style>
  <w:style w:type="character" w:customStyle="1" w:styleId="Heading9Char">
    <w:name w:val="Heading 9 Char"/>
    <w:basedOn w:val="DefaultParagraphFont"/>
    <w:link w:val="Heading9"/>
    <w:uiPriority w:val="9"/>
    <w:semiHidden/>
    <w:rsid w:val="009B0996"/>
    <w:rPr>
      <w:rFonts w:eastAsiaTheme="majorEastAsia" w:cstheme="majorBidi"/>
      <w:color w:val="272727" w:themeColor="text1" w:themeTint="D8"/>
      <w:kern w:val="0"/>
      <w:sz w:val="22"/>
      <w:szCs w:val="22"/>
      <w:lang w:val="en-NG"/>
      <w14:ligatures w14:val="none"/>
    </w:rPr>
  </w:style>
  <w:style w:type="paragraph" w:styleId="Title">
    <w:name w:val="Title"/>
    <w:basedOn w:val="Normal"/>
    <w:next w:val="Normal"/>
    <w:link w:val="TitleChar"/>
    <w:uiPriority w:val="10"/>
    <w:qFormat/>
    <w:rsid w:val="009B099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0996"/>
    <w:rPr>
      <w:rFonts w:asciiTheme="majorHAnsi" w:eastAsiaTheme="majorEastAsia" w:hAnsiTheme="majorHAnsi" w:cstheme="majorBidi"/>
      <w:spacing w:val="-10"/>
      <w:kern w:val="28"/>
      <w:sz w:val="56"/>
      <w:szCs w:val="56"/>
      <w:lang w:val="en-NG"/>
      <w14:ligatures w14:val="none"/>
    </w:rPr>
  </w:style>
  <w:style w:type="paragraph" w:styleId="Subtitle">
    <w:name w:val="Subtitle"/>
    <w:basedOn w:val="Normal"/>
    <w:next w:val="Normal"/>
    <w:link w:val="SubtitleChar"/>
    <w:uiPriority w:val="11"/>
    <w:qFormat/>
    <w:rsid w:val="009B0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996"/>
    <w:rPr>
      <w:rFonts w:eastAsiaTheme="majorEastAsia" w:cstheme="majorBidi"/>
      <w:color w:val="595959" w:themeColor="text1" w:themeTint="A6"/>
      <w:spacing w:val="15"/>
      <w:kern w:val="0"/>
      <w:sz w:val="28"/>
      <w:szCs w:val="28"/>
      <w:lang w:val="en-NG"/>
      <w14:ligatures w14:val="none"/>
    </w:rPr>
  </w:style>
  <w:style w:type="paragraph" w:styleId="Quote">
    <w:name w:val="Quote"/>
    <w:basedOn w:val="Normal"/>
    <w:next w:val="Normal"/>
    <w:link w:val="QuoteChar"/>
    <w:uiPriority w:val="29"/>
    <w:qFormat/>
    <w:rsid w:val="009B0996"/>
    <w:pPr>
      <w:spacing w:before="160"/>
      <w:jc w:val="center"/>
    </w:pPr>
    <w:rPr>
      <w:i/>
      <w:iCs/>
      <w:color w:val="404040" w:themeColor="text1" w:themeTint="BF"/>
    </w:rPr>
  </w:style>
  <w:style w:type="character" w:customStyle="1" w:styleId="QuoteChar">
    <w:name w:val="Quote Char"/>
    <w:basedOn w:val="DefaultParagraphFont"/>
    <w:link w:val="Quote"/>
    <w:uiPriority w:val="29"/>
    <w:rsid w:val="009B0996"/>
    <w:rPr>
      <w:i/>
      <w:iCs/>
      <w:color w:val="404040" w:themeColor="text1" w:themeTint="BF"/>
      <w:kern w:val="0"/>
      <w:sz w:val="22"/>
      <w:szCs w:val="22"/>
      <w:lang w:val="en-NG"/>
      <w14:ligatures w14:val="none"/>
    </w:rPr>
  </w:style>
  <w:style w:type="paragraph" w:styleId="ListParagraph">
    <w:name w:val="List Paragraph"/>
    <w:basedOn w:val="Normal"/>
    <w:uiPriority w:val="34"/>
    <w:qFormat/>
    <w:rsid w:val="009B0996"/>
    <w:pPr>
      <w:ind w:left="720"/>
      <w:contextualSpacing/>
    </w:pPr>
  </w:style>
  <w:style w:type="character" w:styleId="IntenseEmphasis">
    <w:name w:val="Intense Emphasis"/>
    <w:basedOn w:val="DefaultParagraphFont"/>
    <w:uiPriority w:val="21"/>
    <w:qFormat/>
    <w:rsid w:val="009B0996"/>
    <w:rPr>
      <w:i/>
      <w:iCs/>
      <w:color w:val="0F4761" w:themeColor="accent1" w:themeShade="BF"/>
    </w:rPr>
  </w:style>
  <w:style w:type="paragraph" w:styleId="IntenseQuote">
    <w:name w:val="Intense Quote"/>
    <w:basedOn w:val="Normal"/>
    <w:next w:val="Normal"/>
    <w:link w:val="IntenseQuoteChar"/>
    <w:uiPriority w:val="30"/>
    <w:qFormat/>
    <w:rsid w:val="009B0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996"/>
    <w:rPr>
      <w:i/>
      <w:iCs/>
      <w:color w:val="0F4761" w:themeColor="accent1" w:themeShade="BF"/>
      <w:kern w:val="0"/>
      <w:sz w:val="22"/>
      <w:szCs w:val="22"/>
      <w:lang w:val="en-NG"/>
      <w14:ligatures w14:val="none"/>
    </w:rPr>
  </w:style>
  <w:style w:type="character" w:styleId="IntenseReference">
    <w:name w:val="Intense Reference"/>
    <w:basedOn w:val="DefaultParagraphFont"/>
    <w:uiPriority w:val="32"/>
    <w:qFormat/>
    <w:rsid w:val="009B0996"/>
    <w:rPr>
      <w:b/>
      <w:bCs/>
      <w:smallCaps/>
      <w:color w:val="0F4761" w:themeColor="accent1" w:themeShade="BF"/>
      <w:spacing w:val="5"/>
    </w:rPr>
  </w:style>
  <w:style w:type="paragraph" w:styleId="NormalWeb">
    <w:name w:val="Normal (Web)"/>
    <w:basedOn w:val="Normal"/>
    <w:uiPriority w:val="99"/>
    <w:semiHidden/>
    <w:unhideWhenUsed/>
    <w:rsid w:val="009B0996"/>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styleId="Strong">
    <w:name w:val="Strong"/>
    <w:basedOn w:val="DefaultParagraphFont"/>
    <w:uiPriority w:val="22"/>
    <w:qFormat/>
    <w:rsid w:val="009B0996"/>
    <w:rPr>
      <w:b/>
      <w:bCs/>
    </w:rPr>
  </w:style>
  <w:style w:type="character" w:styleId="Emphasis">
    <w:name w:val="Emphasis"/>
    <w:basedOn w:val="DefaultParagraphFont"/>
    <w:uiPriority w:val="20"/>
    <w:qFormat/>
    <w:rsid w:val="009B09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Piringar Niyang</dc:creator>
  <cp:keywords/>
  <dc:description/>
  <cp:lastModifiedBy>Piringar Niyang</cp:lastModifiedBy>
  <cp:revision>3</cp:revision>
  <dcterms:created xsi:type="dcterms:W3CDTF">2026-02-25T12:17:00Z</dcterms:created>
  <dcterms:modified xsi:type="dcterms:W3CDTF">2026-02-25T12:42:00Z</dcterms:modified>
</cp:coreProperties>
</file>