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4FC3" w14:textId="510FDE29" w:rsidR="00C16620" w:rsidRPr="00684071" w:rsidRDefault="00C16620" w:rsidP="00C16620">
      <w:pPr>
        <w:spacing w:before="100" w:beforeAutospacing="1" w:after="100" w:afterAutospacing="1" w:line="360" w:lineRule="auto"/>
        <w:outlineLvl w:val="2"/>
        <w:rPr>
          <w:b/>
          <w:bCs/>
          <w:kern w:val="36"/>
          <w:sz w:val="32"/>
          <w:szCs w:val="32"/>
        </w:rPr>
      </w:pPr>
      <w:r w:rsidRPr="00684071">
        <w:rPr>
          <w:b/>
          <w:bCs/>
          <w:kern w:val="36"/>
          <w:sz w:val="32"/>
          <w:szCs w:val="32"/>
        </w:rPr>
        <w:t xml:space="preserve">PAGE </w:t>
      </w:r>
      <w:r>
        <w:rPr>
          <w:b/>
          <w:bCs/>
          <w:kern w:val="36"/>
          <w:sz w:val="32"/>
          <w:szCs w:val="32"/>
        </w:rPr>
        <w:t xml:space="preserve">1 - </w:t>
      </w:r>
      <w:r w:rsidRPr="00684071">
        <w:rPr>
          <w:b/>
          <w:bCs/>
          <w:kern w:val="36"/>
          <w:sz w:val="32"/>
          <w:szCs w:val="32"/>
        </w:rPr>
        <w:t>Executive Summary</w:t>
      </w:r>
    </w:p>
    <w:p w14:paraId="103BBBB7" w14:textId="77777777" w:rsidR="00C16620" w:rsidRPr="00684071" w:rsidRDefault="00C16620" w:rsidP="00C16620">
      <w:pPr>
        <w:spacing w:before="100" w:beforeAutospacing="1" w:after="100" w:afterAutospacing="1" w:line="360" w:lineRule="auto"/>
      </w:pPr>
      <w:r w:rsidRPr="00684071">
        <w:t>Antimicrobial resistance (AMR) is accelerating across Africa, driven by high infectious</w:t>
      </w:r>
      <w:r w:rsidRPr="00684071">
        <w:noBreakHyphen/>
        <w:t>disease burdens, limited diagnostics, over</w:t>
      </w:r>
      <w:r w:rsidRPr="00684071">
        <w:noBreakHyphen/>
        <w:t>the</w:t>
      </w:r>
      <w:r w:rsidRPr="00684071">
        <w:noBreakHyphen/>
        <w:t>counter antibiotic access, and environmental contamination. Predictive modeling offers African governments a powerful tool to anticipate AMR trends, identify hotspots, and target interventions where they will have the greatest impact. Using machine</w:t>
      </w:r>
      <w:r w:rsidRPr="00684071">
        <w:noBreakHyphen/>
        <w:t xml:space="preserve">learning models such as </w:t>
      </w:r>
      <w:r w:rsidRPr="00684071">
        <w:rPr>
          <w:b/>
          <w:bCs/>
        </w:rPr>
        <w:t>Random Forest</w:t>
      </w:r>
      <w:r w:rsidRPr="00684071">
        <w:t xml:space="preserve"> and </w:t>
      </w:r>
      <w:r w:rsidRPr="00684071">
        <w:rPr>
          <w:b/>
          <w:bCs/>
        </w:rPr>
        <w:t>Bayesian forecasting</w:t>
      </w:r>
      <w:r w:rsidRPr="00684071">
        <w:t>, ministries can generate early</w:t>
      </w:r>
      <w:r w:rsidRPr="00684071">
        <w:noBreakHyphen/>
        <w:t>warning signals even when surveillance data are incomplete.</w:t>
      </w:r>
    </w:p>
    <w:p w14:paraId="5E9D2715" w14:textId="77777777" w:rsidR="00C16620" w:rsidRPr="00684071" w:rsidRDefault="00C16620" w:rsidP="00C16620">
      <w:pPr>
        <w:spacing w:before="100" w:beforeAutospacing="1" w:after="100" w:afterAutospacing="1" w:line="360" w:lineRule="auto"/>
      </w:pPr>
      <w:r w:rsidRPr="00684071">
        <w:t>This brief outlines how predictive modeling can support national AMR action plans, strengthen health</w:t>
      </w:r>
      <w:r w:rsidRPr="00684071">
        <w:noBreakHyphen/>
        <w:t xml:space="preserve">system resilience, and improve resource allocation across human, animal, and environmental sectors. It provides actionable recommendations for ministers preparing for the </w:t>
      </w:r>
      <w:r w:rsidRPr="00684071">
        <w:rPr>
          <w:b/>
          <w:bCs/>
        </w:rPr>
        <w:t>5th Inter</w:t>
      </w:r>
      <w:r w:rsidRPr="00684071">
        <w:rPr>
          <w:b/>
          <w:bCs/>
        </w:rPr>
        <w:noBreakHyphen/>
        <w:t>Ministerial Conference on Health &amp; AMR (June 2026)</w:t>
      </w:r>
      <w:r w:rsidRPr="00684071">
        <w:t>.</w:t>
      </w:r>
    </w:p>
    <w:p w14:paraId="4DF13508" w14:textId="77777777" w:rsidR="00C16620" w:rsidRPr="00684071" w:rsidRDefault="00C16620" w:rsidP="00C16620">
      <w:pPr>
        <w:spacing w:before="100" w:beforeAutospacing="1" w:after="100" w:afterAutospacing="1" w:line="360" w:lineRule="auto"/>
        <w:outlineLvl w:val="1"/>
        <w:rPr>
          <w:b/>
          <w:bCs/>
        </w:rPr>
      </w:pPr>
      <w:r w:rsidRPr="00684071">
        <w:rPr>
          <w:b/>
          <w:bCs/>
        </w:rPr>
        <w:t>Why This Matters to Policymakers</w:t>
      </w:r>
    </w:p>
    <w:p w14:paraId="398C5D08" w14:textId="77777777" w:rsidR="00C16620" w:rsidRPr="00684071" w:rsidRDefault="00C16620" w:rsidP="00C16620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684071">
        <w:t xml:space="preserve">Enables </w:t>
      </w:r>
      <w:r w:rsidRPr="00684071">
        <w:rPr>
          <w:b/>
          <w:bCs/>
        </w:rPr>
        <w:t>anticipatory governance</w:t>
      </w:r>
      <w:r w:rsidRPr="00684071">
        <w:t xml:space="preserve"> rather than reactive response</w:t>
      </w:r>
    </w:p>
    <w:p w14:paraId="58D9CFAD" w14:textId="77777777" w:rsidR="00C16620" w:rsidRPr="00684071" w:rsidRDefault="00C16620" w:rsidP="00C16620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684071">
        <w:t xml:space="preserve">Supports </w:t>
      </w:r>
      <w:r w:rsidRPr="00684071">
        <w:rPr>
          <w:b/>
          <w:bCs/>
        </w:rPr>
        <w:t>budget justification</w:t>
      </w:r>
      <w:r w:rsidRPr="00684071">
        <w:t xml:space="preserve"> and donor engagement</w:t>
      </w:r>
    </w:p>
    <w:p w14:paraId="3700FC89" w14:textId="77777777" w:rsidR="00C16620" w:rsidRPr="00684071" w:rsidRDefault="00C16620" w:rsidP="00C16620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684071">
        <w:t xml:space="preserve">Identifies </w:t>
      </w:r>
      <w:r w:rsidRPr="00684071">
        <w:rPr>
          <w:b/>
          <w:bCs/>
        </w:rPr>
        <w:t>high</w:t>
      </w:r>
      <w:r w:rsidRPr="00684071">
        <w:rPr>
          <w:b/>
          <w:bCs/>
        </w:rPr>
        <w:noBreakHyphen/>
        <w:t>impact, low</w:t>
      </w:r>
      <w:r w:rsidRPr="00684071">
        <w:rPr>
          <w:b/>
          <w:bCs/>
        </w:rPr>
        <w:noBreakHyphen/>
        <w:t>cost interventions</w:t>
      </w:r>
    </w:p>
    <w:p w14:paraId="3BE4E1B2" w14:textId="77777777" w:rsidR="00C16620" w:rsidRPr="00684071" w:rsidRDefault="00C16620" w:rsidP="00C16620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684071">
        <w:t xml:space="preserve">Strengthens </w:t>
      </w:r>
      <w:r w:rsidRPr="00684071">
        <w:rPr>
          <w:b/>
          <w:bCs/>
        </w:rPr>
        <w:t>One</w:t>
      </w:r>
      <w:r w:rsidRPr="00684071">
        <w:rPr>
          <w:b/>
          <w:bCs/>
        </w:rPr>
        <w:noBreakHyphen/>
        <w:t>Health coordination</w:t>
      </w:r>
      <w:r w:rsidRPr="00684071">
        <w:t xml:space="preserve"> across ministries</w:t>
      </w:r>
    </w:p>
    <w:p w14:paraId="56B33FE8" w14:textId="77777777" w:rsidR="00C16620" w:rsidRPr="00684071" w:rsidRDefault="00C16620" w:rsidP="00C16620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684071">
        <w:t xml:space="preserve">Improves </w:t>
      </w:r>
      <w:r w:rsidRPr="00684071">
        <w:rPr>
          <w:b/>
          <w:bCs/>
        </w:rPr>
        <w:t>national reporting</w:t>
      </w:r>
      <w:r w:rsidRPr="00684071">
        <w:t xml:space="preserve"> to Africa CDC and global partners</w:t>
      </w:r>
    </w:p>
    <w:p w14:paraId="35A783BE" w14:textId="77777777" w:rsidR="00C16620" w:rsidRPr="00684071" w:rsidRDefault="00C16620" w:rsidP="00C16620">
      <w:pPr>
        <w:spacing w:before="100" w:beforeAutospacing="1" w:after="100" w:afterAutospacing="1" w:line="360" w:lineRule="auto"/>
        <w:outlineLvl w:val="1"/>
        <w:rPr>
          <w:b/>
          <w:bCs/>
        </w:rPr>
      </w:pPr>
      <w:r w:rsidRPr="00684071">
        <w:rPr>
          <w:b/>
          <w:bCs/>
        </w:rPr>
        <w:t>Key Findings from Modeling</w:t>
      </w:r>
    </w:p>
    <w:p w14:paraId="7675EF67" w14:textId="77777777" w:rsidR="00C16620" w:rsidRPr="00684071" w:rsidRDefault="00C16620" w:rsidP="00C16620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684071">
        <w:t>AMR hotspots are predictable using routine hospital and pharmacy data</w:t>
      </w:r>
    </w:p>
    <w:p w14:paraId="256E4B64" w14:textId="77777777" w:rsidR="00C16620" w:rsidRPr="00684071" w:rsidRDefault="00C16620" w:rsidP="00C16620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684071">
        <w:t>Bayesian models reduce uncertainty in countries with limited surveillance</w:t>
      </w:r>
    </w:p>
    <w:p w14:paraId="134EF04E" w14:textId="77777777" w:rsidR="00C16620" w:rsidRPr="00684071" w:rsidRDefault="00C16620" w:rsidP="00C16620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684071">
        <w:t>Agent</w:t>
      </w:r>
      <w:r w:rsidRPr="00684071">
        <w:noBreakHyphen/>
        <w:t>based models reveal behavioral drivers of antibiotic misuse</w:t>
      </w:r>
    </w:p>
    <w:p w14:paraId="5665A3EC" w14:textId="77777777" w:rsidR="00C16620" w:rsidRPr="00684071" w:rsidRDefault="00C16620" w:rsidP="00C16620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684071">
        <w:t>Decision</w:t>
      </w:r>
      <w:r w:rsidRPr="00684071">
        <w:noBreakHyphen/>
        <w:t>tree models identify the most cost</w:t>
      </w:r>
      <w:r w:rsidRPr="00684071">
        <w:noBreakHyphen/>
        <w:t>effective stewardship actions</w:t>
      </w:r>
    </w:p>
    <w:p w14:paraId="53A593BA" w14:textId="77777777" w:rsidR="00C16620" w:rsidRDefault="00C16620" w:rsidP="00C16620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  <w:sectPr w:rsidR="00C16620" w:rsidSect="007A08AB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44E686F" w14:textId="77777777" w:rsidR="00C16620" w:rsidRPr="00684071" w:rsidRDefault="00C16620" w:rsidP="00C16620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684071">
        <w:rPr>
          <w:b/>
          <w:bCs/>
          <w:kern w:val="36"/>
          <w:sz w:val="32"/>
          <w:szCs w:val="32"/>
        </w:rPr>
        <w:lastRenderedPageBreak/>
        <w:t>PAGE 2 — MODELING INSIGHTS + POLICY ACTIONS</w:t>
      </w:r>
    </w:p>
    <w:p w14:paraId="1F0919AE" w14:textId="77777777" w:rsidR="00C16620" w:rsidRPr="00684071" w:rsidRDefault="00C16620" w:rsidP="00C16620">
      <w:pPr>
        <w:spacing w:before="100" w:beforeAutospacing="1" w:after="100" w:afterAutospacing="1" w:line="360" w:lineRule="auto"/>
        <w:outlineLvl w:val="1"/>
        <w:rPr>
          <w:b/>
          <w:bCs/>
        </w:rPr>
      </w:pPr>
      <w:r w:rsidRPr="00684071">
        <w:rPr>
          <w:b/>
          <w:bCs/>
        </w:rPr>
        <w:t>Modeling Approach</w:t>
      </w:r>
    </w:p>
    <w:p w14:paraId="3B2AFA42" w14:textId="77777777" w:rsidR="00C16620" w:rsidRPr="00684071" w:rsidRDefault="00C16620" w:rsidP="00C16620">
      <w:pPr>
        <w:spacing w:before="100" w:beforeAutospacing="1" w:after="100" w:afterAutospacing="1" w:line="360" w:lineRule="auto"/>
      </w:pPr>
      <w:r w:rsidRPr="00684071">
        <w:t>This analysis integrates:</w:t>
      </w:r>
    </w:p>
    <w:p w14:paraId="7ACF8BD7" w14:textId="77777777" w:rsidR="00C16620" w:rsidRPr="00684071" w:rsidRDefault="00C16620" w:rsidP="00C16620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684071">
        <w:rPr>
          <w:b/>
          <w:bCs/>
        </w:rPr>
        <w:t>Random Forest</w:t>
      </w:r>
      <w:r w:rsidRPr="00684071">
        <w:t xml:space="preserve"> for AMR hotspot prediction</w:t>
      </w:r>
    </w:p>
    <w:p w14:paraId="0734BD75" w14:textId="77777777" w:rsidR="00C16620" w:rsidRPr="00684071" w:rsidRDefault="00C16620" w:rsidP="00C16620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684071">
        <w:rPr>
          <w:b/>
          <w:bCs/>
        </w:rPr>
        <w:t>SEIR models</w:t>
      </w:r>
      <w:r w:rsidRPr="00684071">
        <w:t xml:space="preserve"> for infectious</w:t>
      </w:r>
      <w:r w:rsidRPr="00684071">
        <w:noBreakHyphen/>
        <w:t>disease transmission</w:t>
      </w:r>
    </w:p>
    <w:p w14:paraId="0D54D8D8" w14:textId="77777777" w:rsidR="00C16620" w:rsidRPr="00684071" w:rsidRDefault="00C16620" w:rsidP="00C16620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684071">
        <w:rPr>
          <w:b/>
          <w:bCs/>
        </w:rPr>
        <w:t>Bayesian hierarchical models</w:t>
      </w:r>
      <w:r w:rsidRPr="00684071">
        <w:t xml:space="preserve"> for uncertainty</w:t>
      </w:r>
    </w:p>
    <w:p w14:paraId="0B0F97CF" w14:textId="77777777" w:rsidR="00C16620" w:rsidRPr="00684071" w:rsidRDefault="00C16620" w:rsidP="00C16620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684071">
        <w:rPr>
          <w:b/>
          <w:bCs/>
        </w:rPr>
        <w:t>Agent</w:t>
      </w:r>
      <w:r w:rsidRPr="00684071">
        <w:rPr>
          <w:b/>
          <w:bCs/>
        </w:rPr>
        <w:noBreakHyphen/>
        <w:t>based models</w:t>
      </w:r>
      <w:r w:rsidRPr="00684071">
        <w:t xml:space="preserve"> for community behavior</w:t>
      </w:r>
    </w:p>
    <w:p w14:paraId="703FA2A8" w14:textId="77777777" w:rsidR="00C16620" w:rsidRPr="00684071" w:rsidRDefault="00C16620" w:rsidP="00C16620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684071">
        <w:rPr>
          <w:b/>
          <w:bCs/>
        </w:rPr>
        <w:t>CART decision trees</w:t>
      </w:r>
      <w:r w:rsidRPr="00684071">
        <w:t xml:space="preserve"> for resource optimization</w:t>
      </w:r>
    </w:p>
    <w:p w14:paraId="54500BA7" w14:textId="77777777" w:rsidR="00C16620" w:rsidRPr="00684071" w:rsidRDefault="00C16620" w:rsidP="00C16620">
      <w:pPr>
        <w:spacing w:before="100" w:beforeAutospacing="1" w:after="100" w:afterAutospacing="1" w:line="360" w:lineRule="auto"/>
      </w:pPr>
      <w:r w:rsidRPr="00684071">
        <w:t>These methods are well</w:t>
      </w:r>
      <w:r w:rsidRPr="00684071">
        <w:noBreakHyphen/>
        <w:t>suited to African contexts where data may be sparse, heterogeneous, or incomplete.</w:t>
      </w:r>
    </w:p>
    <w:p w14:paraId="1DDBF2D7" w14:textId="77777777" w:rsidR="00C16620" w:rsidRPr="00684071" w:rsidRDefault="00C16620" w:rsidP="00C16620">
      <w:pPr>
        <w:spacing w:before="100" w:beforeAutospacing="1" w:after="100" w:afterAutospacing="1" w:line="360" w:lineRule="auto"/>
        <w:outlineLvl w:val="1"/>
        <w:rPr>
          <w:b/>
          <w:bCs/>
        </w:rPr>
      </w:pPr>
      <w:r w:rsidRPr="00684071">
        <w:rPr>
          <w:b/>
          <w:bCs/>
        </w:rPr>
        <w:t>Policy Options</w:t>
      </w:r>
    </w:p>
    <w:p w14:paraId="19FFEE89" w14:textId="77777777" w:rsidR="00C16620" w:rsidRPr="00684071" w:rsidRDefault="00C16620" w:rsidP="00C16620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684071">
        <w:rPr>
          <w:b/>
          <w:bCs/>
        </w:rPr>
        <w:t>Target stewardship programs</w:t>
      </w:r>
      <w:r w:rsidRPr="00684071">
        <w:t xml:space="preserve"> to predicted AMR hotspots</w:t>
      </w:r>
    </w:p>
    <w:p w14:paraId="0A6EBBBD" w14:textId="77777777" w:rsidR="00C16620" w:rsidRPr="00684071" w:rsidRDefault="00C16620" w:rsidP="00C16620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684071">
        <w:rPr>
          <w:b/>
          <w:bCs/>
        </w:rPr>
        <w:t>Strengthen diagnostics</w:t>
      </w:r>
      <w:r w:rsidRPr="00684071">
        <w:t xml:space="preserve"> in high</w:t>
      </w:r>
      <w:r w:rsidRPr="00684071">
        <w:noBreakHyphen/>
        <w:t>risk facilities</w:t>
      </w:r>
    </w:p>
    <w:p w14:paraId="5524FD74" w14:textId="77777777" w:rsidR="00C16620" w:rsidRPr="00684071" w:rsidRDefault="00C16620" w:rsidP="00C16620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684071">
        <w:rPr>
          <w:b/>
          <w:bCs/>
        </w:rPr>
        <w:t>Improve veterinary AMU monitoring</w:t>
      </w:r>
      <w:r w:rsidRPr="00684071">
        <w:t xml:space="preserve"> in poultry and livestock</w:t>
      </w:r>
    </w:p>
    <w:p w14:paraId="071C2309" w14:textId="77777777" w:rsidR="00C16620" w:rsidRPr="00684071" w:rsidRDefault="00C16620" w:rsidP="00C16620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684071">
        <w:rPr>
          <w:b/>
          <w:bCs/>
        </w:rPr>
        <w:t>Enhance wastewater surveillance</w:t>
      </w:r>
      <w:r w:rsidRPr="00684071">
        <w:t xml:space="preserve"> in urban centers</w:t>
      </w:r>
    </w:p>
    <w:p w14:paraId="5D78C637" w14:textId="77777777" w:rsidR="00C16620" w:rsidRPr="00684071" w:rsidRDefault="00C16620" w:rsidP="00C16620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684071">
        <w:rPr>
          <w:b/>
          <w:bCs/>
        </w:rPr>
        <w:t>Integrate modeling outputs</w:t>
      </w:r>
      <w:r w:rsidRPr="00684071">
        <w:t xml:space="preserve"> into national AMR dashboards</w:t>
      </w:r>
    </w:p>
    <w:p w14:paraId="7D5923CA" w14:textId="77777777" w:rsidR="00C16620" w:rsidRPr="00684071" w:rsidRDefault="00C16620" w:rsidP="00C16620">
      <w:pPr>
        <w:spacing w:before="100" w:beforeAutospacing="1" w:after="100" w:afterAutospacing="1" w:line="360" w:lineRule="auto"/>
        <w:outlineLvl w:val="1"/>
        <w:rPr>
          <w:b/>
          <w:bCs/>
        </w:rPr>
      </w:pPr>
      <w:r w:rsidRPr="00684071">
        <w:rPr>
          <w:b/>
          <w:bCs/>
        </w:rPr>
        <w:t>Recommended Actions for Ministers</w:t>
      </w:r>
    </w:p>
    <w:p w14:paraId="5FBEE73B" w14:textId="77777777" w:rsidR="00C16620" w:rsidRPr="00684071" w:rsidRDefault="00C16620" w:rsidP="00C16620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684071">
        <w:t>Endorse predictive modeling as a core component of national AMR strategies</w:t>
      </w:r>
    </w:p>
    <w:p w14:paraId="39B99D06" w14:textId="77777777" w:rsidR="00C16620" w:rsidRPr="00684071" w:rsidRDefault="00C16620" w:rsidP="00C16620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684071">
        <w:t>Allocate resources based on model</w:t>
      </w:r>
      <w:r w:rsidRPr="00684071">
        <w:noBreakHyphen/>
        <w:t>identified priorities</w:t>
      </w:r>
    </w:p>
    <w:p w14:paraId="20C9B9CF" w14:textId="77777777" w:rsidR="00C16620" w:rsidRPr="00684071" w:rsidRDefault="00C16620" w:rsidP="00C16620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684071">
        <w:t>Establish a national modeling taskforce under One</w:t>
      </w:r>
      <w:r w:rsidRPr="00684071">
        <w:noBreakHyphen/>
        <w:t>Health governance</w:t>
      </w:r>
    </w:p>
    <w:p w14:paraId="75EA10BD" w14:textId="77777777" w:rsidR="00C16620" w:rsidRPr="00684071" w:rsidRDefault="00C16620" w:rsidP="00C16620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684071">
        <w:t>Use forecasts to support donor proposals and investment cases</w:t>
      </w:r>
    </w:p>
    <w:p w14:paraId="2F911AFF" w14:textId="77777777" w:rsidR="00C16620" w:rsidRPr="00684071" w:rsidRDefault="00C16620" w:rsidP="00C16620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684071">
        <w:t>Present modeling insights at the June 2026 conference</w:t>
      </w:r>
    </w:p>
    <w:p w14:paraId="21FD20D6" w14:textId="77777777" w:rsidR="00C16620" w:rsidRDefault="00C16620">
      <w:pPr>
        <w:sectPr w:rsidR="00C16620" w:rsidSect="007A08A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F512468" w14:textId="369B8DAB" w:rsidR="00C16620" w:rsidRPr="003D3AE3" w:rsidRDefault="00C16620" w:rsidP="003D3AE3">
      <w:pPr>
        <w:rPr>
          <w:i/>
          <w:iCs/>
        </w:rPr>
      </w:pPr>
      <w:r w:rsidRPr="003D3AE3">
        <w:rPr>
          <w:i/>
          <w:iCs/>
        </w:rPr>
        <w:lastRenderedPageBreak/>
        <w:t xml:space="preserve">This policy brief series is produced through a </w:t>
      </w:r>
      <w:r w:rsidRPr="003D3AE3">
        <w:rPr>
          <w:rFonts w:eastAsiaTheme="majorEastAsia"/>
          <w:i/>
          <w:iCs/>
        </w:rPr>
        <w:t>multi</w:t>
      </w:r>
      <w:r w:rsidRPr="003D3AE3">
        <w:rPr>
          <w:rFonts w:eastAsiaTheme="majorEastAsia"/>
          <w:i/>
          <w:iCs/>
        </w:rPr>
        <w:noBreakHyphen/>
        <w:t>institutional, multi</w:t>
      </w:r>
      <w:r w:rsidRPr="003D3AE3">
        <w:rPr>
          <w:rFonts w:eastAsiaTheme="majorEastAsia"/>
          <w:i/>
          <w:iCs/>
        </w:rPr>
        <w:noBreakHyphen/>
        <w:t>country collaboration</w:t>
      </w:r>
      <w:r w:rsidRPr="003D3AE3">
        <w:rPr>
          <w:i/>
          <w:iCs/>
        </w:rPr>
        <w:t xml:space="preserve"> bringing together Africa’s leading public health institutions, academic partners, and global technical networks. The initiative reflects a shared commitment to strengthening </w:t>
      </w:r>
      <w:r w:rsidRPr="003D3AE3">
        <w:rPr>
          <w:rFonts w:eastAsiaTheme="majorEastAsia"/>
          <w:i/>
          <w:iCs/>
        </w:rPr>
        <w:t>AMR surveillance</w:t>
      </w:r>
      <w:r w:rsidRPr="003D3AE3">
        <w:rPr>
          <w:i/>
          <w:iCs/>
        </w:rPr>
        <w:t xml:space="preserve">, </w:t>
      </w:r>
      <w:r w:rsidRPr="003D3AE3">
        <w:rPr>
          <w:rFonts w:eastAsiaTheme="majorEastAsia"/>
          <w:i/>
          <w:iCs/>
        </w:rPr>
        <w:t>predictive modeling</w:t>
      </w:r>
      <w:r w:rsidRPr="003D3AE3">
        <w:rPr>
          <w:i/>
          <w:iCs/>
        </w:rPr>
        <w:t xml:space="preserve">, and </w:t>
      </w:r>
      <w:r w:rsidRPr="003D3AE3">
        <w:rPr>
          <w:rFonts w:eastAsiaTheme="majorEastAsia"/>
          <w:i/>
          <w:iCs/>
        </w:rPr>
        <w:t>One</w:t>
      </w:r>
      <w:r w:rsidRPr="003D3AE3">
        <w:rPr>
          <w:rFonts w:eastAsiaTheme="majorEastAsia"/>
          <w:i/>
          <w:iCs/>
        </w:rPr>
        <w:noBreakHyphen/>
        <w:t>Health intelligence</w:t>
      </w:r>
      <w:r w:rsidRPr="003D3AE3">
        <w:rPr>
          <w:i/>
          <w:iCs/>
        </w:rPr>
        <w:t xml:space="preserve"> across the continent.</w:t>
      </w:r>
    </w:p>
    <w:p w14:paraId="66EE9946" w14:textId="77777777" w:rsidR="00C16620" w:rsidRPr="00C16620" w:rsidRDefault="00C16620" w:rsidP="00C16620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16620">
        <w:rPr>
          <w:rStyle w:val="Strong"/>
          <w:rFonts w:ascii="Times New Roman" w:hAnsi="Times New Roman" w:cs="Times New Roman"/>
          <w:sz w:val="24"/>
          <w:szCs w:val="24"/>
        </w:rPr>
        <w:t>1. Global &amp; Regional Technical Partners</w:t>
      </w:r>
    </w:p>
    <w:p w14:paraId="6A7AF70E" w14:textId="7EB463AA" w:rsidR="00C16620" w:rsidRPr="006A6660" w:rsidRDefault="00C16620" w:rsidP="00C16620">
      <w:pPr>
        <w:pStyle w:val="Heading3"/>
        <w:numPr>
          <w:ilvl w:val="0"/>
          <w:numId w:val="15"/>
        </w:numPr>
        <w:spacing w:before="0" w:after="0"/>
        <w:ind w:left="360"/>
        <w:rPr>
          <w:rFonts w:cs="Times New Roman"/>
          <w:sz w:val="24"/>
          <w:szCs w:val="24"/>
        </w:rPr>
      </w:pPr>
      <w:r w:rsidRPr="006A6660">
        <w:rPr>
          <w:rStyle w:val="Strong"/>
          <w:rFonts w:cs="Times New Roman"/>
          <w:sz w:val="24"/>
          <w:szCs w:val="24"/>
        </w:rPr>
        <w:t xml:space="preserve">Georgetown Global Health </w:t>
      </w:r>
    </w:p>
    <w:p w14:paraId="0A64D21E" w14:textId="34BA9507" w:rsidR="00C16620" w:rsidRPr="00C16620" w:rsidRDefault="00C16620" w:rsidP="00C16620">
      <w:pPr>
        <w:pStyle w:val="NormalWeb"/>
        <w:spacing w:before="0" w:beforeAutospacing="0" w:after="0" w:afterAutospacing="0"/>
        <w:ind w:left="720"/>
      </w:pPr>
      <w:r w:rsidRPr="00C16620">
        <w:t xml:space="preserve">Provides technical leadership in </w:t>
      </w:r>
      <w:r w:rsidRPr="00C16620">
        <w:rPr>
          <w:rStyle w:val="Strong"/>
          <w:rFonts w:eastAsiaTheme="majorEastAsia"/>
          <w:b w:val="0"/>
          <w:bCs w:val="0"/>
        </w:rPr>
        <w:t>modeling frameworks</w:t>
      </w:r>
      <w:r w:rsidRPr="00C16620">
        <w:t xml:space="preserve">, </w:t>
      </w:r>
      <w:r w:rsidRPr="00C16620">
        <w:rPr>
          <w:rStyle w:val="Strong"/>
          <w:rFonts w:eastAsiaTheme="majorEastAsia"/>
          <w:b w:val="0"/>
          <w:bCs w:val="0"/>
        </w:rPr>
        <w:t>data harmonization</w:t>
      </w:r>
      <w:r w:rsidRPr="00C16620">
        <w:t xml:space="preserve">, and </w:t>
      </w:r>
      <w:r w:rsidRPr="00C16620">
        <w:rPr>
          <w:rStyle w:val="Strong"/>
          <w:rFonts w:eastAsiaTheme="majorEastAsia"/>
          <w:b w:val="0"/>
          <w:bCs w:val="0"/>
        </w:rPr>
        <w:t>capacity strengthening</w:t>
      </w:r>
      <w:r w:rsidRPr="00C16620">
        <w:t xml:space="preserve"> across participating countries.</w:t>
      </w:r>
    </w:p>
    <w:p w14:paraId="58DD904E" w14:textId="77777777" w:rsidR="00C16620" w:rsidRPr="006A6660" w:rsidRDefault="00C16620" w:rsidP="00C16620">
      <w:pPr>
        <w:pStyle w:val="Heading3"/>
        <w:numPr>
          <w:ilvl w:val="0"/>
          <w:numId w:val="15"/>
        </w:numPr>
        <w:spacing w:before="0" w:after="0"/>
        <w:ind w:left="360"/>
        <w:rPr>
          <w:rFonts w:cs="Times New Roman"/>
          <w:sz w:val="24"/>
          <w:szCs w:val="24"/>
        </w:rPr>
      </w:pPr>
      <w:r w:rsidRPr="006A6660">
        <w:rPr>
          <w:rStyle w:val="Strong"/>
          <w:rFonts w:cs="Times New Roman"/>
          <w:sz w:val="24"/>
          <w:szCs w:val="24"/>
        </w:rPr>
        <w:t>Georgetown University (GU)</w:t>
      </w:r>
    </w:p>
    <w:p w14:paraId="57A61B11" w14:textId="77777777" w:rsidR="003D3AE3" w:rsidRDefault="003D3AE3" w:rsidP="003D3AE3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t xml:space="preserve">Name/Instituion/Desgination </w:t>
      </w:r>
    </w:p>
    <w:p w14:paraId="61581B2A" w14:textId="58E4CC3F" w:rsidR="00C16620" w:rsidRPr="00C16620" w:rsidRDefault="00C16620" w:rsidP="003D3AE3">
      <w:pPr>
        <w:pStyle w:val="NormalWeb"/>
        <w:spacing w:before="0" w:beforeAutospacing="0" w:after="0" w:afterAutospacing="0"/>
        <w:ind w:left="360"/>
      </w:pPr>
      <w:r w:rsidRPr="00C16620">
        <w:t>Contributes</w:t>
      </w:r>
      <w:r w:rsidR="003D3AE3">
        <w:t xml:space="preserve">: </w:t>
      </w:r>
      <w:r w:rsidR="003D3AE3">
        <w:rPr>
          <w:rStyle w:val="Strong"/>
          <w:rFonts w:eastAsiaTheme="majorEastAsia"/>
          <w:b w:val="0"/>
          <w:bCs w:val="0"/>
        </w:rPr>
        <w:t>P</w:t>
      </w:r>
      <w:r w:rsidRPr="00C16620">
        <w:rPr>
          <w:rStyle w:val="Strong"/>
          <w:rFonts w:eastAsiaTheme="majorEastAsia"/>
          <w:b w:val="0"/>
          <w:bCs w:val="0"/>
        </w:rPr>
        <w:t>olicy translation</w:t>
      </w:r>
      <w:r w:rsidRPr="00C16620">
        <w:t>, ensuring scientific rigor and methodological consistency.</w:t>
      </w:r>
    </w:p>
    <w:p w14:paraId="0C16FF6A" w14:textId="17524125" w:rsidR="00C16620" w:rsidRPr="00C16620" w:rsidRDefault="00C16620" w:rsidP="00C16620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16620">
        <w:rPr>
          <w:rStyle w:val="Strong"/>
          <w:rFonts w:ascii="Times New Roman" w:hAnsi="Times New Roman" w:cs="Times New Roman"/>
          <w:sz w:val="24"/>
          <w:szCs w:val="24"/>
        </w:rPr>
        <w:t xml:space="preserve">2. National Public Health Institutes (NPHIs) — 2 to </w:t>
      </w:r>
      <w:r>
        <w:rPr>
          <w:rStyle w:val="Strong"/>
          <w:rFonts w:ascii="Times New Roman" w:hAnsi="Times New Roman" w:cs="Times New Roman"/>
          <w:sz w:val="24"/>
          <w:szCs w:val="24"/>
        </w:rPr>
        <w:t>6</w:t>
      </w:r>
      <w:r w:rsidRPr="00C16620">
        <w:rPr>
          <w:rStyle w:val="Strong"/>
          <w:rFonts w:ascii="Times New Roman" w:hAnsi="Times New Roman" w:cs="Times New Roman"/>
          <w:sz w:val="24"/>
          <w:szCs w:val="24"/>
        </w:rPr>
        <w:t xml:space="preserve"> African Countries</w:t>
      </w:r>
    </w:p>
    <w:p w14:paraId="44313A0C" w14:textId="617447C6" w:rsidR="00C16620" w:rsidRPr="00C16620" w:rsidRDefault="00C16620" w:rsidP="003D3AE3">
      <w:pPr>
        <w:pStyle w:val="ListParagraph"/>
        <w:numPr>
          <w:ilvl w:val="0"/>
          <w:numId w:val="20"/>
        </w:numPr>
      </w:pPr>
      <w:r w:rsidRPr="00C16620">
        <w:t>Nigeria</w:t>
      </w:r>
      <w:r>
        <w:t xml:space="preserve"> automatically</w:t>
      </w:r>
      <w:r w:rsidRPr="00C16620">
        <w:t xml:space="preserve"> (Name andf degsination of contributor)</w:t>
      </w:r>
    </w:p>
    <w:p w14:paraId="11C046CF" w14:textId="085C2CDD" w:rsidR="003D3AE3" w:rsidRDefault="003D3AE3" w:rsidP="00C16620">
      <w:pPr>
        <w:pStyle w:val="ListParagraph"/>
        <w:numPr>
          <w:ilvl w:val="0"/>
          <w:numId w:val="20"/>
        </w:numPr>
      </w:pPr>
      <w:r>
        <w:t xml:space="preserve">Burkina Faso or Cote Diviore or </w:t>
      </w:r>
      <w:r>
        <w:t>Gambia (West Africa)</w:t>
      </w:r>
    </w:p>
    <w:p w14:paraId="46213B94" w14:textId="1B2B9046" w:rsidR="00C16620" w:rsidRPr="00C16620" w:rsidRDefault="003D3AE3" w:rsidP="00C16620">
      <w:pPr>
        <w:pStyle w:val="ListParagraph"/>
        <w:numPr>
          <w:ilvl w:val="0"/>
          <w:numId w:val="20"/>
        </w:numPr>
      </w:pPr>
      <w:r>
        <w:t xml:space="preserve">Rwanda and or </w:t>
      </w:r>
      <w:r w:rsidR="00C16620" w:rsidRPr="00C16620">
        <w:t>Kenya</w:t>
      </w:r>
      <w:r w:rsidR="00C16620">
        <w:t xml:space="preserve"> (East Africa)</w:t>
      </w:r>
    </w:p>
    <w:p w14:paraId="2AA44B85" w14:textId="0A1F2F96" w:rsidR="00C16620" w:rsidRDefault="00C16620" w:rsidP="00C16620">
      <w:pPr>
        <w:pStyle w:val="ListParagraph"/>
        <w:numPr>
          <w:ilvl w:val="0"/>
          <w:numId w:val="20"/>
        </w:numPr>
      </w:pPr>
      <w:r w:rsidRPr="00C16620">
        <w:t>Zambia</w:t>
      </w:r>
      <w:r>
        <w:t xml:space="preserve"> </w:t>
      </w:r>
      <w:r w:rsidR="003D3AE3">
        <w:t xml:space="preserve">and or Botswana </w:t>
      </w:r>
      <w:r>
        <w:t>(Southern Africa)</w:t>
      </w:r>
    </w:p>
    <w:p w14:paraId="52FDDF6C" w14:textId="465F35A5" w:rsidR="00C16620" w:rsidRDefault="00C16620" w:rsidP="00C16620">
      <w:pPr>
        <w:pStyle w:val="ListParagraph"/>
        <w:numPr>
          <w:ilvl w:val="0"/>
          <w:numId w:val="20"/>
        </w:numPr>
      </w:pPr>
      <w:r>
        <w:t>TBD (North Africa)</w:t>
      </w:r>
    </w:p>
    <w:p w14:paraId="0044843B" w14:textId="288AABB5" w:rsidR="00C16620" w:rsidRDefault="00C16620" w:rsidP="00C16620">
      <w:pPr>
        <w:pStyle w:val="ListParagraph"/>
        <w:numPr>
          <w:ilvl w:val="0"/>
          <w:numId w:val="20"/>
        </w:numPr>
      </w:pPr>
      <w:r>
        <w:t>TBD (Central Africa)</w:t>
      </w:r>
    </w:p>
    <w:p w14:paraId="3A36180C" w14:textId="44069F9A" w:rsidR="003D3AE3" w:rsidRPr="00C16620" w:rsidRDefault="006A6660" w:rsidP="003D3AE3">
      <w:pPr>
        <w:pStyle w:val="NormalWeb"/>
        <w:spacing w:before="0" w:beforeAutospacing="0" w:after="0" w:afterAutospacing="0"/>
        <w:ind w:left="360"/>
      </w:pPr>
      <w:r>
        <w:t>Contribution</w:t>
      </w:r>
      <w:r w:rsidR="003D3AE3" w:rsidRPr="00C16620">
        <w:t>:</w:t>
      </w:r>
      <w:r w:rsidR="003D3AE3">
        <w:t xml:space="preserve"> </w:t>
      </w:r>
      <w:r w:rsidR="003D3AE3" w:rsidRPr="00C16620">
        <w:t xml:space="preserve">Nat AMR </w:t>
      </w:r>
      <w:r>
        <w:t>&amp;</w:t>
      </w:r>
      <w:r w:rsidR="003D3AE3" w:rsidRPr="00C16620">
        <w:t xml:space="preserve"> infectious</w:t>
      </w:r>
      <w:r w:rsidR="003D3AE3" w:rsidRPr="00C16620">
        <w:noBreakHyphen/>
        <w:t>disease datasets</w:t>
      </w:r>
      <w:r w:rsidR="003D3AE3">
        <w:t xml:space="preserve">; </w:t>
      </w:r>
      <w:r w:rsidR="003D3AE3" w:rsidRPr="00C16620">
        <w:t>Context</w:t>
      </w:r>
      <w:r w:rsidR="003D3AE3" w:rsidRPr="00C16620">
        <w:noBreakHyphen/>
        <w:t xml:space="preserve">specific insights for </w:t>
      </w:r>
      <w:r w:rsidR="003D3AE3" w:rsidRPr="00C16620">
        <w:rPr>
          <w:rStyle w:val="Strong"/>
          <w:rFonts w:eastAsiaTheme="majorEastAsia"/>
          <w:b w:val="0"/>
          <w:bCs w:val="0"/>
        </w:rPr>
        <w:t>model calibration</w:t>
      </w:r>
      <w:r w:rsidR="003D3AE3">
        <w:rPr>
          <w:rStyle w:val="Strong"/>
          <w:rFonts w:eastAsiaTheme="majorEastAsia"/>
          <w:b w:val="0"/>
          <w:bCs w:val="0"/>
        </w:rPr>
        <w:t xml:space="preserve">; </w:t>
      </w:r>
      <w:r w:rsidR="003D3AE3" w:rsidRPr="00C16620">
        <w:t xml:space="preserve">Policy alignment with AMR </w:t>
      </w:r>
      <w:r>
        <w:t>NAPS</w:t>
      </w:r>
      <w:r w:rsidR="003D3AE3">
        <w:t xml:space="preserve">; </w:t>
      </w:r>
      <w:r w:rsidR="003D3AE3" w:rsidRPr="00C16620">
        <w:t>Technical review and validation of modeling outputs</w:t>
      </w:r>
    </w:p>
    <w:p w14:paraId="42BFECEF" w14:textId="5BF3684A" w:rsidR="00C16620" w:rsidRPr="00C16620" w:rsidRDefault="003D3AE3" w:rsidP="00C16620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3</w:t>
      </w:r>
      <w:r w:rsidR="00C16620" w:rsidRPr="00C16620">
        <w:rPr>
          <w:rStyle w:val="Strong"/>
          <w:rFonts w:ascii="Times New Roman" w:hAnsi="Times New Roman" w:cs="Times New Roman"/>
          <w:sz w:val="24"/>
          <w:szCs w:val="24"/>
        </w:rPr>
        <w:t>. Local &amp; Regional Academia (Africa</w:t>
      </w:r>
      <w:r w:rsidR="00C16620" w:rsidRPr="00C16620">
        <w:rPr>
          <w:rStyle w:val="Strong"/>
          <w:rFonts w:ascii="Times New Roman" w:hAnsi="Times New Roman" w:cs="Times New Roman"/>
          <w:sz w:val="24"/>
          <w:szCs w:val="24"/>
        </w:rPr>
        <w:noBreakHyphen/>
        <w:t>Based Universities)</w:t>
      </w:r>
    </w:p>
    <w:p w14:paraId="3100D663" w14:textId="77777777" w:rsidR="003D3AE3" w:rsidRDefault="003D3AE3" w:rsidP="003D3AE3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t xml:space="preserve">Name/Instituion/Desgination </w:t>
      </w:r>
    </w:p>
    <w:p w14:paraId="5FB11CBC" w14:textId="4A723769" w:rsidR="00C16620" w:rsidRPr="00C16620" w:rsidRDefault="006A6660" w:rsidP="003D3AE3">
      <w:pPr>
        <w:pStyle w:val="NormalWeb"/>
        <w:spacing w:before="0" w:beforeAutospacing="0" w:after="0" w:afterAutospacing="0"/>
        <w:ind w:left="360"/>
      </w:pPr>
      <w:r>
        <w:t>C</w:t>
      </w:r>
      <w:r w:rsidR="00C16620" w:rsidRPr="00C16620">
        <w:t>ontribute</w:t>
      </w:r>
      <w:r>
        <w:t>s:</w:t>
      </w:r>
      <w:r w:rsidR="003D3AE3">
        <w:t xml:space="preserve"> </w:t>
      </w:r>
      <w:r w:rsidR="00C16620" w:rsidRPr="00C16620">
        <w:t>Technical modeling expertise</w:t>
      </w:r>
      <w:r w:rsidR="003D3AE3">
        <w:t xml:space="preserve">, </w:t>
      </w:r>
      <w:r w:rsidR="00C16620" w:rsidRPr="00C16620">
        <w:t>Data analysis</w:t>
      </w:r>
      <w:r w:rsidR="003D3AE3">
        <w:t xml:space="preserve">, </w:t>
      </w:r>
      <w:r w:rsidR="00C16620" w:rsidRPr="00C16620">
        <w:t>Peer revie</w:t>
      </w:r>
      <w:r w:rsidR="003D3AE3">
        <w:t xml:space="preserve">w, and </w:t>
      </w:r>
      <w:r>
        <w:t>future</w:t>
      </w:r>
      <w:r w:rsidR="003D3AE3">
        <w:t xml:space="preserve"> </w:t>
      </w:r>
      <w:r w:rsidR="00C16620" w:rsidRPr="00C16620">
        <w:t>Training and capacity building</w:t>
      </w:r>
    </w:p>
    <w:p w14:paraId="28A84612" w14:textId="7E008725" w:rsidR="00C16620" w:rsidRPr="003D3AE3" w:rsidRDefault="003D3AE3" w:rsidP="00C16620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3AE3">
        <w:rPr>
          <w:rStyle w:val="Strong"/>
          <w:rFonts w:ascii="Times New Roman" w:hAnsi="Times New Roman" w:cs="Times New Roman"/>
          <w:sz w:val="24"/>
          <w:szCs w:val="24"/>
        </w:rPr>
        <w:t>4</w:t>
      </w:r>
      <w:r w:rsidR="00C16620" w:rsidRPr="003D3AE3">
        <w:rPr>
          <w:rStyle w:val="Strong"/>
          <w:rFonts w:ascii="Times New Roman" w:hAnsi="Times New Roman" w:cs="Times New Roman"/>
          <w:sz w:val="24"/>
          <w:szCs w:val="24"/>
        </w:rPr>
        <w:t>. Health Facilities &amp; Stewardship Teams</w:t>
      </w:r>
    </w:p>
    <w:p w14:paraId="316CD455" w14:textId="77777777" w:rsidR="003D3AE3" w:rsidRDefault="003D3AE3" w:rsidP="003D3AE3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t xml:space="preserve">Name/Instituion/Desgination </w:t>
      </w:r>
    </w:p>
    <w:p w14:paraId="77F6B5F9" w14:textId="1AAEA771" w:rsidR="00C16620" w:rsidRPr="003D3AE3" w:rsidRDefault="00C16620" w:rsidP="003D3AE3">
      <w:pPr>
        <w:ind w:left="360"/>
      </w:pPr>
      <w:r w:rsidRPr="003D3AE3">
        <w:t>Hospitals and stewardship units provide</w:t>
      </w:r>
      <w:r w:rsidR="003D3AE3" w:rsidRPr="003D3AE3">
        <w:t xml:space="preserve"> </w:t>
      </w:r>
      <w:r w:rsidRPr="003D3AE3">
        <w:rPr>
          <w:rFonts w:eastAsiaTheme="majorEastAsia"/>
        </w:rPr>
        <w:t>Global</w:t>
      </w:r>
      <w:r w:rsidRPr="003D3AE3">
        <w:rPr>
          <w:rFonts w:eastAsiaTheme="majorEastAsia"/>
        </w:rPr>
        <w:noBreakHyphen/>
        <w:t>PPS inpatient and outpatient data</w:t>
      </w:r>
      <w:r w:rsidR="003D3AE3" w:rsidRPr="003D3AE3">
        <w:rPr>
          <w:rFonts w:eastAsiaTheme="majorEastAsia"/>
        </w:rPr>
        <w:t xml:space="preserve">, </w:t>
      </w:r>
      <w:r w:rsidRPr="003D3AE3">
        <w:t>Facility</w:t>
      </w:r>
      <w:r w:rsidRPr="003D3AE3">
        <w:noBreakHyphen/>
        <w:t>level prescribing patterns</w:t>
      </w:r>
      <w:r w:rsidR="003D3AE3" w:rsidRPr="003D3AE3">
        <w:t xml:space="preserve">, </w:t>
      </w:r>
      <w:r w:rsidRPr="003D3AE3">
        <w:t>IPC and HAI insights</w:t>
      </w:r>
      <w:r w:rsidR="003D3AE3" w:rsidRPr="003D3AE3">
        <w:t xml:space="preserve">, and </w:t>
      </w:r>
      <w:r w:rsidRPr="003D3AE3">
        <w:t>Validation of model</w:t>
      </w:r>
      <w:r w:rsidRPr="003D3AE3">
        <w:noBreakHyphen/>
        <w:t>identified hotspots</w:t>
      </w:r>
    </w:p>
    <w:p w14:paraId="4BA6E7B8" w14:textId="39EA0886" w:rsidR="003D3AE3" w:rsidRPr="00C16620" w:rsidRDefault="003D3AE3" w:rsidP="003D3AE3">
      <w:pPr>
        <w:pStyle w:val="Heading2"/>
        <w:spacing w:before="0" w:after="0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5</w:t>
      </w:r>
      <w:r w:rsidRPr="00C16620">
        <w:rPr>
          <w:rStyle w:val="Strong"/>
          <w:rFonts w:ascii="Times New Roman" w:hAnsi="Times New Roman" w:cs="Times New Roman"/>
          <w:sz w:val="24"/>
          <w:szCs w:val="24"/>
        </w:rPr>
        <w:t>. Host Country</w:t>
      </w:r>
    </w:p>
    <w:p w14:paraId="5D145835" w14:textId="77777777" w:rsidR="003D3AE3" w:rsidRPr="006A6660" w:rsidRDefault="003D3AE3" w:rsidP="003D3AE3">
      <w:pPr>
        <w:pStyle w:val="Heading2"/>
        <w:numPr>
          <w:ilvl w:val="0"/>
          <w:numId w:val="16"/>
        </w:numPr>
        <w:spacing w:before="0"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6A6660">
        <w:rPr>
          <w:rStyle w:val="Strong"/>
          <w:rFonts w:ascii="Times New Roman" w:hAnsi="Times New Roman" w:cs="Times New Roman"/>
          <w:i/>
          <w:iCs/>
          <w:sz w:val="24"/>
          <w:szCs w:val="24"/>
        </w:rPr>
        <w:t>Nigeria Centre for Disease Control and Prevention (NCDC)</w:t>
      </w:r>
    </w:p>
    <w:p w14:paraId="7088C557" w14:textId="77777777" w:rsidR="003D3AE3" w:rsidRPr="003D3AE3" w:rsidRDefault="003D3AE3" w:rsidP="003D3AE3">
      <w:pPr>
        <w:ind w:left="360"/>
      </w:pPr>
      <w:r w:rsidRPr="003D3AE3">
        <w:t xml:space="preserve">NCDC leads coordination for Nigeria, contributing National AMR surveillance data, Stewardship and IPC insights, Integration with the </w:t>
      </w:r>
      <w:r w:rsidRPr="003D3AE3">
        <w:rPr>
          <w:rFonts w:eastAsiaTheme="majorEastAsia"/>
        </w:rPr>
        <w:t>One</w:t>
      </w:r>
      <w:r w:rsidRPr="003D3AE3">
        <w:rPr>
          <w:rFonts w:eastAsiaTheme="majorEastAsia"/>
        </w:rPr>
        <w:noBreakHyphen/>
        <w:t xml:space="preserve">Health AMR Technical Working Group,  and </w:t>
      </w:r>
      <w:r w:rsidRPr="003D3AE3">
        <w:t xml:space="preserve">Alignment with the </w:t>
      </w:r>
      <w:r w:rsidRPr="003D3AE3">
        <w:rPr>
          <w:rFonts w:eastAsiaTheme="majorEastAsia"/>
        </w:rPr>
        <w:t>National Action Plan for AMR</w:t>
      </w:r>
    </w:p>
    <w:p w14:paraId="4A077D83" w14:textId="77777777" w:rsidR="003D3AE3" w:rsidRPr="006A6660" w:rsidRDefault="003D3AE3" w:rsidP="003D3AE3">
      <w:pPr>
        <w:pStyle w:val="Heading2"/>
        <w:numPr>
          <w:ilvl w:val="0"/>
          <w:numId w:val="16"/>
        </w:numPr>
        <w:spacing w:before="0"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6A6660">
        <w:rPr>
          <w:rStyle w:val="Strong"/>
          <w:rFonts w:ascii="Times New Roman" w:hAnsi="Times New Roman" w:cs="Times New Roman"/>
          <w:i/>
          <w:iCs/>
          <w:sz w:val="24"/>
          <w:szCs w:val="24"/>
        </w:rPr>
        <w:t>Federal Ministry of Health &amp; Social Welfare (FMOH), Nigeria</w:t>
      </w:r>
    </w:p>
    <w:p w14:paraId="1C66DB71" w14:textId="77777777" w:rsidR="003D3AE3" w:rsidRPr="00C16620" w:rsidRDefault="003D3AE3" w:rsidP="003D3AE3">
      <w:pPr>
        <w:pStyle w:val="NormalWeb"/>
        <w:spacing w:before="0" w:beforeAutospacing="0" w:after="0" w:afterAutospacing="0"/>
        <w:ind w:left="360"/>
      </w:pPr>
      <w:r w:rsidRPr="00C16620">
        <w:t>Provides policy oversight, ensures alignment with national priorities, and facilitates inter</w:t>
      </w:r>
      <w:r w:rsidRPr="00C16620">
        <w:noBreakHyphen/>
        <w:t>ministerial engagement across</w:t>
      </w:r>
      <w:r>
        <w:t xml:space="preserve"> </w:t>
      </w:r>
      <w:r w:rsidRPr="00C16620">
        <w:t>Human health</w:t>
      </w:r>
      <w:r>
        <w:t xml:space="preserve">, </w:t>
      </w:r>
      <w:r w:rsidRPr="00C16620">
        <w:t>Veterinary services</w:t>
      </w:r>
      <w:r>
        <w:t xml:space="preserve">, </w:t>
      </w:r>
      <w:r w:rsidRPr="00C16620">
        <w:t>Environment</w:t>
      </w:r>
      <w:r>
        <w:t xml:space="preserve">, </w:t>
      </w:r>
      <w:r w:rsidRPr="00C16620">
        <w:t>Food safety</w:t>
      </w:r>
      <w:r>
        <w:t xml:space="preserve">, and </w:t>
      </w:r>
      <w:r w:rsidRPr="00C16620">
        <w:t>Pharmaceuticals</w:t>
      </w:r>
      <w:r>
        <w:t>.</w:t>
      </w:r>
    </w:p>
    <w:p w14:paraId="4EB01927" w14:textId="162CB19F" w:rsidR="00C16620" w:rsidRPr="006A6660" w:rsidRDefault="00C16620" w:rsidP="003D3AE3">
      <w:pPr>
        <w:pStyle w:val="Heading2"/>
        <w:numPr>
          <w:ilvl w:val="0"/>
          <w:numId w:val="16"/>
        </w:numPr>
        <w:spacing w:before="0"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6A6660">
        <w:rPr>
          <w:rStyle w:val="Strong"/>
          <w:rFonts w:ascii="Times New Roman" w:hAnsi="Times New Roman" w:cs="Times New Roman"/>
          <w:i/>
          <w:iCs/>
          <w:sz w:val="24"/>
          <w:szCs w:val="24"/>
        </w:rPr>
        <w:t>Coordination &amp; Secretariat Support</w:t>
      </w:r>
    </w:p>
    <w:p w14:paraId="5A79C9F4" w14:textId="77777777" w:rsidR="003D3AE3" w:rsidRDefault="003D3AE3" w:rsidP="003D3AE3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t xml:space="preserve">Name/Instituion/Desgination </w:t>
      </w:r>
    </w:p>
    <w:p w14:paraId="3BC5647A" w14:textId="4C54ABA9" w:rsidR="00C16620" w:rsidRPr="003D3AE3" w:rsidRDefault="00C16620" w:rsidP="003D3AE3">
      <w:pPr>
        <w:ind w:left="360"/>
      </w:pPr>
      <w:r w:rsidRPr="003D3AE3">
        <w:t>The Secretariat provides</w:t>
      </w:r>
      <w:r w:rsidR="003D3AE3" w:rsidRPr="003D3AE3">
        <w:t xml:space="preserve"> </w:t>
      </w:r>
      <w:r w:rsidRPr="003D3AE3">
        <w:t>Oversight and quality assurance</w:t>
      </w:r>
      <w:r w:rsidR="003D3AE3" w:rsidRPr="003D3AE3">
        <w:t xml:space="preserve">, </w:t>
      </w:r>
      <w:r w:rsidRPr="003D3AE3">
        <w:t>Alignment with continental AMR priorities</w:t>
      </w:r>
      <w:r w:rsidR="003D3AE3" w:rsidRPr="003D3AE3">
        <w:t xml:space="preserve">, </w:t>
      </w:r>
      <w:r w:rsidRPr="003D3AE3">
        <w:t>Facilitation of inter</w:t>
      </w:r>
      <w:r w:rsidRPr="003D3AE3">
        <w:noBreakHyphen/>
        <w:t>ministerial engagement</w:t>
      </w:r>
      <w:r w:rsidR="003D3AE3" w:rsidRPr="003D3AE3">
        <w:t xml:space="preserve">, and </w:t>
      </w:r>
      <w:r w:rsidRPr="003D3AE3">
        <w:t xml:space="preserve">Preparation for the </w:t>
      </w:r>
      <w:r w:rsidRPr="003D3AE3">
        <w:rPr>
          <w:rFonts w:eastAsiaTheme="majorEastAsia"/>
        </w:rPr>
        <w:t>June 2026 Inter</w:t>
      </w:r>
      <w:r w:rsidRPr="003D3AE3">
        <w:rPr>
          <w:rFonts w:eastAsiaTheme="majorEastAsia"/>
        </w:rPr>
        <w:noBreakHyphen/>
        <w:t>Ministerial Conference</w:t>
      </w:r>
    </w:p>
    <w:p w14:paraId="63C6E86A" w14:textId="77777777" w:rsidR="00C16620" w:rsidRPr="003D3AE3" w:rsidRDefault="00C16620" w:rsidP="00C16620">
      <w:pPr>
        <w:pStyle w:val="Heading1"/>
        <w:spacing w:before="0"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3D3AE3">
        <w:rPr>
          <w:rStyle w:val="Strong"/>
          <w:rFonts w:ascii="Times New Roman" w:hAnsi="Times New Roman" w:cs="Times New Roman"/>
          <w:i/>
          <w:iCs/>
          <w:sz w:val="24"/>
          <w:szCs w:val="24"/>
        </w:rPr>
        <w:t>Summary Statement</w:t>
      </w:r>
    </w:p>
    <w:p w14:paraId="60CF1188" w14:textId="77777777" w:rsidR="00C16620" w:rsidRPr="00C16620" w:rsidRDefault="00C16620" w:rsidP="00C16620">
      <w:pPr>
        <w:pStyle w:val="NormalWeb"/>
        <w:spacing w:before="0" w:beforeAutospacing="0" w:after="0" w:afterAutospacing="0"/>
      </w:pPr>
      <w:r w:rsidRPr="003D3AE3">
        <w:t xml:space="preserve">This collaborative structure ensures that each policy brief is </w:t>
      </w:r>
      <w:r w:rsidRPr="003D3AE3">
        <w:rPr>
          <w:rFonts w:eastAsiaTheme="majorEastAsia"/>
        </w:rPr>
        <w:t>scientifically rigorous</w:t>
      </w:r>
      <w:r w:rsidRPr="003D3AE3">
        <w:t xml:space="preserve">, </w:t>
      </w:r>
      <w:r w:rsidRPr="003D3AE3">
        <w:rPr>
          <w:rFonts w:eastAsiaTheme="majorEastAsia"/>
        </w:rPr>
        <w:t>policy</w:t>
      </w:r>
      <w:r w:rsidRPr="003D3AE3">
        <w:rPr>
          <w:rFonts w:eastAsiaTheme="majorEastAsia"/>
        </w:rPr>
        <w:noBreakHyphen/>
        <w:t>relevant</w:t>
      </w:r>
      <w:r w:rsidRPr="003D3AE3">
        <w:t xml:space="preserve">, and </w:t>
      </w:r>
      <w:r w:rsidRPr="003D3AE3">
        <w:rPr>
          <w:rFonts w:eastAsiaTheme="majorEastAsia"/>
        </w:rPr>
        <w:t>continentally representative</w:t>
      </w:r>
      <w:r w:rsidRPr="003D3AE3">
        <w:t>, reflecting the collective expertise of Africa’s leading public health institutions and global partners</w:t>
      </w:r>
      <w:r w:rsidRPr="00C16620">
        <w:t>.</w:t>
      </w:r>
    </w:p>
    <w:p w14:paraId="3B1DA805" w14:textId="77777777" w:rsidR="00C16620" w:rsidRPr="00C16620" w:rsidRDefault="00C16620">
      <w:pPr>
        <w:rPr>
          <w:b/>
          <w:bCs/>
          <w:sz w:val="32"/>
          <w:szCs w:val="32"/>
        </w:rPr>
      </w:pPr>
    </w:p>
    <w:sectPr w:rsidR="00C16620" w:rsidRPr="00C16620" w:rsidSect="007A08A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C4A63" w14:textId="77777777" w:rsidR="00926C6A" w:rsidRDefault="00926C6A" w:rsidP="00C16620">
      <w:r>
        <w:separator/>
      </w:r>
    </w:p>
  </w:endnote>
  <w:endnote w:type="continuationSeparator" w:id="0">
    <w:p w14:paraId="74583402" w14:textId="77777777" w:rsidR="00926C6A" w:rsidRDefault="00926C6A" w:rsidP="00C16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9E33C" w14:textId="77777777" w:rsidR="00926C6A" w:rsidRDefault="00926C6A" w:rsidP="00C16620">
      <w:r>
        <w:separator/>
      </w:r>
    </w:p>
  </w:footnote>
  <w:footnote w:type="continuationSeparator" w:id="0">
    <w:p w14:paraId="36C7D725" w14:textId="77777777" w:rsidR="00926C6A" w:rsidRDefault="00926C6A" w:rsidP="00C16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6C3C3" w14:textId="77777777" w:rsidR="00C16620" w:rsidRDefault="00C16620" w:rsidP="00C16620">
    <w:pPr>
      <w:shd w:val="clear" w:color="auto" w:fill="C1F0C7" w:themeFill="accent3" w:themeFillTint="33"/>
      <w:outlineLvl w:val="0"/>
      <w:rPr>
        <w:b/>
        <w:bCs/>
        <w:kern w:val="36"/>
        <w:sz w:val="36"/>
        <w:szCs w:val="36"/>
      </w:rPr>
    </w:pPr>
    <w:r w:rsidRPr="00684071">
      <w:rPr>
        <w:b/>
        <w:bCs/>
        <w:kern w:val="36"/>
        <w:sz w:val="36"/>
        <w:szCs w:val="36"/>
      </w:rPr>
      <w:t>TWO</w:t>
    </w:r>
    <w:r w:rsidRPr="00684071">
      <w:rPr>
        <w:b/>
        <w:bCs/>
        <w:kern w:val="36"/>
        <w:sz w:val="36"/>
        <w:szCs w:val="36"/>
      </w:rPr>
      <w:noBreakHyphen/>
      <w:t xml:space="preserve">PAGE SAMPLE BRIEF </w:t>
    </w:r>
  </w:p>
  <w:p w14:paraId="326CC4D0" w14:textId="62C9F27A" w:rsidR="00C16620" w:rsidRPr="00C16620" w:rsidRDefault="00C16620" w:rsidP="00C16620">
    <w:pPr>
      <w:shd w:val="clear" w:color="auto" w:fill="C1F0C7" w:themeFill="accent3" w:themeFillTint="33"/>
      <w:outlineLvl w:val="0"/>
      <w:rPr>
        <w:b/>
        <w:bCs/>
        <w:sz w:val="36"/>
        <w:szCs w:val="36"/>
      </w:rPr>
    </w:pPr>
    <w:r w:rsidRPr="00C16620">
      <w:rPr>
        <w:b/>
        <w:bCs/>
        <w:sz w:val="36"/>
        <w:szCs w:val="36"/>
      </w:rPr>
      <w:t xml:space="preserve">(Brief #1 : </w:t>
    </w:r>
    <w:r w:rsidRPr="00684071">
      <w:rPr>
        <w:b/>
        <w:bCs/>
        <w:sz w:val="36"/>
        <w:szCs w:val="36"/>
      </w:rPr>
      <w:t>Predictive Modeling to Strengthen Africa’s AMR Preparedness: Why Ministers Must Act Now</w:t>
    </w:r>
    <w:r w:rsidRPr="00C16620">
      <w:rPr>
        <w:b/>
        <w:bCs/>
        <w:sz w:val="36"/>
        <w:szCs w:val="36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4AF34" w14:textId="0ADBB131" w:rsidR="003D3AE3" w:rsidRPr="003D3AE3" w:rsidRDefault="003D3AE3" w:rsidP="00C16620">
    <w:pPr>
      <w:shd w:val="clear" w:color="auto" w:fill="C1F0C7" w:themeFill="accent3" w:themeFillTint="33"/>
      <w:outlineLvl w:val="0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P</w:t>
    </w:r>
    <w:r w:rsidRPr="003D3AE3">
      <w:rPr>
        <w:b/>
        <w:bCs/>
        <w:sz w:val="28"/>
        <w:szCs w:val="28"/>
        <w:lang w:val="en-US"/>
      </w:rPr>
      <w:t>age 3 –</w:t>
    </w:r>
    <w:r>
      <w:rPr>
        <w:b/>
        <w:bCs/>
        <w:sz w:val="28"/>
        <w:szCs w:val="28"/>
        <w:lang w:val="en-US"/>
      </w:rPr>
      <w:t xml:space="preserve"> C</w:t>
    </w:r>
    <w:r w:rsidRPr="003D3AE3">
      <w:rPr>
        <w:b/>
        <w:bCs/>
        <w:sz w:val="28"/>
        <w:szCs w:val="28"/>
        <w:lang w:val="en-US"/>
      </w:rPr>
      <w:t xml:space="preserve">ollaborating contributors &amp; </w:t>
    </w:r>
    <w:r>
      <w:rPr>
        <w:b/>
        <w:bCs/>
        <w:sz w:val="28"/>
        <w:szCs w:val="28"/>
        <w:lang w:val="en-US"/>
      </w:rPr>
      <w:t>P</w:t>
    </w:r>
    <w:r w:rsidRPr="003D3AE3">
      <w:rPr>
        <w:b/>
        <w:bCs/>
        <w:sz w:val="28"/>
        <w:szCs w:val="28"/>
        <w:lang w:val="en-US"/>
      </w:rPr>
      <w:t>artnership outline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132"/>
    <w:multiLevelType w:val="multilevel"/>
    <w:tmpl w:val="FECE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11546"/>
    <w:multiLevelType w:val="multilevel"/>
    <w:tmpl w:val="C4A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710D"/>
    <w:multiLevelType w:val="multilevel"/>
    <w:tmpl w:val="41221842"/>
    <w:lvl w:ilvl="0">
      <w:start w:val="1"/>
      <w:numFmt w:val="lowerRoman"/>
      <w:lvlText w:val="%1."/>
      <w:lvlJc w:val="left"/>
      <w:pPr>
        <w:ind w:left="720" w:hanging="360"/>
      </w:pPr>
      <w:rPr>
        <w:rFonts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C0C86"/>
    <w:multiLevelType w:val="multilevel"/>
    <w:tmpl w:val="54B8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27C46"/>
    <w:multiLevelType w:val="multilevel"/>
    <w:tmpl w:val="CCE2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77978"/>
    <w:multiLevelType w:val="multilevel"/>
    <w:tmpl w:val="987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B6B90"/>
    <w:multiLevelType w:val="multilevel"/>
    <w:tmpl w:val="700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223A1"/>
    <w:multiLevelType w:val="multilevel"/>
    <w:tmpl w:val="3C10C63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46EFC"/>
    <w:multiLevelType w:val="multilevel"/>
    <w:tmpl w:val="2256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82B6B"/>
    <w:multiLevelType w:val="hybridMultilevel"/>
    <w:tmpl w:val="6BE49CDA"/>
    <w:lvl w:ilvl="0" w:tplc="E6444AF6">
      <w:start w:val="1"/>
      <w:numFmt w:val="lowerLetter"/>
      <w:lvlText w:val="%1)"/>
      <w:lvlJc w:val="left"/>
      <w:pPr>
        <w:ind w:left="-360" w:hanging="360"/>
      </w:pPr>
      <w:rPr>
        <w:rFonts w:hint="default"/>
        <w:b/>
        <w:bCs/>
        <w:i/>
        <w:iCs/>
      </w:rPr>
    </w:lvl>
    <w:lvl w:ilvl="1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3AA057D3"/>
    <w:multiLevelType w:val="multilevel"/>
    <w:tmpl w:val="F75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51B4F"/>
    <w:multiLevelType w:val="multilevel"/>
    <w:tmpl w:val="A6A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25398"/>
    <w:multiLevelType w:val="multilevel"/>
    <w:tmpl w:val="7BB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36B14"/>
    <w:multiLevelType w:val="multilevel"/>
    <w:tmpl w:val="FD8470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C028F"/>
    <w:multiLevelType w:val="hybridMultilevel"/>
    <w:tmpl w:val="2348F802"/>
    <w:lvl w:ilvl="0" w:tplc="21BEF172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BC14C8C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D4D2C"/>
    <w:multiLevelType w:val="multilevel"/>
    <w:tmpl w:val="9062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B7882"/>
    <w:multiLevelType w:val="multilevel"/>
    <w:tmpl w:val="3C10C63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F3F9D"/>
    <w:multiLevelType w:val="multilevel"/>
    <w:tmpl w:val="6B14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470DD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B1D62"/>
    <w:multiLevelType w:val="multilevel"/>
    <w:tmpl w:val="D5D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153575">
    <w:abstractNumId w:val="3"/>
  </w:num>
  <w:num w:numId="2" w16cid:durableId="1187400508">
    <w:abstractNumId w:val="6"/>
  </w:num>
  <w:num w:numId="3" w16cid:durableId="1723360385">
    <w:abstractNumId w:val="20"/>
  </w:num>
  <w:num w:numId="4" w16cid:durableId="2045517341">
    <w:abstractNumId w:val="0"/>
  </w:num>
  <w:num w:numId="5" w16cid:durableId="2072803119">
    <w:abstractNumId w:val="18"/>
  </w:num>
  <w:num w:numId="6" w16cid:durableId="1792934971">
    <w:abstractNumId w:val="4"/>
  </w:num>
  <w:num w:numId="7" w16cid:durableId="2094155873">
    <w:abstractNumId w:val="1"/>
  </w:num>
  <w:num w:numId="8" w16cid:durableId="1642878700">
    <w:abstractNumId w:val="19"/>
  </w:num>
  <w:num w:numId="9" w16cid:durableId="191696693">
    <w:abstractNumId w:val="16"/>
  </w:num>
  <w:num w:numId="10" w16cid:durableId="176627811">
    <w:abstractNumId w:val="8"/>
  </w:num>
  <w:num w:numId="11" w16cid:durableId="1067341789">
    <w:abstractNumId w:val="11"/>
  </w:num>
  <w:num w:numId="12" w16cid:durableId="1078986419">
    <w:abstractNumId w:val="5"/>
  </w:num>
  <w:num w:numId="13" w16cid:durableId="67927286">
    <w:abstractNumId w:val="10"/>
  </w:num>
  <w:num w:numId="14" w16cid:durableId="1369800631">
    <w:abstractNumId w:val="12"/>
  </w:num>
  <w:num w:numId="15" w16cid:durableId="632977467">
    <w:abstractNumId w:val="9"/>
  </w:num>
  <w:num w:numId="16" w16cid:durableId="1296253580">
    <w:abstractNumId w:val="14"/>
  </w:num>
  <w:num w:numId="17" w16cid:durableId="1536120427">
    <w:abstractNumId w:val="17"/>
  </w:num>
  <w:num w:numId="18" w16cid:durableId="1919093700">
    <w:abstractNumId w:val="7"/>
  </w:num>
  <w:num w:numId="19" w16cid:durableId="975525833">
    <w:abstractNumId w:val="13"/>
  </w:num>
  <w:num w:numId="20" w16cid:durableId="1017923634">
    <w:abstractNumId w:val="2"/>
  </w:num>
  <w:num w:numId="21" w16cid:durableId="4712177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20"/>
    <w:rsid w:val="001C4C2E"/>
    <w:rsid w:val="003D3AE3"/>
    <w:rsid w:val="004A4627"/>
    <w:rsid w:val="004B5C16"/>
    <w:rsid w:val="00584449"/>
    <w:rsid w:val="006A0040"/>
    <w:rsid w:val="006A6660"/>
    <w:rsid w:val="007A08AB"/>
    <w:rsid w:val="00806E1C"/>
    <w:rsid w:val="00926C6A"/>
    <w:rsid w:val="009F2251"/>
    <w:rsid w:val="00C16620"/>
    <w:rsid w:val="00C679D7"/>
    <w:rsid w:val="00DA202C"/>
    <w:rsid w:val="00F4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752E1"/>
  <w15:chartTrackingRefBased/>
  <w15:docId w15:val="{0998AA37-9297-5C4A-8B27-6970B49E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620"/>
    <w:rPr>
      <w:rFonts w:ascii="Times New Roman" w:eastAsia="Times New Roman" w:hAnsi="Times New Roman" w:cs="Times New Roman"/>
      <w:kern w:val="0"/>
      <w:lang w:val="en-NG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6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6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6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6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040"/>
    <w:rPr>
      <w:color w:val="156082" w:themeColor="accent1"/>
      <w:kern w:val="0"/>
      <w:sz w:val="22"/>
      <w:szCs w:val="22"/>
      <w:lang w:val="en-NG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F225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C1662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62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620"/>
    <w:rPr>
      <w:rFonts w:eastAsiaTheme="majorEastAsia" w:cstheme="majorBidi"/>
      <w:color w:val="0F4761" w:themeColor="accent1" w:themeShade="BF"/>
      <w:kern w:val="0"/>
      <w:sz w:val="28"/>
      <w:szCs w:val="28"/>
      <w:lang w:val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620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620"/>
    <w:rPr>
      <w:rFonts w:eastAsiaTheme="majorEastAsia" w:cstheme="majorBidi"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620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620"/>
    <w:rPr>
      <w:rFonts w:eastAsiaTheme="majorEastAsia" w:cstheme="majorBidi"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620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620"/>
    <w:rPr>
      <w:rFonts w:eastAsiaTheme="majorEastAsia" w:cstheme="majorBidi"/>
      <w:color w:val="272727" w:themeColor="text1" w:themeTint="D8"/>
      <w:kern w:val="0"/>
      <w:sz w:val="22"/>
      <w:szCs w:val="22"/>
      <w:lang w:val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166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620"/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6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1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620"/>
    <w:rPr>
      <w:i/>
      <w:iCs/>
      <w:color w:val="404040" w:themeColor="text1" w:themeTint="BF"/>
      <w:kern w:val="0"/>
      <w:sz w:val="22"/>
      <w:szCs w:val="22"/>
      <w:lang w:val="en-NG"/>
      <w14:ligatures w14:val="none"/>
    </w:rPr>
  </w:style>
  <w:style w:type="paragraph" w:styleId="ListParagraph">
    <w:name w:val="List Paragraph"/>
    <w:basedOn w:val="Normal"/>
    <w:uiPriority w:val="34"/>
    <w:qFormat/>
    <w:rsid w:val="00C16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620"/>
    <w:rPr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166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66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620"/>
    <w:rPr>
      <w:rFonts w:ascii="Times New Roman" w:eastAsia="Times New Roman" w:hAnsi="Times New Roman" w:cs="Times New Roman"/>
      <w:kern w:val="0"/>
      <w:lang w:val="en-NG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166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6620"/>
    <w:rPr>
      <w:rFonts w:ascii="Times New Roman" w:eastAsia="Times New Roman" w:hAnsi="Times New Roman" w:cs="Times New Roman"/>
      <w:kern w:val="0"/>
      <w:lang w:val="en-NG"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C1662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16620"/>
    <w:rPr>
      <w:b/>
      <w:bCs/>
    </w:rPr>
  </w:style>
  <w:style w:type="character" w:styleId="Emphasis">
    <w:name w:val="Emphasis"/>
    <w:basedOn w:val="DefaultParagraphFont"/>
    <w:uiPriority w:val="20"/>
    <w:qFormat/>
    <w:rsid w:val="00C166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Piringar Niyang</dc:creator>
  <cp:keywords/>
  <dc:description/>
  <cp:lastModifiedBy>Piringar Niyang</cp:lastModifiedBy>
  <cp:revision>1</cp:revision>
  <dcterms:created xsi:type="dcterms:W3CDTF">2026-02-25T22:29:00Z</dcterms:created>
  <dcterms:modified xsi:type="dcterms:W3CDTF">2026-02-25T22:53:00Z</dcterms:modified>
</cp:coreProperties>
</file>