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7F5E" w14:textId="77777777" w:rsidR="00835D0D" w:rsidRPr="00103AFB" w:rsidRDefault="00563492">
      <w:pPr>
        <w:rPr>
          <w:rFonts w:ascii="Times New Roman" w:hAnsi="Times New Roman" w:cs="Times New Roman"/>
          <w:b/>
          <w:color w:val="000000" w:themeColor="text1"/>
          <w:sz w:val="32"/>
          <w:szCs w:val="24"/>
          <w:lang w:val="en-GB"/>
        </w:rPr>
      </w:pPr>
      <w:r w:rsidRPr="00103AFB">
        <w:rPr>
          <w:rFonts w:ascii="Times New Roman" w:hAnsi="Times New Roman" w:cs="Times New Roman"/>
          <w:b/>
          <w:color w:val="000000" w:themeColor="text1"/>
          <w:sz w:val="32"/>
          <w:szCs w:val="24"/>
          <w:lang w:val="en-GB"/>
        </w:rPr>
        <w:t xml:space="preserve">Appendix </w:t>
      </w:r>
    </w:p>
    <w:p w14:paraId="26CC3083" w14:textId="77777777" w:rsidR="009A2F9C" w:rsidRPr="00103AFB" w:rsidRDefault="00293F84" w:rsidP="00ED37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format of the model used in the article is as follows</w:t>
      </w:r>
      <w:r w:rsidR="00802C1E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026DD2A2" w14:textId="77777777" w:rsidR="009A2F9C" w:rsidRPr="00103AFB" w:rsidRDefault="00B60F61" w:rsidP="00ED37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i,t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i,t-1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i,t-1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i,t-2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i,t</m:t>
            </m:r>
          </m:sub>
        </m:sSub>
      </m:oMath>
      <w:r w:rsidR="00293F84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</w:p>
    <w:p w14:paraId="4A363770" w14:textId="77777777" w:rsidR="00ED3768" w:rsidRPr="00103AFB" w:rsidRDefault="00ED3768" w:rsidP="00ED37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CF9B270" w14:textId="6601E5CE" w:rsidR="00377D7A" w:rsidRPr="00103AFB" w:rsidRDefault="00293F84" w:rsidP="00ED376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t</m:t>
            </m:r>
          </m:sub>
        </m:sSub>
      </m:oMath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the value of the dependent variable for each cross-sectional unit 1,2,3,…</w:t>
      </w:r>
      <w:r w:rsidRPr="00103A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N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denoted by the subscript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i</m:t>
        </m:r>
      </m:oMath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and time period 1,2,3,…</w:t>
      </w:r>
      <w:r w:rsidRPr="00103A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T 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is denoted by the subscript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t</m:t>
        </m:r>
      </m:oMath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-1</m:t>
            </m:r>
          </m:sub>
        </m:sSub>
      </m:oMath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a regressor observed for the unit lagged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by</w:t>
      </w:r>
      <w:r w:rsidR="00677936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one year;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and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t</m:t>
            </m:r>
          </m:sub>
        </m:sSub>
      </m:oMath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represents the within-country-year error term. Then,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-1</m:t>
            </m:r>
          </m:sub>
        </m:sSub>
      </m:oMath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refers to the</w:t>
      </w:r>
      <w:r w:rsidR="005E5F4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5E5F48" w:rsidRPr="005E5F4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lagged dependent variable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5E5F4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LDV</w:t>
      </w:r>
      <w:r w:rsidR="005E5F4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which is introduced to account for AR (1).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Since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sanctions are a result of state repression, to avoid the problem of reverse causality, </w:t>
      </w:r>
      <w:r w:rsidR="008B7362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we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account for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country’s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103A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past </w:t>
      </w:r>
      <w:r w:rsidR="00070984" w:rsidRPr="00103A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human rights situation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using a lag of the dependent variable</w:t>
      </w:r>
      <w:r w:rsidR="00C0734C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at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-2</m:t>
            </m:r>
          </m:sub>
        </m:sSub>
      </m:oMath>
      <w:r w:rsidR="0067793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,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which introduces past values of the outcome variable as an explanatory variable.</w:t>
      </w:r>
      <w:r w:rsidRPr="00103AFB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323F28A3" w14:textId="7121F0A5" w:rsidR="00A61720" w:rsidRPr="00103AFB" w:rsidRDefault="00ED3768" w:rsidP="00A61720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Belarus is</w:t>
      </w:r>
      <w:r w:rsidR="007047A5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country </w:t>
      </w:r>
      <w:r w:rsidR="007047A5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most often 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targeted by sanctions in the region</w:t>
      </w:r>
      <w:r w:rsidR="007047A5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 To avoid bias in the result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="007047A5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I remove Belarus from the sample and re-run the analysis on a smaller sample. The results remain similar to th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ose</w:t>
      </w:r>
      <w:r w:rsidR="007047A5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reported in the article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(see </w:t>
      </w:r>
      <w:r w:rsidR="005E5F4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Appendix </w:t>
      </w:r>
      <w:r w:rsidR="00806604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</w:t>
      </w: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able 3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below)</w:t>
      </w:r>
      <w:r w:rsidR="007047A5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A61720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results indicate that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</w:t>
      </w:r>
      <w:r w:rsidR="00A61720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threat of sanctions retains its negative effects and arms embargoes retain their positive effects.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However</w:t>
      </w:r>
      <w:r w:rsidR="00A61720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on the sample excluding Belarus, withholding cooperation and individual sanctions have statistically significant positive effects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that</w:t>
      </w:r>
      <w:r w:rsidR="00677936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A61720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were not observed on the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full</w:t>
      </w:r>
      <w:r w:rsidR="00677936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A61720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sample (compare with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</w:t>
      </w:r>
      <w:r w:rsidR="00A61720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results reported in Table 1</w:t>
      </w:r>
      <w:r w:rsidR="005E5F4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 the main text</w:t>
      </w:r>
      <w:r w:rsidR="00A61720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).</w:t>
      </w:r>
    </w:p>
    <w:p w14:paraId="3C06C6AA" w14:textId="329EDAB0" w:rsidR="00835D0D" w:rsidRPr="00103AFB" w:rsidRDefault="005E5F48" w:rsidP="00ED3768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Appendix </w:t>
      </w:r>
      <w:r w:rsidR="00677936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Table 4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demonstrate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that individual types of sanctions are strongly correlated, and therefore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must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be accou</w:t>
      </w:r>
      <w:r w:rsidR="00ED3768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nted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for </w:t>
      </w:r>
      <w:r w:rsidR="00ED3768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 separate models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Appendix 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Table </w:t>
      </w:r>
      <w:r w:rsidR="00ED3768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5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6779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reports</w:t>
      </w:r>
      <w:r w:rsidR="00677936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extent of imports and exports from/to the EU and Russia for each country in the analysis.</w:t>
      </w:r>
      <w:r w:rsidR="008B3C1B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35D0D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14:paraId="00AE211E" w14:textId="72E4F4DC" w:rsidR="00583F52" w:rsidRDefault="00583F52" w:rsidP="00CE2EAE">
      <w:pPr>
        <w:spacing w:after="0" w:line="240" w:lineRule="auto"/>
        <w:ind w:left="142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103AFB">
        <w:rPr>
          <w:rFonts w:ascii="Times New Roman" w:hAnsi="Times New Roman" w:cs="Times New Roman"/>
          <w:b/>
          <w:color w:val="000000" w:themeColor="text1"/>
          <w:lang w:val="en-GB"/>
        </w:rPr>
        <w:lastRenderedPageBreak/>
        <w:t xml:space="preserve">Table </w:t>
      </w:r>
      <w:r w:rsidR="0049134B" w:rsidRPr="00103AFB">
        <w:rPr>
          <w:rFonts w:ascii="Times New Roman" w:hAnsi="Times New Roman" w:cs="Times New Roman"/>
          <w:b/>
          <w:color w:val="000000" w:themeColor="text1"/>
          <w:lang w:val="en-GB"/>
        </w:rPr>
        <w:t>1</w:t>
      </w:r>
      <w:r w:rsidRPr="00103AFB">
        <w:rPr>
          <w:rFonts w:ascii="Times New Roman" w:hAnsi="Times New Roman" w:cs="Times New Roman"/>
          <w:b/>
          <w:color w:val="000000" w:themeColor="text1"/>
          <w:lang w:val="en-GB"/>
        </w:rPr>
        <w:t>.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ED4FD0" w:rsidRPr="00103AFB">
        <w:rPr>
          <w:rFonts w:ascii="Times New Roman" w:hAnsi="Times New Roman" w:cs="Times New Roman"/>
          <w:color w:val="000000" w:themeColor="text1"/>
          <w:lang w:val="en-GB"/>
        </w:rPr>
        <w:t xml:space="preserve">List of </w:t>
      </w:r>
      <w:r w:rsidR="00ED3768" w:rsidRPr="00103AFB">
        <w:rPr>
          <w:rFonts w:ascii="Times New Roman" w:hAnsi="Times New Roman" w:cs="Times New Roman"/>
          <w:color w:val="000000" w:themeColor="text1"/>
          <w:lang w:val="en-GB"/>
        </w:rPr>
        <w:t xml:space="preserve">EU </w:t>
      </w:r>
      <w:r w:rsidR="00ED4FD0" w:rsidRPr="00103AFB">
        <w:rPr>
          <w:rFonts w:ascii="Times New Roman" w:hAnsi="Times New Roman" w:cs="Times New Roman"/>
          <w:color w:val="000000" w:themeColor="text1"/>
          <w:lang w:val="en-GB"/>
        </w:rPr>
        <w:t>human rights s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anctions </w:t>
      </w:r>
      <w:r w:rsidR="00ED3768" w:rsidRPr="00103AFB">
        <w:rPr>
          <w:rFonts w:ascii="Times New Roman" w:hAnsi="Times New Roman" w:cs="Times New Roman"/>
          <w:color w:val="000000" w:themeColor="text1"/>
          <w:lang w:val="en-GB"/>
        </w:rPr>
        <w:t>imposed on former Soviet states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>, 1991–2016</w:t>
      </w:r>
    </w:p>
    <w:p w14:paraId="7021D583" w14:textId="77777777" w:rsidR="002035EA" w:rsidRPr="00103AFB" w:rsidRDefault="002035EA" w:rsidP="00CE2EAE">
      <w:pPr>
        <w:spacing w:after="0" w:line="240" w:lineRule="auto"/>
        <w:ind w:left="142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47"/>
        <w:gridCol w:w="6378"/>
      </w:tblGrid>
      <w:tr w:rsidR="00103AFB" w:rsidRPr="00103AFB" w14:paraId="746229C9" w14:textId="77777777" w:rsidTr="00563C48">
        <w:trPr>
          <w:trHeight w:val="98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203D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 xml:space="preserve">Year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A1AC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 xml:space="preserve">Country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1BA9" w14:textId="6DFBCE2F" w:rsidR="00583F52" w:rsidRPr="002035EA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 xml:space="preserve">Type of measures taken </w:t>
            </w:r>
          </w:p>
        </w:tc>
      </w:tr>
      <w:tr w:rsidR="00103AFB" w:rsidRPr="00103AFB" w14:paraId="05E47A00" w14:textId="77777777" w:rsidTr="00563C48">
        <w:trPr>
          <w:trHeight w:val="1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0CE9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1997–1999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4174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CDE4" w14:textId="5738718C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Aid programs halted and ratification of the </w:t>
            </w:r>
            <w:r w:rsidR="00DF1736">
              <w:rPr>
                <w:rFonts w:ascii="Times New Roman" w:hAnsi="Times New Roman" w:cs="Times New Roman"/>
                <w:color w:val="000000" w:themeColor="text1"/>
                <w:lang w:val="en-GB"/>
              </w:rPr>
              <w:t>Partnership and Cooperation Agreement (</w:t>
            </w: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PCA</w:t>
            </w:r>
            <w:r w:rsidR="00DF1736">
              <w:rPr>
                <w:rFonts w:ascii="Times New Roman" w:hAnsi="Times New Roman" w:cs="Times New Roman"/>
                <w:color w:val="000000" w:themeColor="text1"/>
                <w:lang w:val="en-GB"/>
              </w:rPr>
              <w:t>)</w:t>
            </w: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postponed </w:t>
            </w:r>
          </w:p>
        </w:tc>
      </w:tr>
      <w:tr w:rsidR="00103AFB" w:rsidRPr="00103AFB" w14:paraId="2C857B39" w14:textId="77777777" w:rsidTr="00563C48">
        <w:trPr>
          <w:trHeight w:val="1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0122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1998–1999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327F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EE01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Restrictive measures against certain officials </w:t>
            </w:r>
          </w:p>
        </w:tc>
      </w:tr>
      <w:tr w:rsidR="00103AFB" w:rsidRPr="00103AFB" w14:paraId="2F09B948" w14:textId="77777777" w:rsidTr="00563C48">
        <w:trPr>
          <w:trHeight w:val="22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120D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2002–2003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361E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FBFC" w14:textId="177F8F02" w:rsidR="00583F52" w:rsidRPr="00103AFB" w:rsidRDefault="00A57ADC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Travel restrictions,</w:t>
            </w:r>
            <w:r w:rsidR="00583F52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ban on high-level contact (</w:t>
            </w:r>
            <w:r w:rsidR="00E72393">
              <w:rPr>
                <w:rFonts w:ascii="Times New Roman" w:hAnsi="Times New Roman" w:cs="Times New Roman"/>
                <w:color w:val="000000" w:themeColor="text1"/>
                <w:lang w:val="en-GB"/>
              </w:rPr>
              <w:t>extended</w:t>
            </w:r>
            <w:r w:rsidR="00583F52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: 17/10/2004) </w:t>
            </w:r>
          </w:p>
        </w:tc>
      </w:tr>
      <w:tr w:rsidR="00103AFB" w:rsidRPr="00103AFB" w14:paraId="6439796D" w14:textId="77777777" w:rsidTr="00563C48">
        <w:trPr>
          <w:trHeight w:val="1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C49E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2004–2008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A37D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ADD4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Travel restrictions and freezing of assets </w:t>
            </w:r>
          </w:p>
        </w:tc>
      </w:tr>
      <w:tr w:rsidR="00103AFB" w:rsidRPr="00CE2EAE" w14:paraId="0E89F03E" w14:textId="77777777" w:rsidTr="00563C48">
        <w:trPr>
          <w:trHeight w:val="22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3B85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2007– present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0687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3F24" w14:textId="4155742D" w:rsidR="00583F52" w:rsidRPr="00103AFB" w:rsidRDefault="00CE2EAE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EU’s Generalised Scheme of Preferences </w:t>
            </w:r>
            <w:r w:rsidR="00583F52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suspended </w:t>
            </w:r>
          </w:p>
        </w:tc>
      </w:tr>
      <w:tr w:rsidR="00103AFB" w:rsidRPr="00103AFB" w14:paraId="2311C6E9" w14:textId="77777777" w:rsidTr="00563C48">
        <w:trPr>
          <w:trHeight w:val="22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3BC9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2006–2010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6FE1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C6C1" w14:textId="3AE2057E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Persons and entit</w:t>
            </w:r>
            <w:r w:rsidR="00E72393">
              <w:rPr>
                <w:rFonts w:ascii="Times New Roman" w:hAnsi="Times New Roman" w:cs="Times New Roman"/>
                <w:color w:val="000000" w:themeColor="text1"/>
                <w:lang w:val="en-GB"/>
              </w:rPr>
              <w:t>y</w:t>
            </w: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admission restrictions, asset freezes and travel bans (introduced: 20/05/2006; amended: 09/07/2008) </w:t>
            </w:r>
          </w:p>
        </w:tc>
      </w:tr>
      <w:tr w:rsidR="00103AFB" w:rsidRPr="00103AFB" w14:paraId="46A9FD13" w14:textId="77777777" w:rsidTr="00563C48">
        <w:trPr>
          <w:trHeight w:val="22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A897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2008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1C9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A2D0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Measures against certain officials undone; release of </w:t>
            </w:r>
            <w:r w:rsidR="00D63129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some </w:t>
            </w: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frozen funds, arms embargo remained </w:t>
            </w:r>
          </w:p>
        </w:tc>
      </w:tr>
      <w:tr w:rsidR="00103AFB" w:rsidRPr="00103AFB" w14:paraId="33135FE8" w14:textId="77777777" w:rsidTr="00563C48">
        <w:trPr>
          <w:trHeight w:val="479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90E1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2010–2012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CC74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20E8" w14:textId="0BF97D68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Travel restrictions against certain official and entities, arms embargo, equipment for repressions embargo, assistance withdrawal (introduced: 26/10/2010; </w:t>
            </w:r>
            <w:r w:rsidR="00E72393">
              <w:rPr>
                <w:rFonts w:ascii="Times New Roman" w:hAnsi="Times New Roman" w:cs="Times New Roman"/>
                <w:color w:val="000000" w:themeColor="text1"/>
                <w:lang w:val="en-GB"/>
              </w:rPr>
              <w:t>extended</w:t>
            </w: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: 31/12/2011; 20/06/2011; 10/10/2011; 23/01/2012; 23/04/2012) </w:t>
            </w:r>
          </w:p>
        </w:tc>
      </w:tr>
      <w:tr w:rsidR="00103AFB" w:rsidRPr="00103AFB" w14:paraId="1B6BEF1B" w14:textId="77777777" w:rsidTr="00563C48">
        <w:trPr>
          <w:trHeight w:val="732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2937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2012–2016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E5F7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D67" w14:textId="01E0E558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Asset freezes and travel bans (persons and entities), embargo on arms and related materiel, embargo on equipment for internal repression; ban on provision of certain services, restrictions on admission of listed persons (introduced: 17/10/2012; </w:t>
            </w:r>
            <w:r w:rsidR="00E72393">
              <w:rPr>
                <w:rFonts w:ascii="Times New Roman" w:hAnsi="Times New Roman" w:cs="Times New Roman"/>
                <w:color w:val="000000" w:themeColor="text1"/>
                <w:lang w:val="en-GB"/>
              </w:rPr>
              <w:t>extended</w:t>
            </w: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: 30/10/2013; 02/08/2014; 31/10/2014; 17/03/2015; 21/07/2015; 30/10/2015; 27/02/2016) </w:t>
            </w:r>
          </w:p>
        </w:tc>
      </w:tr>
      <w:tr w:rsidR="00103AFB" w:rsidRPr="00103AFB" w14:paraId="761769B7" w14:textId="77777777" w:rsidTr="00563C48">
        <w:trPr>
          <w:trHeight w:val="1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ADDC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2016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9C99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Belarus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84F4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List of persons, entities, and bodies amended </w:t>
            </w:r>
          </w:p>
        </w:tc>
      </w:tr>
      <w:tr w:rsidR="00103AFB" w:rsidRPr="00103AFB" w14:paraId="591FB96E" w14:textId="77777777" w:rsidTr="00563C48">
        <w:trPr>
          <w:trHeight w:val="1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9307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1997–2001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75FE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Tajikistan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7440" w14:textId="4E45E44B" w:rsidR="00583F52" w:rsidRPr="00CE2EAE" w:rsidRDefault="00CE2EAE" w:rsidP="00CE2EAE">
            <w:r w:rsidRPr="00CE2EAE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Technical Assistance to the Commonwealth of Independent States </w:t>
            </w:r>
            <w:r w:rsidR="00583F52" w:rsidRPr="00CE2EAE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aid suspended for human rights violations </w:t>
            </w:r>
          </w:p>
        </w:tc>
      </w:tr>
      <w:tr w:rsidR="00103AFB" w:rsidRPr="00103AFB" w14:paraId="7D314D6F" w14:textId="77777777" w:rsidTr="00563C48">
        <w:trPr>
          <w:trHeight w:val="1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864E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2005–2010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33E8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Tajikistan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0F63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Postponement of the ratification of the PCA </w:t>
            </w:r>
          </w:p>
        </w:tc>
      </w:tr>
      <w:tr w:rsidR="00103AFB" w:rsidRPr="00103AFB" w14:paraId="54F7B5BA" w14:textId="77777777" w:rsidTr="00563C48">
        <w:trPr>
          <w:trHeight w:val="479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A0EB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2005–2009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527C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Uzbekistan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FCDE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Arms embargo, suspension of the PCA, aid withdrawal, restrictions on admission of certain persons (2007 visa restrictions suspended, 2009 arms embargo and other restrictions lifted) </w:t>
            </w:r>
          </w:p>
        </w:tc>
      </w:tr>
      <w:tr w:rsidR="00103AFB" w:rsidRPr="00103AFB" w14:paraId="45B92207" w14:textId="77777777" w:rsidTr="00563C48">
        <w:trPr>
          <w:trHeight w:val="22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8A12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2011–2013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A4CA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Ukraine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A178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Ratification of the Association Agreement halted due to political imprisonments of opposition </w:t>
            </w:r>
            <w:r w:rsidR="00513D0C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leaders</w:t>
            </w:r>
          </w:p>
        </w:tc>
      </w:tr>
      <w:tr w:rsidR="00103AFB" w:rsidRPr="00103AFB" w14:paraId="38611538" w14:textId="77777777" w:rsidTr="00563C48">
        <w:trPr>
          <w:trHeight w:val="479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518A" w14:textId="77777777" w:rsidR="00583F52" w:rsidRPr="00103AFB" w:rsidRDefault="00583F52" w:rsidP="00FD32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2014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0F1F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Ukraine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F8FE" w14:textId="0656CBDA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Freezing funds and economic resources of certain persons responsible for human rights violations in Ukraine, entities and bodies associated with such persons (introduced: 06/03/2014; </w:t>
            </w:r>
            <w:r w:rsidR="005E7F5C">
              <w:rPr>
                <w:rFonts w:ascii="Times New Roman" w:hAnsi="Times New Roman" w:cs="Times New Roman"/>
                <w:color w:val="000000" w:themeColor="text1"/>
                <w:lang w:val="en-GB"/>
              </w:rPr>
              <w:t>extended</w:t>
            </w: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: 07/02/2015; 30/05/2015; 08/03/2016; 13/12/</w:t>
            </w:r>
            <w:proofErr w:type="gramStart"/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2016)</w:t>
            </w:r>
            <w:r w:rsidR="00C851EF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*</w:t>
            </w:r>
            <w:proofErr w:type="gramEnd"/>
          </w:p>
        </w:tc>
      </w:tr>
      <w:tr w:rsidR="00103AFB" w:rsidRPr="00103AFB" w14:paraId="53B73A77" w14:textId="77777777" w:rsidTr="00563C48">
        <w:trPr>
          <w:trHeight w:val="19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E33A" w14:textId="4AD71414" w:rsidR="002861A3" w:rsidRPr="00103AFB" w:rsidRDefault="002861A3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2014</w:t>
            </w:r>
            <w:r w:rsidR="00677936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–</w:t>
            </w:r>
            <w:r w:rsidR="00513D0C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2017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18C3" w14:textId="77777777" w:rsidR="002861A3" w:rsidRPr="00103AFB" w:rsidRDefault="002861A3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Ukraine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1E0" w14:textId="382A31B6" w:rsidR="002861A3" w:rsidRPr="00103AFB" w:rsidRDefault="002861A3" w:rsidP="00FD32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Arms embargoes (</w:t>
            </w:r>
            <w:r w:rsidR="00513D0C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introduced: 20/02/2</w:t>
            </w:r>
            <w:r w:rsidR="00FD32DA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014; lifted: 16/07/2017</w:t>
            </w:r>
            <w:r w:rsidR="00C46BDC"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>)</w:t>
            </w:r>
          </w:p>
        </w:tc>
      </w:tr>
      <w:tr w:rsidR="00103AFB" w:rsidRPr="00103AFB" w14:paraId="4073771C" w14:textId="77777777" w:rsidTr="00563C48">
        <w:trPr>
          <w:trHeight w:val="1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DAFF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1999–2008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477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Turkmenistan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8C2D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Suspension of aid </w:t>
            </w:r>
          </w:p>
        </w:tc>
      </w:tr>
      <w:tr w:rsidR="00103AFB" w:rsidRPr="00103AFB" w14:paraId="52D64946" w14:textId="77777777" w:rsidTr="00563C48">
        <w:trPr>
          <w:trHeight w:val="22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4211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1999– present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84D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Turkmenistan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3872" w14:textId="77777777" w:rsidR="00583F52" w:rsidRPr="00103AFB" w:rsidRDefault="00583F52" w:rsidP="001E3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Postponement of ratification of the PCA </w:t>
            </w:r>
          </w:p>
        </w:tc>
      </w:tr>
    </w:tbl>
    <w:p w14:paraId="2299A6F6" w14:textId="5D17BE1B" w:rsidR="00E52ABA" w:rsidRPr="00CE2EAE" w:rsidRDefault="00583F52" w:rsidP="00CE2EAE">
      <w:pPr>
        <w:spacing w:after="0" w:line="240" w:lineRule="auto"/>
        <w:ind w:left="142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103AFB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Note. 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Adapted from </w:t>
      </w:r>
      <w:r w:rsidR="005E7F5C" w:rsidRPr="00103AFB">
        <w:rPr>
          <w:rFonts w:ascii="Times New Roman" w:hAnsi="Times New Roman" w:cs="Times New Roman"/>
          <w:color w:val="000000" w:themeColor="text1"/>
          <w:lang w:val="en-GB"/>
        </w:rPr>
        <w:t>K. E. Smith</w:t>
      </w:r>
      <w:r w:rsidR="005E7F5C">
        <w:rPr>
          <w:rFonts w:ascii="Times New Roman" w:hAnsi="Times New Roman" w:cs="Times New Roman"/>
          <w:color w:val="000000" w:themeColor="text1"/>
          <w:lang w:val="en-GB"/>
        </w:rPr>
        <w:t>,</w:t>
      </w:r>
      <w:r w:rsidR="005E7F5C" w:rsidRPr="00103AF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“European Union Foreign Policy in a Changing World,” 2014, Appendix 1; </w:t>
      </w:r>
      <w:r w:rsidR="005E7F5C" w:rsidRPr="00103AFB">
        <w:rPr>
          <w:rFonts w:ascii="Times New Roman" w:hAnsi="Times New Roman" w:cs="Times New Roman"/>
          <w:color w:val="000000" w:themeColor="text1"/>
          <w:lang w:val="en-GB"/>
        </w:rPr>
        <w:t>Council of the European Union</w:t>
      </w:r>
      <w:r w:rsidR="005E7F5C">
        <w:rPr>
          <w:rFonts w:ascii="Times New Roman" w:hAnsi="Times New Roman" w:cs="Times New Roman"/>
          <w:color w:val="000000" w:themeColor="text1"/>
          <w:lang w:val="en-GB"/>
        </w:rPr>
        <w:t>,</w:t>
      </w:r>
      <w:r w:rsidR="005E7F5C" w:rsidRPr="00103AF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“Council Decision (CFSP) 2015/1957 of 29 October 2015 amending Decision 2012/642/CFSP concerning restrictive measures against Belarus,” 2015; </w:t>
      </w:r>
      <w:r w:rsidR="005E7F5C" w:rsidRPr="00103AFB">
        <w:rPr>
          <w:rFonts w:ascii="Times New Roman" w:hAnsi="Times New Roman" w:cs="Times New Roman"/>
          <w:color w:val="000000" w:themeColor="text1"/>
          <w:lang w:val="en-GB"/>
        </w:rPr>
        <w:t>European Commission</w:t>
      </w:r>
      <w:r w:rsidR="005E7F5C">
        <w:rPr>
          <w:rFonts w:ascii="Times New Roman" w:hAnsi="Times New Roman" w:cs="Times New Roman"/>
          <w:color w:val="000000" w:themeColor="text1"/>
          <w:lang w:val="en-GB"/>
        </w:rPr>
        <w:t>,</w:t>
      </w:r>
      <w:r w:rsidR="005E7F5C" w:rsidRPr="00103AF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>“Restrictive measures (sanctions) in force,” 2016, 2017a.</w:t>
      </w:r>
    </w:p>
    <w:p w14:paraId="7BA6DD58" w14:textId="5492A112" w:rsidR="00563C48" w:rsidRPr="00103AFB" w:rsidRDefault="00C851EF" w:rsidP="00C851EF">
      <w:pPr>
        <w:spacing w:after="0" w:line="240" w:lineRule="auto"/>
        <w:ind w:left="142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103AFB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* </w:t>
      </w:r>
      <w:r w:rsidRPr="00103AFB">
        <w:rPr>
          <w:rFonts w:ascii="Times New Roman" w:hAnsi="Times New Roman" w:cs="Times New Roman"/>
          <w:iCs/>
          <w:color w:val="000000" w:themeColor="text1"/>
          <w:lang w:val="en-GB"/>
        </w:rPr>
        <w:t xml:space="preserve">For a timeline of restrictive measures targeting Ukrainian and Russian officials in connection </w:t>
      </w:r>
      <w:r w:rsidR="005E7F5C">
        <w:rPr>
          <w:rFonts w:ascii="Times New Roman" w:hAnsi="Times New Roman" w:cs="Times New Roman"/>
          <w:iCs/>
          <w:color w:val="000000" w:themeColor="text1"/>
          <w:lang w:val="en-GB"/>
        </w:rPr>
        <w:t>with</w:t>
      </w:r>
      <w:r w:rsidR="005E7F5C" w:rsidRPr="00103AFB">
        <w:rPr>
          <w:rFonts w:ascii="Times New Roman" w:hAnsi="Times New Roman" w:cs="Times New Roman"/>
          <w:iCs/>
          <w:color w:val="000000" w:themeColor="text1"/>
          <w:lang w:val="en-GB"/>
        </w:rPr>
        <w:t xml:space="preserve"> </w:t>
      </w:r>
      <w:r w:rsidRPr="00103AFB">
        <w:rPr>
          <w:rFonts w:ascii="Times New Roman" w:hAnsi="Times New Roman" w:cs="Times New Roman"/>
          <w:iCs/>
          <w:color w:val="000000" w:themeColor="text1"/>
          <w:lang w:val="en-GB"/>
        </w:rPr>
        <w:t xml:space="preserve">the illegal annexation of Crimea and Russian military aggression in Eastern Ukraine, see </w:t>
      </w:r>
      <w:hyperlink r:id="rId7" w:history="1">
        <w:r w:rsidR="004818F4" w:rsidRPr="00103AFB">
          <w:rPr>
            <w:rStyle w:val="Hyperlink"/>
            <w:rFonts w:ascii="Times New Roman" w:hAnsi="Times New Roman" w:cs="Times New Roman"/>
            <w:iCs/>
            <w:color w:val="000000" w:themeColor="text1"/>
            <w:lang w:val="en-GB"/>
          </w:rPr>
          <w:t>https://www.consilium.europa.eu/en/policies/sanctions/ukraine-crisis/history-ukraine-crisis/</w:t>
        </w:r>
      </w:hyperlink>
      <w:r w:rsidRPr="00103AFB">
        <w:rPr>
          <w:rFonts w:ascii="Times New Roman" w:hAnsi="Times New Roman" w:cs="Times New Roman"/>
          <w:iCs/>
          <w:color w:val="000000" w:themeColor="text1"/>
          <w:lang w:val="en-GB"/>
        </w:rPr>
        <w:t>.</w:t>
      </w:r>
      <w:r w:rsidR="004818F4" w:rsidRPr="00103AFB">
        <w:rPr>
          <w:rFonts w:ascii="Times New Roman" w:hAnsi="Times New Roman" w:cs="Times New Roman"/>
          <w:iCs/>
          <w:color w:val="000000" w:themeColor="text1"/>
          <w:lang w:val="en-GB"/>
        </w:rPr>
        <w:t xml:space="preserve"> </w:t>
      </w:r>
      <w:r w:rsidR="00EB03BB" w:rsidRPr="00103AFB">
        <w:rPr>
          <w:rFonts w:ascii="Times New Roman" w:hAnsi="Times New Roman" w:cs="Times New Roman"/>
          <w:iCs/>
          <w:color w:val="000000" w:themeColor="text1"/>
          <w:lang w:val="en-GB"/>
        </w:rPr>
        <w:t>Note that</w:t>
      </w:r>
      <w:r w:rsidR="004818F4" w:rsidRPr="00103AFB">
        <w:rPr>
          <w:rFonts w:ascii="Times New Roman" w:hAnsi="Times New Roman" w:cs="Times New Roman"/>
          <w:iCs/>
          <w:color w:val="000000" w:themeColor="text1"/>
          <w:lang w:val="en-GB"/>
        </w:rPr>
        <w:t xml:space="preserve"> only a very small </w:t>
      </w:r>
      <w:r w:rsidR="005E7F5C">
        <w:rPr>
          <w:rFonts w:ascii="Times New Roman" w:hAnsi="Times New Roman" w:cs="Times New Roman"/>
          <w:iCs/>
          <w:color w:val="000000" w:themeColor="text1"/>
          <w:lang w:val="en-GB"/>
        </w:rPr>
        <w:t>portion</w:t>
      </w:r>
      <w:r w:rsidR="005E7F5C" w:rsidRPr="00103AFB">
        <w:rPr>
          <w:rFonts w:ascii="Times New Roman" w:hAnsi="Times New Roman" w:cs="Times New Roman"/>
          <w:iCs/>
          <w:color w:val="000000" w:themeColor="text1"/>
          <w:lang w:val="en-GB"/>
        </w:rPr>
        <w:t xml:space="preserve"> </w:t>
      </w:r>
      <w:r w:rsidR="004818F4" w:rsidRPr="00103AFB">
        <w:rPr>
          <w:rFonts w:ascii="Times New Roman" w:hAnsi="Times New Roman" w:cs="Times New Roman"/>
          <w:iCs/>
          <w:color w:val="000000" w:themeColor="text1"/>
          <w:lang w:val="en-GB"/>
        </w:rPr>
        <w:t>of the sanctions was introduced due to human rights violations.</w:t>
      </w:r>
      <w:r w:rsidR="00563C48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14:paraId="4B866FBB" w14:textId="77777777" w:rsidR="00293F84" w:rsidRPr="00103AFB" w:rsidRDefault="00293F84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792F06" w14:textId="183A00D7" w:rsidR="004B1A14" w:rsidRPr="00103AFB" w:rsidRDefault="004B1A14" w:rsidP="004B1A14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103AFB">
        <w:rPr>
          <w:rFonts w:ascii="Times New Roman" w:hAnsi="Times New Roman" w:cs="Times New Roman"/>
          <w:b/>
          <w:color w:val="000000" w:themeColor="text1"/>
        </w:rPr>
        <w:t xml:space="preserve">Table </w:t>
      </w:r>
      <w:r w:rsidR="0049134B" w:rsidRPr="00103AFB">
        <w:rPr>
          <w:rFonts w:ascii="Times New Roman" w:hAnsi="Times New Roman" w:cs="Times New Roman"/>
          <w:b/>
          <w:color w:val="000000" w:themeColor="text1"/>
        </w:rPr>
        <w:t>2</w:t>
      </w:r>
      <w:r w:rsidRPr="00103AFB">
        <w:rPr>
          <w:rFonts w:ascii="Times New Roman" w:hAnsi="Times New Roman" w:cs="Times New Roman"/>
          <w:b/>
          <w:color w:val="000000" w:themeColor="text1"/>
        </w:rPr>
        <w:t>.</w:t>
      </w:r>
      <w:r w:rsidR="00ED3768" w:rsidRPr="00103AFB">
        <w:rPr>
          <w:rFonts w:ascii="Times New Roman" w:hAnsi="Times New Roman" w:cs="Times New Roman"/>
          <w:color w:val="000000" w:themeColor="text1"/>
        </w:rPr>
        <w:t xml:space="preserve"> Summary s</w:t>
      </w:r>
      <w:r w:rsidRPr="00103AFB">
        <w:rPr>
          <w:rFonts w:ascii="Times New Roman" w:hAnsi="Times New Roman" w:cs="Times New Roman"/>
          <w:color w:val="000000" w:themeColor="text1"/>
        </w:rPr>
        <w:t>tatistics, 1992</w:t>
      </w:r>
      <w:r w:rsidR="005E7F5C">
        <w:rPr>
          <w:rFonts w:ascii="Times New Roman" w:hAnsi="Times New Roman" w:cs="Times New Roman"/>
          <w:color w:val="000000" w:themeColor="text1"/>
        </w:rPr>
        <w:t>–</w:t>
      </w:r>
      <w:r w:rsidRPr="00103AFB">
        <w:rPr>
          <w:rFonts w:ascii="Times New Roman" w:hAnsi="Times New Roman" w:cs="Times New Roman"/>
          <w:color w:val="000000" w:themeColor="text1"/>
        </w:rPr>
        <w:t>201</w:t>
      </w:r>
      <w:r w:rsidR="00520267" w:rsidRPr="00103AFB">
        <w:rPr>
          <w:rFonts w:ascii="Times New Roman" w:hAnsi="Times New Roman" w:cs="Times New Roman"/>
          <w:color w:val="000000" w:themeColor="text1"/>
        </w:rPr>
        <w:t>6</w:t>
      </w:r>
    </w:p>
    <w:p w14:paraId="670DEE11" w14:textId="77777777" w:rsidR="00A10CC9" w:rsidRPr="00103AFB" w:rsidRDefault="00A10CC9" w:rsidP="004B1A14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276"/>
        <w:gridCol w:w="1417"/>
        <w:gridCol w:w="1276"/>
        <w:gridCol w:w="1126"/>
      </w:tblGrid>
      <w:tr w:rsidR="00103AFB" w:rsidRPr="00103AFB" w14:paraId="2C5E9B27" w14:textId="77777777" w:rsidTr="007B20B0">
        <w:trPr>
          <w:tblCellSpacing w:w="15" w:type="dxa"/>
        </w:trPr>
        <w:tc>
          <w:tcPr>
            <w:tcW w:w="293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C72E9CE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F803F53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Obs.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60A5BE5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Mean</w:t>
            </w:r>
          </w:p>
        </w:tc>
        <w:tc>
          <w:tcPr>
            <w:tcW w:w="1387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6744D11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Std. Dev.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6BD35CE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Min.</w:t>
            </w:r>
          </w:p>
        </w:tc>
        <w:tc>
          <w:tcPr>
            <w:tcW w:w="1081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3C5F542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Max.</w:t>
            </w:r>
          </w:p>
        </w:tc>
      </w:tr>
      <w:tr w:rsidR="00103AFB" w:rsidRPr="00103AFB" w14:paraId="0AF2D9FB" w14:textId="77777777" w:rsidTr="007B20B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472E728" w14:textId="77777777" w:rsidR="00835D0D" w:rsidRPr="00103AFB" w:rsidRDefault="00B36955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H</w:t>
            </w:r>
            <w:r w:rsidR="006F5BC7"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uman rights 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situation</w:t>
            </w:r>
            <w:r w:rsidR="006F5BC7"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14:paraId="071AC805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29781D2B" w14:textId="433968CE" w:rsidR="00835D0D" w:rsidRPr="00103AFB" w:rsidRDefault="005E7F5C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.519</w:t>
            </w:r>
          </w:p>
        </w:tc>
        <w:tc>
          <w:tcPr>
            <w:tcW w:w="1387" w:type="dxa"/>
            <w:vAlign w:val="center"/>
            <w:hideMark/>
          </w:tcPr>
          <w:p w14:paraId="0003BAB0" w14:textId="75BA5C54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.191</w:t>
            </w:r>
          </w:p>
        </w:tc>
        <w:tc>
          <w:tcPr>
            <w:tcW w:w="1246" w:type="dxa"/>
            <w:vAlign w:val="center"/>
            <w:hideMark/>
          </w:tcPr>
          <w:p w14:paraId="2A1DB107" w14:textId="543E5185" w:rsidR="00835D0D" w:rsidRPr="00103AFB" w:rsidRDefault="00CE2EAE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.10</w:t>
            </w:r>
            <w:r w:rsidR="00206545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</w:t>
            </w:r>
          </w:p>
        </w:tc>
        <w:tc>
          <w:tcPr>
            <w:tcW w:w="1081" w:type="dxa"/>
            <w:vAlign w:val="center"/>
            <w:hideMark/>
          </w:tcPr>
          <w:p w14:paraId="501D3123" w14:textId="75CA2E69" w:rsidR="00835D0D" w:rsidRPr="00103AFB" w:rsidRDefault="00CE2EAE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.875</w:t>
            </w:r>
          </w:p>
        </w:tc>
      </w:tr>
      <w:tr w:rsidR="00103AFB" w:rsidRPr="00103AFB" w14:paraId="6A485783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21A12E47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Aid suspension</w:t>
            </w:r>
          </w:p>
        </w:tc>
        <w:tc>
          <w:tcPr>
            <w:tcW w:w="1104" w:type="dxa"/>
            <w:vAlign w:val="center"/>
            <w:hideMark/>
          </w:tcPr>
          <w:p w14:paraId="3F792732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25E174FE" w14:textId="207DD007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.131</w:t>
            </w:r>
          </w:p>
        </w:tc>
        <w:tc>
          <w:tcPr>
            <w:tcW w:w="1387" w:type="dxa"/>
            <w:vAlign w:val="center"/>
            <w:hideMark/>
          </w:tcPr>
          <w:p w14:paraId="55520738" w14:textId="0975039F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.338</w:t>
            </w:r>
          </w:p>
        </w:tc>
        <w:tc>
          <w:tcPr>
            <w:tcW w:w="1246" w:type="dxa"/>
            <w:vAlign w:val="center"/>
            <w:hideMark/>
          </w:tcPr>
          <w:p w14:paraId="46EBCC1B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5F01FCB3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51B64DE7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7452196C" w14:textId="77777777" w:rsidR="00835D0D" w:rsidRPr="00103AFB" w:rsidRDefault="007D4AFA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Targeted</w:t>
            </w:r>
            <w:r w:rsidR="00835D0D"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 xml:space="preserve"> sanctions</w:t>
            </w:r>
          </w:p>
        </w:tc>
        <w:tc>
          <w:tcPr>
            <w:tcW w:w="1104" w:type="dxa"/>
            <w:vAlign w:val="center"/>
            <w:hideMark/>
          </w:tcPr>
          <w:p w14:paraId="0CA64677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61E9EB04" w14:textId="11AD816B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.064</w:t>
            </w:r>
          </w:p>
        </w:tc>
        <w:tc>
          <w:tcPr>
            <w:tcW w:w="1387" w:type="dxa"/>
            <w:vAlign w:val="center"/>
            <w:hideMark/>
          </w:tcPr>
          <w:p w14:paraId="65E9E399" w14:textId="69189D09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.245</w:t>
            </w:r>
          </w:p>
        </w:tc>
        <w:tc>
          <w:tcPr>
            <w:tcW w:w="1246" w:type="dxa"/>
            <w:vAlign w:val="center"/>
            <w:hideMark/>
          </w:tcPr>
          <w:p w14:paraId="58CD5B0B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592A9581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75050D17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59D7812A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Arms embargoes</w:t>
            </w:r>
          </w:p>
        </w:tc>
        <w:tc>
          <w:tcPr>
            <w:tcW w:w="1104" w:type="dxa"/>
            <w:vAlign w:val="center"/>
            <w:hideMark/>
          </w:tcPr>
          <w:p w14:paraId="3B8317D4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2F35E540" w14:textId="484AA6AF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.054</w:t>
            </w:r>
          </w:p>
        </w:tc>
        <w:tc>
          <w:tcPr>
            <w:tcW w:w="1387" w:type="dxa"/>
            <w:vAlign w:val="center"/>
            <w:hideMark/>
          </w:tcPr>
          <w:p w14:paraId="41A89BCC" w14:textId="704D5DE6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.227</w:t>
            </w:r>
          </w:p>
        </w:tc>
        <w:tc>
          <w:tcPr>
            <w:tcW w:w="1246" w:type="dxa"/>
            <w:vAlign w:val="center"/>
            <w:hideMark/>
          </w:tcPr>
          <w:p w14:paraId="7C6DA8E3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15F50D1F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798813C0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5DD41959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 xml:space="preserve">Withholding cooperation </w:t>
            </w:r>
          </w:p>
        </w:tc>
        <w:tc>
          <w:tcPr>
            <w:tcW w:w="1104" w:type="dxa"/>
            <w:vAlign w:val="center"/>
            <w:hideMark/>
          </w:tcPr>
          <w:p w14:paraId="2CDD5E0C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436DCFB8" w14:textId="72E965FB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.163</w:t>
            </w:r>
          </w:p>
        </w:tc>
        <w:tc>
          <w:tcPr>
            <w:tcW w:w="1387" w:type="dxa"/>
            <w:vAlign w:val="center"/>
            <w:hideMark/>
          </w:tcPr>
          <w:p w14:paraId="66C6AC1E" w14:textId="63183584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.370</w:t>
            </w:r>
          </w:p>
        </w:tc>
        <w:tc>
          <w:tcPr>
            <w:tcW w:w="1246" w:type="dxa"/>
            <w:vAlign w:val="center"/>
            <w:hideMark/>
          </w:tcPr>
          <w:p w14:paraId="6EC5F8C7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3BE5CA20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445EB334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746A9CB1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Threat of sanctions</w:t>
            </w:r>
          </w:p>
        </w:tc>
        <w:tc>
          <w:tcPr>
            <w:tcW w:w="1104" w:type="dxa"/>
            <w:vAlign w:val="center"/>
            <w:hideMark/>
          </w:tcPr>
          <w:p w14:paraId="390A1A87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53A879FE" w14:textId="7EFA494A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.051</w:t>
            </w:r>
          </w:p>
        </w:tc>
        <w:tc>
          <w:tcPr>
            <w:tcW w:w="1387" w:type="dxa"/>
            <w:vAlign w:val="center"/>
            <w:hideMark/>
          </w:tcPr>
          <w:p w14:paraId="015CF406" w14:textId="32C9F7A0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.221</w:t>
            </w:r>
          </w:p>
        </w:tc>
        <w:tc>
          <w:tcPr>
            <w:tcW w:w="1246" w:type="dxa"/>
            <w:vAlign w:val="center"/>
            <w:hideMark/>
          </w:tcPr>
          <w:p w14:paraId="660A2920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2ED88B24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3550B395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000DA48A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Civil war</w:t>
            </w:r>
          </w:p>
        </w:tc>
        <w:tc>
          <w:tcPr>
            <w:tcW w:w="1104" w:type="dxa"/>
            <w:vAlign w:val="center"/>
            <w:hideMark/>
          </w:tcPr>
          <w:p w14:paraId="266E0306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6576BC32" w14:textId="62DA8681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.083</w:t>
            </w:r>
          </w:p>
        </w:tc>
        <w:tc>
          <w:tcPr>
            <w:tcW w:w="1387" w:type="dxa"/>
            <w:vAlign w:val="center"/>
            <w:hideMark/>
          </w:tcPr>
          <w:p w14:paraId="171EA86D" w14:textId="092D7378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.277</w:t>
            </w:r>
          </w:p>
        </w:tc>
        <w:tc>
          <w:tcPr>
            <w:tcW w:w="1246" w:type="dxa"/>
            <w:vAlign w:val="center"/>
            <w:hideMark/>
          </w:tcPr>
          <w:p w14:paraId="0E302469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67F17635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14EFDCFC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74063D48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International war</w:t>
            </w:r>
          </w:p>
        </w:tc>
        <w:tc>
          <w:tcPr>
            <w:tcW w:w="1104" w:type="dxa"/>
            <w:vAlign w:val="center"/>
            <w:hideMark/>
          </w:tcPr>
          <w:p w14:paraId="2E69F169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315F2588" w14:textId="7466EEFB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.038</w:t>
            </w:r>
          </w:p>
        </w:tc>
        <w:tc>
          <w:tcPr>
            <w:tcW w:w="1387" w:type="dxa"/>
            <w:vAlign w:val="center"/>
            <w:hideMark/>
          </w:tcPr>
          <w:p w14:paraId="2A2FAAD3" w14:textId="18D519C3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.193</w:t>
            </w:r>
          </w:p>
        </w:tc>
        <w:tc>
          <w:tcPr>
            <w:tcW w:w="1246" w:type="dxa"/>
            <w:vAlign w:val="center"/>
            <w:hideMark/>
          </w:tcPr>
          <w:p w14:paraId="01B92105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3634716B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6A2B91FA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50FD621F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Democracy</w:t>
            </w:r>
          </w:p>
        </w:tc>
        <w:tc>
          <w:tcPr>
            <w:tcW w:w="1104" w:type="dxa"/>
            <w:vAlign w:val="center"/>
            <w:hideMark/>
          </w:tcPr>
          <w:p w14:paraId="23AA3068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530FC3E5" w14:textId="2BEB1782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="00CE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.715</w:t>
            </w:r>
          </w:p>
        </w:tc>
        <w:tc>
          <w:tcPr>
            <w:tcW w:w="1387" w:type="dxa"/>
            <w:vAlign w:val="center"/>
            <w:hideMark/>
          </w:tcPr>
          <w:p w14:paraId="1EDB1849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6.374</w:t>
            </w:r>
          </w:p>
        </w:tc>
        <w:tc>
          <w:tcPr>
            <w:tcW w:w="1246" w:type="dxa"/>
            <w:vAlign w:val="center"/>
            <w:hideMark/>
          </w:tcPr>
          <w:p w14:paraId="563F782B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-9</w:t>
            </w:r>
          </w:p>
        </w:tc>
        <w:tc>
          <w:tcPr>
            <w:tcW w:w="1081" w:type="dxa"/>
            <w:vAlign w:val="center"/>
            <w:hideMark/>
          </w:tcPr>
          <w:p w14:paraId="5BF1E6AE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</w:tr>
      <w:tr w:rsidR="00103AFB" w:rsidRPr="00103AFB" w14:paraId="4EB6FAF1" w14:textId="77777777" w:rsidTr="007B20B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48C0BD3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Other sanctions</w:t>
            </w:r>
          </w:p>
        </w:tc>
        <w:tc>
          <w:tcPr>
            <w:tcW w:w="1104" w:type="dxa"/>
            <w:vAlign w:val="center"/>
            <w:hideMark/>
          </w:tcPr>
          <w:p w14:paraId="2BAE55A0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182</w:t>
            </w:r>
          </w:p>
        </w:tc>
        <w:tc>
          <w:tcPr>
            <w:tcW w:w="1246" w:type="dxa"/>
            <w:vAlign w:val="center"/>
            <w:hideMark/>
          </w:tcPr>
          <w:p w14:paraId="5A17A8E6" w14:textId="74F1A7AC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.423</w:t>
            </w:r>
          </w:p>
        </w:tc>
        <w:tc>
          <w:tcPr>
            <w:tcW w:w="1387" w:type="dxa"/>
            <w:vAlign w:val="center"/>
            <w:hideMark/>
          </w:tcPr>
          <w:p w14:paraId="58B76E39" w14:textId="424A0FDA" w:rsidR="00835D0D" w:rsidRPr="00103AFB" w:rsidRDefault="00CE2EAE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.495</w:t>
            </w:r>
          </w:p>
        </w:tc>
        <w:tc>
          <w:tcPr>
            <w:tcW w:w="1246" w:type="dxa"/>
            <w:vAlign w:val="center"/>
            <w:hideMark/>
          </w:tcPr>
          <w:p w14:paraId="100C656A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469B4BC7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103AFB" w:rsidRPr="00103AFB" w14:paraId="226C7BF9" w14:textId="77777777" w:rsidTr="007B20B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5CC5CDBC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GDP </w:t>
            </w: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 w:eastAsia="en-GB"/>
              </w:rPr>
              <w:t>per capita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(</w:t>
            </w: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 w:eastAsia="en-GB"/>
              </w:rPr>
              <w:t>log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104" w:type="dxa"/>
            <w:vAlign w:val="center"/>
            <w:hideMark/>
          </w:tcPr>
          <w:p w14:paraId="2B728B80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645E7E0C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7.244</w:t>
            </w:r>
          </w:p>
        </w:tc>
        <w:tc>
          <w:tcPr>
            <w:tcW w:w="1387" w:type="dxa"/>
            <w:vAlign w:val="center"/>
            <w:hideMark/>
          </w:tcPr>
          <w:p w14:paraId="18167651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1.046</w:t>
            </w:r>
          </w:p>
        </w:tc>
        <w:tc>
          <w:tcPr>
            <w:tcW w:w="1246" w:type="dxa"/>
            <w:vAlign w:val="center"/>
            <w:hideMark/>
          </w:tcPr>
          <w:p w14:paraId="30C5C0BE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4.930</w:t>
            </w:r>
          </w:p>
        </w:tc>
        <w:tc>
          <w:tcPr>
            <w:tcW w:w="1081" w:type="dxa"/>
            <w:vAlign w:val="center"/>
            <w:hideMark/>
          </w:tcPr>
          <w:p w14:paraId="2D7FFF28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9.651</w:t>
            </w:r>
          </w:p>
        </w:tc>
      </w:tr>
      <w:tr w:rsidR="00103AFB" w:rsidRPr="00103AFB" w14:paraId="680D33CD" w14:textId="77777777" w:rsidTr="007B20B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6DCBC26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Treaties</w:t>
            </w:r>
          </w:p>
        </w:tc>
        <w:tc>
          <w:tcPr>
            <w:tcW w:w="1104" w:type="dxa"/>
            <w:vAlign w:val="center"/>
            <w:hideMark/>
          </w:tcPr>
          <w:p w14:paraId="4D2ADC97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313</w:t>
            </w:r>
          </w:p>
        </w:tc>
        <w:tc>
          <w:tcPr>
            <w:tcW w:w="1246" w:type="dxa"/>
            <w:vAlign w:val="center"/>
            <w:hideMark/>
          </w:tcPr>
          <w:p w14:paraId="005D5E15" w14:textId="77777777" w:rsidR="00835D0D" w:rsidRPr="00103AFB" w:rsidRDefault="00F93C48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2.974</w:t>
            </w:r>
          </w:p>
        </w:tc>
        <w:tc>
          <w:tcPr>
            <w:tcW w:w="1387" w:type="dxa"/>
            <w:vAlign w:val="center"/>
            <w:hideMark/>
          </w:tcPr>
          <w:p w14:paraId="18EEFB36" w14:textId="77777777" w:rsidR="00835D0D" w:rsidRPr="00103AFB" w:rsidRDefault="00F93C48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1.489</w:t>
            </w:r>
          </w:p>
        </w:tc>
        <w:tc>
          <w:tcPr>
            <w:tcW w:w="1246" w:type="dxa"/>
            <w:vAlign w:val="center"/>
            <w:hideMark/>
          </w:tcPr>
          <w:p w14:paraId="23280735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51A95420" w14:textId="77777777" w:rsidR="00835D0D" w:rsidRPr="00103AFB" w:rsidRDefault="00F93C48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</w:t>
            </w:r>
          </w:p>
        </w:tc>
      </w:tr>
      <w:tr w:rsidR="00103AFB" w:rsidRPr="00103AFB" w14:paraId="3A5C24F6" w14:textId="77777777" w:rsidTr="007B20B0">
        <w:trPr>
          <w:tblCellSpacing w:w="15" w:type="dxa"/>
        </w:trPr>
        <w:tc>
          <w:tcPr>
            <w:tcW w:w="2932" w:type="dxa"/>
            <w:vAlign w:val="bottom"/>
            <w:hideMark/>
          </w:tcPr>
          <w:p w14:paraId="5D893A0E" w14:textId="77777777" w:rsidR="00835D0D" w:rsidRPr="00103AFB" w:rsidRDefault="00835D0D" w:rsidP="00835D0D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ODA per capita (</w:t>
            </w:r>
            <w:r w:rsidRPr="00103AFB">
              <w:rPr>
                <w:rFonts w:ascii="Times New Roman" w:hAnsi="Times New Roman" w:cs="Times New Roman"/>
                <w:i/>
                <w:color w:val="000000" w:themeColor="text1"/>
                <w:lang w:eastAsia="en-GB"/>
              </w:rPr>
              <w:t>log</w:t>
            </w:r>
            <w:r w:rsidRPr="00103AFB">
              <w:rPr>
                <w:rFonts w:ascii="Times New Roman" w:hAnsi="Times New Roman" w:cs="Times New Roman"/>
                <w:color w:val="000000" w:themeColor="text1"/>
                <w:lang w:eastAsia="en-GB"/>
              </w:rPr>
              <w:t>)</w:t>
            </w:r>
          </w:p>
        </w:tc>
        <w:tc>
          <w:tcPr>
            <w:tcW w:w="1104" w:type="dxa"/>
            <w:vAlign w:val="center"/>
            <w:hideMark/>
          </w:tcPr>
          <w:p w14:paraId="74850B37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295</w:t>
            </w:r>
          </w:p>
        </w:tc>
        <w:tc>
          <w:tcPr>
            <w:tcW w:w="1246" w:type="dxa"/>
            <w:vAlign w:val="center"/>
            <w:hideMark/>
          </w:tcPr>
          <w:p w14:paraId="2F0C3EE8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31.678</w:t>
            </w:r>
          </w:p>
        </w:tc>
        <w:tc>
          <w:tcPr>
            <w:tcW w:w="1387" w:type="dxa"/>
            <w:vAlign w:val="center"/>
            <w:hideMark/>
          </w:tcPr>
          <w:p w14:paraId="03D622ED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38.93</w:t>
            </w:r>
            <w:r w:rsidR="00206545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1246" w:type="dxa"/>
            <w:vAlign w:val="center"/>
            <w:hideMark/>
          </w:tcPr>
          <w:p w14:paraId="49068D01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1081" w:type="dxa"/>
            <w:vAlign w:val="center"/>
            <w:hideMark/>
          </w:tcPr>
          <w:p w14:paraId="1B5C2DF7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220.275</w:t>
            </w:r>
          </w:p>
        </w:tc>
      </w:tr>
      <w:tr w:rsidR="00103AFB" w:rsidRPr="00103AFB" w14:paraId="6935A730" w14:textId="77777777" w:rsidTr="007B20B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C02CF19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Russia’s relative power</w:t>
            </w:r>
          </w:p>
        </w:tc>
        <w:tc>
          <w:tcPr>
            <w:tcW w:w="1104" w:type="dxa"/>
            <w:vAlign w:val="center"/>
            <w:hideMark/>
          </w:tcPr>
          <w:p w14:paraId="12CFFB34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226</w:t>
            </w:r>
          </w:p>
        </w:tc>
        <w:tc>
          <w:tcPr>
            <w:tcW w:w="1246" w:type="dxa"/>
            <w:vAlign w:val="center"/>
            <w:hideMark/>
          </w:tcPr>
          <w:p w14:paraId="4FE4BCF3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-1.305</w:t>
            </w:r>
          </w:p>
        </w:tc>
        <w:tc>
          <w:tcPr>
            <w:tcW w:w="1387" w:type="dxa"/>
            <w:vAlign w:val="center"/>
            <w:hideMark/>
          </w:tcPr>
          <w:p w14:paraId="1531A5EC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17.574</w:t>
            </w:r>
          </w:p>
        </w:tc>
        <w:tc>
          <w:tcPr>
            <w:tcW w:w="1246" w:type="dxa"/>
            <w:vAlign w:val="center"/>
            <w:hideMark/>
          </w:tcPr>
          <w:p w14:paraId="2CB71AF0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-39.18</w:t>
            </w:r>
            <w:r w:rsidR="00206545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1081" w:type="dxa"/>
            <w:vAlign w:val="center"/>
            <w:hideMark/>
          </w:tcPr>
          <w:p w14:paraId="0791389E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49.746</w:t>
            </w:r>
          </w:p>
        </w:tc>
      </w:tr>
      <w:tr w:rsidR="00103AFB" w:rsidRPr="00103AFB" w14:paraId="2CF20DEF" w14:textId="77777777" w:rsidTr="007B20B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A5BD991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State capacity</w:t>
            </w:r>
          </w:p>
        </w:tc>
        <w:tc>
          <w:tcPr>
            <w:tcW w:w="1104" w:type="dxa"/>
            <w:vAlign w:val="center"/>
            <w:hideMark/>
          </w:tcPr>
          <w:p w14:paraId="40B6768D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216</w:t>
            </w:r>
          </w:p>
        </w:tc>
        <w:tc>
          <w:tcPr>
            <w:tcW w:w="1246" w:type="dxa"/>
            <w:vAlign w:val="center"/>
            <w:hideMark/>
          </w:tcPr>
          <w:p w14:paraId="32EEE820" w14:textId="26B3A143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="00CE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.665</w:t>
            </w:r>
          </w:p>
        </w:tc>
        <w:tc>
          <w:tcPr>
            <w:tcW w:w="1387" w:type="dxa"/>
            <w:vAlign w:val="center"/>
            <w:hideMark/>
          </w:tcPr>
          <w:p w14:paraId="124BD27E" w14:textId="2E4EF903" w:rsidR="00835D0D" w:rsidRPr="00103AFB" w:rsidRDefault="00CE2EAE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.428</w:t>
            </w:r>
          </w:p>
        </w:tc>
        <w:tc>
          <w:tcPr>
            <w:tcW w:w="1246" w:type="dxa"/>
            <w:vAlign w:val="center"/>
            <w:hideMark/>
          </w:tcPr>
          <w:p w14:paraId="01D6EE77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-1.64</w:t>
            </w:r>
            <w:r w:rsidR="00206545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1081" w:type="dxa"/>
            <w:vAlign w:val="center"/>
            <w:hideMark/>
          </w:tcPr>
          <w:p w14:paraId="2D86F1AC" w14:textId="68635CD7" w:rsidR="00835D0D" w:rsidRPr="00103AFB" w:rsidRDefault="00CE2EAE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  <w:r w:rsidR="00835D0D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.60</w:t>
            </w:r>
            <w:r w:rsidR="00206545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</w:t>
            </w:r>
          </w:p>
        </w:tc>
      </w:tr>
      <w:tr w:rsidR="00103AFB" w:rsidRPr="00103AFB" w14:paraId="7CFA4304" w14:textId="77777777" w:rsidTr="007B20B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5D0D4803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Population (</w:t>
            </w: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 w:eastAsia="en-GB"/>
              </w:rPr>
              <w:t>log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104" w:type="dxa"/>
            <w:vAlign w:val="center"/>
            <w:hideMark/>
          </w:tcPr>
          <w:p w14:paraId="61909226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312</w:t>
            </w:r>
          </w:p>
        </w:tc>
        <w:tc>
          <w:tcPr>
            <w:tcW w:w="1246" w:type="dxa"/>
            <w:vAlign w:val="center"/>
            <w:hideMark/>
          </w:tcPr>
          <w:p w14:paraId="0243ADB3" w14:textId="77777777" w:rsidR="00835D0D" w:rsidRPr="00103AFB" w:rsidRDefault="00835D0D" w:rsidP="0083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16.166</w:t>
            </w:r>
          </w:p>
        </w:tc>
        <w:tc>
          <w:tcPr>
            <w:tcW w:w="1387" w:type="dxa"/>
            <w:vAlign w:val="center"/>
            <w:hideMark/>
          </w:tcPr>
          <w:p w14:paraId="796B6319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1.127</w:t>
            </w:r>
          </w:p>
        </w:tc>
        <w:tc>
          <w:tcPr>
            <w:tcW w:w="1246" w:type="dxa"/>
            <w:vAlign w:val="center"/>
            <w:hideMark/>
          </w:tcPr>
          <w:p w14:paraId="27C5A355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14.87</w:t>
            </w:r>
            <w:r w:rsidR="00206545"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1081" w:type="dxa"/>
            <w:vAlign w:val="center"/>
            <w:hideMark/>
          </w:tcPr>
          <w:p w14:paraId="6417B7FD" w14:textId="77777777" w:rsidR="00835D0D" w:rsidRPr="00103AFB" w:rsidRDefault="00835D0D" w:rsidP="00206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18.817</w:t>
            </w:r>
          </w:p>
        </w:tc>
      </w:tr>
    </w:tbl>
    <w:p w14:paraId="27E9F60D" w14:textId="46ED971F" w:rsidR="00835D0D" w:rsidRPr="00103AFB" w:rsidRDefault="00835D0D" w:rsidP="00835D0D">
      <w:pPr>
        <w:pStyle w:val="Table"/>
        <w:rPr>
          <w:color w:val="000000" w:themeColor="text1"/>
          <w:sz w:val="24"/>
          <w:szCs w:val="24"/>
          <w:lang w:val="en-GB"/>
        </w:rPr>
      </w:pPr>
      <w:r w:rsidRPr="00103AFB">
        <w:rPr>
          <w:i/>
          <w:color w:val="000000" w:themeColor="text1"/>
          <w:sz w:val="24"/>
          <w:szCs w:val="24"/>
          <w:lang w:val="en-GB"/>
        </w:rPr>
        <w:t>Note.</w:t>
      </w:r>
      <w:r w:rsidRPr="00103AFB">
        <w:rPr>
          <w:color w:val="000000" w:themeColor="text1"/>
          <w:sz w:val="24"/>
          <w:szCs w:val="24"/>
          <w:lang w:val="en-GB"/>
        </w:rPr>
        <w:t xml:space="preserve"> </w:t>
      </w:r>
      <w:r w:rsidR="005E7F5C">
        <w:rPr>
          <w:color w:val="000000" w:themeColor="text1"/>
          <w:sz w:val="24"/>
          <w:szCs w:val="24"/>
          <w:lang w:val="en-GB"/>
        </w:rPr>
        <w:t>Author’s</w:t>
      </w:r>
      <w:r w:rsidR="005E7F5C" w:rsidRPr="00103AFB">
        <w:rPr>
          <w:color w:val="000000" w:themeColor="text1"/>
          <w:sz w:val="24"/>
          <w:szCs w:val="24"/>
          <w:lang w:val="en-GB"/>
        </w:rPr>
        <w:t xml:space="preserve"> </w:t>
      </w:r>
      <w:r w:rsidRPr="00103AFB">
        <w:rPr>
          <w:color w:val="000000" w:themeColor="text1"/>
          <w:sz w:val="24"/>
          <w:szCs w:val="24"/>
          <w:lang w:val="en-GB"/>
        </w:rPr>
        <w:t>calculations.</w:t>
      </w:r>
    </w:p>
    <w:p w14:paraId="55912577" w14:textId="77777777" w:rsidR="004B1A14" w:rsidRPr="00103AFB" w:rsidRDefault="004B1A14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C5730C7" w14:textId="77777777" w:rsidR="001E3458" w:rsidRPr="00103AFB" w:rsidRDefault="001649D6" w:rsidP="00EA6DE6">
      <w:pPr>
        <w:keepNext/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lang w:val="en-GB"/>
        </w:rPr>
      </w:pPr>
      <w:r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14:paraId="77F7275E" w14:textId="56596826" w:rsidR="00FC45BD" w:rsidRPr="00103AFB" w:rsidRDefault="00616056" w:rsidP="00922B2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03AFB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>Table 3</w:t>
      </w:r>
      <w:r w:rsidR="00FC45BD" w:rsidRPr="00103AFB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. </w:t>
      </w:r>
      <w:r w:rsidR="00ED3768" w:rsidRPr="00103AFB">
        <w:rPr>
          <w:rFonts w:ascii="Times New Roman" w:hAnsi="Times New Roman" w:cs="Times New Roman"/>
          <w:color w:val="000000" w:themeColor="text1"/>
          <w:sz w:val="24"/>
          <w:szCs w:val="24"/>
        </w:rPr>
        <w:t>The effects of sanctions on the human rights situation</w:t>
      </w:r>
      <w:r w:rsidR="005E7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target country</w:t>
      </w:r>
      <w:r w:rsidR="00ED3768" w:rsidRPr="00103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E7F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excluding</w:t>
      </w:r>
      <w:r w:rsidR="00ED3768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Belaru</w:t>
      </w:r>
      <w:r w:rsidR="00AD589B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(ref. Table 1 in the </w:t>
      </w:r>
      <w:r w:rsidR="004275F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main text</w:t>
      </w:r>
      <w:r w:rsidR="00AD589B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tbl>
      <w:tblPr>
        <w:tblW w:w="839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1276"/>
        <w:gridCol w:w="1168"/>
        <w:gridCol w:w="1276"/>
        <w:gridCol w:w="1134"/>
      </w:tblGrid>
      <w:tr w:rsidR="00103AFB" w:rsidRPr="00103AFB" w14:paraId="5F59B68D" w14:textId="77777777" w:rsidTr="0016354B"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</w:tcPr>
          <w:p w14:paraId="5FAE429F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3B3EC92B" w14:textId="77777777" w:rsidR="004B0618" w:rsidRPr="00103AFB" w:rsidRDefault="00447DD2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Model 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72B856AD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Model </w:t>
            </w:r>
            <w:r w:rsidR="00447DD2"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</w:tcPr>
          <w:p w14:paraId="24E225CF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Model </w:t>
            </w:r>
            <w:r w:rsidR="00447DD2"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12D12C86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Model </w:t>
            </w:r>
            <w:r w:rsidR="00447DD2"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7DA5DE9A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Model </w:t>
            </w:r>
            <w:r w:rsidR="00447DD2"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</w:tr>
      <w:tr w:rsidR="00103AFB" w:rsidRPr="00103AFB" w14:paraId="6DE2805E" w14:textId="77777777" w:rsidTr="0016354B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D1BC3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EC7D4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/>
              </w:rPr>
              <w:t>t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4EE80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/>
              </w:rPr>
              <w:t>t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E8036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/>
              </w:rPr>
              <w:t>t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97E0C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/>
              </w:rPr>
              <w:t>t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55174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GB"/>
              </w:rPr>
              <w:t>t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-1</w:t>
            </w:r>
          </w:p>
        </w:tc>
      </w:tr>
      <w:tr w:rsidR="00103AFB" w:rsidRPr="00103AFB" w14:paraId="1B960315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37CF4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Targeted sanctions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BD5835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0.031</w:t>
            </w: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EDD29B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4B546C6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68D1D3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4678D3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60ACE7B6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0FA98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9A7B5F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E7BE9C4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2C3E098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8BD946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1B12CC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5A56783F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421585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Arms embargoes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407871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595AD3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0.049</w:t>
            </w: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n-GB"/>
              </w:rPr>
              <w:t>***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8FE06FA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5E72C1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64F6A2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6E5D1989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4FE918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AE2041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180B9E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A829A78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F6CC0EA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31AA3F" w14:textId="77777777" w:rsidR="004B0618" w:rsidRPr="00103AFB" w:rsidRDefault="004B0618" w:rsidP="0067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315E636C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99722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Aid suspension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17984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93A3DC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A60CE8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E0566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5F983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4933633E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8F4F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7B3DB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FFB6AF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B43B5F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A8809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5A4C7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7E95F0B8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3135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Withholding coop.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B9FE4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A5D6F9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D8EE6B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3617C2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0.029</w:t>
            </w: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3A2B2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75017507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0D19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B51C0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00ABF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DD19C0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5CE54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D4E27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103AFB" w14:paraId="4DFAB74F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3806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Threat of sanctions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92012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431A2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C4FDE2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09712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46C4D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-0.123</w:t>
            </w: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n-GB"/>
              </w:rPr>
              <w:t>***</w:t>
            </w:r>
          </w:p>
        </w:tc>
      </w:tr>
      <w:tr w:rsidR="00103AFB" w:rsidRPr="00103AFB" w14:paraId="58FEE91D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742E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AEF67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31AC1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FA4A4A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A4CBB5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BC907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</w:tr>
      <w:tr w:rsidR="00103AFB" w:rsidRPr="00103AFB" w14:paraId="59A0BD69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1ED1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Population(log)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31EA0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EC7B8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-0.016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***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64C4B4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-0.008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F0BD1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-0.010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92A3C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-0.006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103AFB" w:rsidRPr="00103AFB" w14:paraId="4C476AA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F5BF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C8892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C43206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163F94F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43B23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19791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</w:tr>
      <w:tr w:rsidR="00103AFB" w:rsidRPr="00103AFB" w14:paraId="66052DB8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D2855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GDP per capita (log)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5164A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0.017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8FD1D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272A15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A3635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26BBF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0.009</w:t>
            </w:r>
          </w:p>
        </w:tc>
      </w:tr>
      <w:tr w:rsidR="00103AFB" w:rsidRPr="00103AFB" w14:paraId="1F5FF23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7E0E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3B0D4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07A1CA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7AA699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A0C84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30209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</w:tr>
      <w:tr w:rsidR="00103AFB" w:rsidRPr="00103AFB" w14:paraId="6514FAED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DAFC6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Civil war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118A2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0.133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EED83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0.101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6EA414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0.029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D60AB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0.100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65FFD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0.142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</w:tr>
      <w:tr w:rsidR="00103AFB" w:rsidRPr="00103AFB" w14:paraId="764F0D3D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EB40D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247EA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1ADB9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(0.05)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467791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09E232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B866D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(0.06)</w:t>
            </w:r>
          </w:p>
        </w:tc>
      </w:tr>
      <w:tr w:rsidR="00103AFB" w:rsidRPr="00103AFB" w14:paraId="4486FCA2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BDF0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International war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6747B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835FD5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-0.039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A4584C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0344F2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78C76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-0.035</w:t>
            </w:r>
          </w:p>
        </w:tc>
      </w:tr>
      <w:tr w:rsidR="00103AFB" w:rsidRPr="00103AFB" w14:paraId="2752F6E8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6A58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57E06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481B5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(0.05)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24DCFA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(0.04)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249EA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E723B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(0.06)</w:t>
            </w:r>
          </w:p>
        </w:tc>
      </w:tr>
      <w:tr w:rsidR="00103AFB" w:rsidRPr="00103AFB" w14:paraId="4EF9AA2B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6F5D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State capacity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A18DC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C9A56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FDB0F2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E1F20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0.037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0E2DA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0.004</w:t>
            </w:r>
          </w:p>
        </w:tc>
      </w:tr>
      <w:tr w:rsidR="00103AFB" w:rsidRPr="00103AFB" w14:paraId="3A5F2160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02194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91651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E0973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(0.02)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1172F0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73923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BCC85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(0.02)</w:t>
            </w:r>
          </w:p>
        </w:tc>
      </w:tr>
      <w:tr w:rsidR="00103AFB" w:rsidRPr="00103AFB" w14:paraId="0E84FD80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90434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Democracy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72E29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6BEAB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8182DD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A4911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5FDBE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0.001</w:t>
            </w:r>
          </w:p>
        </w:tc>
      </w:tr>
      <w:tr w:rsidR="00103AFB" w:rsidRPr="00103AFB" w14:paraId="447DF519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DC84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F92F2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92991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45083B2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D3518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EB0DD2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</w:tr>
      <w:tr w:rsidR="00103AFB" w:rsidRPr="00103AFB" w14:paraId="09CE4F2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0A8A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Past practices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C40AE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3E41FA2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0.045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19E554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3B67C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0A14D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-0.044</w:t>
            </w:r>
          </w:p>
        </w:tc>
      </w:tr>
      <w:tr w:rsidR="00103AFB" w:rsidRPr="00103AFB" w14:paraId="60D0704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BE625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D00DD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(0.13)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AF76E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(0.15)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27048B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A1758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27BED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(0.11)</w:t>
            </w:r>
          </w:p>
        </w:tc>
      </w:tr>
      <w:tr w:rsidR="00103AFB" w:rsidRPr="00103AFB" w14:paraId="597123D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6F520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LDV human rights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AA4C9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489D8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-0.111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0D06D7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03EF6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-0.111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05253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-0.035</w:t>
            </w:r>
          </w:p>
        </w:tc>
      </w:tr>
      <w:tr w:rsidR="00103AFB" w:rsidRPr="00103AFB" w14:paraId="05EEA84B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7E04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E46F2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(0.14)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788A66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(0.06)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06372B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(0.18)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35898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EA348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(0.08)</w:t>
            </w:r>
          </w:p>
        </w:tc>
      </w:tr>
      <w:tr w:rsidR="00103AFB" w:rsidRPr="00103AFB" w14:paraId="4F9BA2EE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BAF90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ODA per capita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F0225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16312B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-0.000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10D0E00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2F2A3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731FE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</w:tr>
      <w:tr w:rsidR="00103AFB" w:rsidRPr="00103AFB" w14:paraId="1AC179F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65F4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1DFF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39D0E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4104DE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088F62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58E7C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</w:tr>
      <w:tr w:rsidR="00103AFB" w:rsidRPr="00103AFB" w14:paraId="64497327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6FDD8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Rus. relative power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93639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A61150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970F16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E9F56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793DE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</w:tr>
      <w:tr w:rsidR="00103AFB" w:rsidRPr="00103AFB" w14:paraId="33281C09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3990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A17C2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E25A8D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15CACF1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77974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F2295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(0.00)</w:t>
            </w:r>
          </w:p>
        </w:tc>
      </w:tr>
      <w:tr w:rsidR="00103AFB" w:rsidRPr="00103AFB" w14:paraId="713E84B2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858A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Human rights treaties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FE51F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9B5344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0D605B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A5DED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6217F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0.008</w:t>
            </w:r>
          </w:p>
        </w:tc>
      </w:tr>
      <w:tr w:rsidR="00103AFB" w:rsidRPr="00103AFB" w14:paraId="2C312C5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75876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D7E25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613FE3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80CB4E2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843CA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18E5B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(0.01)</w:t>
            </w:r>
          </w:p>
        </w:tc>
      </w:tr>
      <w:tr w:rsidR="00103AFB" w:rsidRPr="00103AFB" w14:paraId="0BD82D21" w14:textId="77777777" w:rsidTr="0016354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7DF7E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Constant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9CB9B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-0.076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8D053C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0.182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40E965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0.090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EAAE671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0.151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575EAF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0.000</w:t>
            </w:r>
          </w:p>
        </w:tc>
      </w:tr>
      <w:tr w:rsidR="00103AFB" w:rsidRPr="00103AFB" w14:paraId="2BFAA915" w14:textId="77777777" w:rsidTr="0016354B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7FE6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0D0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BC97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(0.08)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DBB9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28160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(0.09)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FA77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(0.11)</w:t>
            </w:r>
          </w:p>
        </w:tc>
      </w:tr>
      <w:tr w:rsidR="00103AFB" w:rsidRPr="00103AFB" w14:paraId="2DAB8112" w14:textId="77777777" w:rsidTr="0016354B"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</w:tcPr>
          <w:p w14:paraId="4A355C3A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Observations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7C1FEF7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158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7033871E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</w:tcPr>
          <w:p w14:paraId="03D37BB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633DF205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5A7AA226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157</w:t>
            </w:r>
          </w:p>
        </w:tc>
      </w:tr>
      <w:tr w:rsidR="00103AFB" w:rsidRPr="00103AFB" w14:paraId="13DF4935" w14:textId="77777777" w:rsidTr="0016354B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34D4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GB"/>
              </w:rPr>
              <w:t>R</w:t>
            </w: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89068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0.772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8CA09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0.846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B969B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0.901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DA243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0.686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691AD" w14:textId="77777777" w:rsidR="000E28F1" w:rsidRPr="00103AFB" w:rsidRDefault="000E28F1" w:rsidP="000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0.800</w:t>
            </w:r>
          </w:p>
        </w:tc>
      </w:tr>
    </w:tbl>
    <w:p w14:paraId="78082D6F" w14:textId="77777777" w:rsidR="00AD589B" w:rsidRPr="00103AFB" w:rsidRDefault="00AD589B" w:rsidP="00922B2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103AFB">
        <w:rPr>
          <w:rFonts w:ascii="Times New Roman" w:hAnsi="Times New Roman" w:cs="Times New Roman"/>
          <w:i/>
          <w:color w:val="000000" w:themeColor="text1"/>
          <w:lang w:val="en-GB"/>
        </w:rPr>
        <w:t>Note: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Level of statistical significance: </w:t>
      </w:r>
      <w:r w:rsidRPr="00103AFB">
        <w:rPr>
          <w:rFonts w:ascii="Times New Roman" w:hAnsi="Times New Roman" w:cs="Times New Roman"/>
          <w:color w:val="000000" w:themeColor="text1"/>
          <w:vertAlign w:val="superscript"/>
          <w:lang w:val="en-GB"/>
        </w:rPr>
        <w:t>*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103AFB">
        <w:rPr>
          <w:rFonts w:ascii="Times New Roman" w:hAnsi="Times New Roman" w:cs="Times New Roman"/>
          <w:i/>
          <w:iCs/>
          <w:color w:val="000000" w:themeColor="text1"/>
          <w:lang w:val="en-GB"/>
        </w:rPr>
        <w:t>p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&lt; 0.10, </w:t>
      </w:r>
      <w:r w:rsidRPr="00103AFB">
        <w:rPr>
          <w:rFonts w:ascii="Times New Roman" w:hAnsi="Times New Roman" w:cs="Times New Roman"/>
          <w:color w:val="000000" w:themeColor="text1"/>
          <w:vertAlign w:val="superscript"/>
          <w:lang w:val="en-GB"/>
        </w:rPr>
        <w:t>**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103AFB">
        <w:rPr>
          <w:rFonts w:ascii="Times New Roman" w:hAnsi="Times New Roman" w:cs="Times New Roman"/>
          <w:i/>
          <w:iCs/>
          <w:color w:val="000000" w:themeColor="text1"/>
          <w:lang w:val="en-GB"/>
        </w:rPr>
        <w:t>p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&lt; 0.05, </w:t>
      </w:r>
      <w:r w:rsidRPr="00103AFB">
        <w:rPr>
          <w:rFonts w:ascii="Times New Roman" w:hAnsi="Times New Roman" w:cs="Times New Roman"/>
          <w:color w:val="000000" w:themeColor="text1"/>
          <w:vertAlign w:val="superscript"/>
          <w:lang w:val="en-GB"/>
        </w:rPr>
        <w:t>***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103AFB">
        <w:rPr>
          <w:rFonts w:ascii="Times New Roman" w:hAnsi="Times New Roman" w:cs="Times New Roman"/>
          <w:i/>
          <w:iCs/>
          <w:color w:val="000000" w:themeColor="text1"/>
          <w:lang w:val="en-GB"/>
        </w:rPr>
        <w:t>p</w:t>
      </w:r>
      <w:r w:rsidRPr="00103AFB">
        <w:rPr>
          <w:rFonts w:ascii="Times New Roman" w:hAnsi="Times New Roman" w:cs="Times New Roman"/>
          <w:color w:val="000000" w:themeColor="text1"/>
          <w:lang w:val="en-GB"/>
        </w:rPr>
        <w:t xml:space="preserve"> &lt; 0.01. Standard errors are in parentheses.</w:t>
      </w:r>
    </w:p>
    <w:p w14:paraId="6CC3EF33" w14:textId="77777777" w:rsidR="00B943A5" w:rsidRPr="00103AFB" w:rsidRDefault="00B943A5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103AFB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br w:type="page"/>
      </w:r>
    </w:p>
    <w:p w14:paraId="33BC611A" w14:textId="7A97E767" w:rsidR="003E526F" w:rsidRPr="00103AFB" w:rsidRDefault="00616056" w:rsidP="00922B2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103AFB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>Table 4</w:t>
      </w:r>
      <w:r w:rsidR="003E526F" w:rsidRPr="00103AFB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. 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="00B943A5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ross-c</w:t>
      </w:r>
      <w:r w:rsidR="00FE0479" w:rsidRPr="00103A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orrelation table</w:t>
      </w:r>
    </w:p>
    <w:tbl>
      <w:tblPr>
        <w:tblW w:w="872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1276"/>
        <w:gridCol w:w="1559"/>
        <w:gridCol w:w="1418"/>
        <w:gridCol w:w="1074"/>
      </w:tblGrid>
      <w:tr w:rsidR="00103AFB" w:rsidRPr="00103AFB" w14:paraId="55B44660" w14:textId="77777777" w:rsidTr="0035101D">
        <w:trPr>
          <w:trHeight w:val="287"/>
          <w:tblCellSpacing w:w="15" w:type="dxa"/>
        </w:trPr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5F9BC" w14:textId="77777777" w:rsidR="003E3AA6" w:rsidRPr="00103AFB" w:rsidRDefault="003E3AA6" w:rsidP="00735CA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</w:tcPr>
          <w:p w14:paraId="7DAA9296" w14:textId="77777777" w:rsidR="003E3AA6" w:rsidRPr="00103AFB" w:rsidRDefault="003E3AA6" w:rsidP="00735CA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Aid</w:t>
            </w:r>
          </w:p>
          <w:p w14:paraId="13C676E9" w14:textId="77777777" w:rsidR="003E3AA6" w:rsidRPr="00103AFB" w:rsidRDefault="003E3AA6" w:rsidP="00735CA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suspension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C8A35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Targeted sanctions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EEA9F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Arms embargoes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16DBA7A9" w14:textId="77777777" w:rsidR="003E3AA6" w:rsidRPr="00103AFB" w:rsidRDefault="003E3AA6" w:rsidP="00735CA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Withholding coop.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BC654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Threat of sanctions</w:t>
            </w:r>
          </w:p>
        </w:tc>
      </w:tr>
      <w:tr w:rsidR="00103AFB" w:rsidRPr="00103AFB" w14:paraId="7E62AFD8" w14:textId="77777777" w:rsidTr="0035101D">
        <w:trPr>
          <w:trHeight w:val="287"/>
          <w:tblCellSpacing w:w="15" w:type="dxa"/>
        </w:trPr>
        <w:tc>
          <w:tcPr>
            <w:tcW w:w="1940" w:type="dxa"/>
            <w:hideMark/>
          </w:tcPr>
          <w:p w14:paraId="7FFCC41C" w14:textId="77777777" w:rsidR="003E3AA6" w:rsidRPr="00103AFB" w:rsidRDefault="003E3AA6" w:rsidP="003D657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Aid suspension</w:t>
            </w:r>
          </w:p>
        </w:tc>
        <w:tc>
          <w:tcPr>
            <w:tcW w:w="1387" w:type="dxa"/>
            <w:vAlign w:val="center"/>
            <w:hideMark/>
          </w:tcPr>
          <w:p w14:paraId="1EFC7450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1.0000</w:t>
            </w:r>
          </w:p>
        </w:tc>
        <w:tc>
          <w:tcPr>
            <w:tcW w:w="1246" w:type="dxa"/>
            <w:vAlign w:val="center"/>
            <w:hideMark/>
          </w:tcPr>
          <w:p w14:paraId="5606EA91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  <w:tc>
          <w:tcPr>
            <w:tcW w:w="1529" w:type="dxa"/>
            <w:vAlign w:val="center"/>
            <w:hideMark/>
          </w:tcPr>
          <w:p w14:paraId="62619DC8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  <w:tc>
          <w:tcPr>
            <w:tcW w:w="1388" w:type="dxa"/>
            <w:vAlign w:val="center"/>
            <w:hideMark/>
          </w:tcPr>
          <w:p w14:paraId="55EEEB14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  <w:tc>
          <w:tcPr>
            <w:tcW w:w="1029" w:type="dxa"/>
          </w:tcPr>
          <w:p w14:paraId="49BD4DE9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</w:tr>
      <w:tr w:rsidR="00103AFB" w:rsidRPr="00103AFB" w14:paraId="6D5E0C92" w14:textId="77777777" w:rsidTr="0035101D">
        <w:trPr>
          <w:trHeight w:val="302"/>
          <w:tblCellSpacing w:w="15" w:type="dxa"/>
        </w:trPr>
        <w:tc>
          <w:tcPr>
            <w:tcW w:w="1940" w:type="dxa"/>
            <w:vAlign w:val="center"/>
            <w:hideMark/>
          </w:tcPr>
          <w:p w14:paraId="2B00E742" w14:textId="77777777" w:rsidR="003E3AA6" w:rsidRPr="00103AFB" w:rsidRDefault="003E3AA6" w:rsidP="003D657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Targeted sanctions</w:t>
            </w:r>
          </w:p>
        </w:tc>
        <w:tc>
          <w:tcPr>
            <w:tcW w:w="1387" w:type="dxa"/>
            <w:vAlign w:val="center"/>
            <w:hideMark/>
          </w:tcPr>
          <w:p w14:paraId="5CB49722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0.5340</w:t>
            </w:r>
          </w:p>
        </w:tc>
        <w:tc>
          <w:tcPr>
            <w:tcW w:w="1246" w:type="dxa"/>
            <w:vAlign w:val="center"/>
            <w:hideMark/>
          </w:tcPr>
          <w:p w14:paraId="1716CA1F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1.0000</w:t>
            </w:r>
          </w:p>
        </w:tc>
        <w:tc>
          <w:tcPr>
            <w:tcW w:w="1529" w:type="dxa"/>
            <w:vAlign w:val="center"/>
            <w:hideMark/>
          </w:tcPr>
          <w:p w14:paraId="6054C7C6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  <w:tc>
          <w:tcPr>
            <w:tcW w:w="1388" w:type="dxa"/>
            <w:vAlign w:val="center"/>
            <w:hideMark/>
          </w:tcPr>
          <w:p w14:paraId="2F80DFD5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  <w:tc>
          <w:tcPr>
            <w:tcW w:w="1029" w:type="dxa"/>
          </w:tcPr>
          <w:p w14:paraId="7E17AD3E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</w:tr>
      <w:tr w:rsidR="00103AFB" w:rsidRPr="00103AFB" w14:paraId="2B538BB7" w14:textId="77777777" w:rsidTr="0035101D">
        <w:trPr>
          <w:trHeight w:val="287"/>
          <w:tblCellSpacing w:w="15" w:type="dxa"/>
        </w:trPr>
        <w:tc>
          <w:tcPr>
            <w:tcW w:w="1940" w:type="dxa"/>
            <w:vAlign w:val="center"/>
            <w:hideMark/>
          </w:tcPr>
          <w:p w14:paraId="4C15305A" w14:textId="77777777" w:rsidR="003E3AA6" w:rsidRPr="00103AFB" w:rsidRDefault="003E3AA6" w:rsidP="003D657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Arms embargoes</w:t>
            </w:r>
          </w:p>
        </w:tc>
        <w:tc>
          <w:tcPr>
            <w:tcW w:w="1387" w:type="dxa"/>
            <w:vAlign w:val="center"/>
            <w:hideMark/>
          </w:tcPr>
          <w:p w14:paraId="63ECDB83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0.5534</w:t>
            </w:r>
          </w:p>
        </w:tc>
        <w:tc>
          <w:tcPr>
            <w:tcW w:w="1246" w:type="dxa"/>
            <w:vAlign w:val="center"/>
            <w:hideMark/>
          </w:tcPr>
          <w:p w14:paraId="10AE233C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0.5474</w:t>
            </w:r>
          </w:p>
        </w:tc>
        <w:tc>
          <w:tcPr>
            <w:tcW w:w="1529" w:type="dxa"/>
            <w:vAlign w:val="center"/>
            <w:hideMark/>
          </w:tcPr>
          <w:p w14:paraId="038A64D4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1.0000</w:t>
            </w:r>
          </w:p>
        </w:tc>
        <w:tc>
          <w:tcPr>
            <w:tcW w:w="1388" w:type="dxa"/>
            <w:vAlign w:val="center"/>
            <w:hideMark/>
          </w:tcPr>
          <w:p w14:paraId="6F4ADD0C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  <w:tc>
          <w:tcPr>
            <w:tcW w:w="1029" w:type="dxa"/>
          </w:tcPr>
          <w:p w14:paraId="260F12DE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</w:tr>
      <w:tr w:rsidR="00103AFB" w:rsidRPr="00103AFB" w14:paraId="64C83030" w14:textId="77777777" w:rsidTr="0035101D">
        <w:trPr>
          <w:trHeight w:val="302"/>
          <w:tblCellSpacing w:w="15" w:type="dxa"/>
        </w:trPr>
        <w:tc>
          <w:tcPr>
            <w:tcW w:w="1940" w:type="dxa"/>
            <w:hideMark/>
          </w:tcPr>
          <w:p w14:paraId="3F23C6BE" w14:textId="77777777" w:rsidR="003E3AA6" w:rsidRPr="00103AFB" w:rsidRDefault="003E3AA6" w:rsidP="003D657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Withholding coop.</w:t>
            </w:r>
          </w:p>
        </w:tc>
        <w:tc>
          <w:tcPr>
            <w:tcW w:w="1387" w:type="dxa"/>
            <w:vAlign w:val="center"/>
            <w:hideMark/>
          </w:tcPr>
          <w:p w14:paraId="5A8C4A01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0.6642</w:t>
            </w:r>
          </w:p>
        </w:tc>
        <w:tc>
          <w:tcPr>
            <w:tcW w:w="1246" w:type="dxa"/>
            <w:vAlign w:val="center"/>
            <w:hideMark/>
          </w:tcPr>
          <w:p w14:paraId="52FFE02E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0.5885</w:t>
            </w:r>
          </w:p>
        </w:tc>
        <w:tc>
          <w:tcPr>
            <w:tcW w:w="1529" w:type="dxa"/>
            <w:vAlign w:val="center"/>
            <w:hideMark/>
          </w:tcPr>
          <w:p w14:paraId="3D481A0E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0.4168</w:t>
            </w:r>
          </w:p>
        </w:tc>
        <w:tc>
          <w:tcPr>
            <w:tcW w:w="1388" w:type="dxa"/>
            <w:vAlign w:val="center"/>
            <w:hideMark/>
          </w:tcPr>
          <w:p w14:paraId="121C60A8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1.0000</w:t>
            </w:r>
          </w:p>
        </w:tc>
        <w:tc>
          <w:tcPr>
            <w:tcW w:w="1029" w:type="dxa"/>
          </w:tcPr>
          <w:p w14:paraId="65B4D124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</w:p>
        </w:tc>
      </w:tr>
      <w:tr w:rsidR="0035101D" w:rsidRPr="00103AFB" w14:paraId="40287C0A" w14:textId="77777777" w:rsidTr="0035101D">
        <w:trPr>
          <w:trHeight w:val="287"/>
          <w:tblCellSpacing w:w="15" w:type="dxa"/>
        </w:trPr>
        <w:tc>
          <w:tcPr>
            <w:tcW w:w="1940" w:type="dxa"/>
            <w:tcBorders>
              <w:bottom w:val="single" w:sz="4" w:space="0" w:color="auto"/>
            </w:tcBorders>
            <w:vAlign w:val="center"/>
            <w:hideMark/>
          </w:tcPr>
          <w:p w14:paraId="6EED80AB" w14:textId="77777777" w:rsidR="003E3AA6" w:rsidRPr="00103AFB" w:rsidRDefault="003E3AA6" w:rsidP="003D657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Threat of sanctions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286E1B28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0.1314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  <w:hideMark/>
          </w:tcPr>
          <w:p w14:paraId="23148AE6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0.1915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  <w:hideMark/>
          </w:tcPr>
          <w:p w14:paraId="66216A53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0.2178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  <w:hideMark/>
          </w:tcPr>
          <w:p w14:paraId="2AF8EB03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>0.0641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A5CAB68" w14:textId="77777777" w:rsidR="003E3AA6" w:rsidRPr="00103AFB" w:rsidRDefault="003E3AA6" w:rsidP="00735C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</w:pPr>
            <w:r w:rsidRPr="00103A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sv-SE"/>
              </w:rPr>
              <w:t xml:space="preserve">1.0000 </w:t>
            </w:r>
          </w:p>
        </w:tc>
      </w:tr>
    </w:tbl>
    <w:p w14:paraId="566255D4" w14:textId="30955CF2" w:rsidR="006E64E7" w:rsidRPr="00103AFB" w:rsidRDefault="006E64E7" w:rsidP="006E64E7">
      <w:pPr>
        <w:pStyle w:val="Table"/>
        <w:rPr>
          <w:color w:val="000000" w:themeColor="text1"/>
          <w:sz w:val="24"/>
          <w:szCs w:val="24"/>
          <w:lang w:val="en-GB"/>
        </w:rPr>
      </w:pPr>
      <w:r w:rsidRPr="00103AFB">
        <w:rPr>
          <w:i/>
          <w:color w:val="000000" w:themeColor="text1"/>
          <w:sz w:val="24"/>
          <w:szCs w:val="24"/>
          <w:lang w:val="en-GB"/>
        </w:rPr>
        <w:t>Note.</w:t>
      </w:r>
      <w:r w:rsidRPr="00103AFB">
        <w:rPr>
          <w:color w:val="000000" w:themeColor="text1"/>
          <w:sz w:val="24"/>
          <w:szCs w:val="24"/>
          <w:lang w:val="en-GB"/>
        </w:rPr>
        <w:t xml:space="preserve"> </w:t>
      </w:r>
      <w:r w:rsidR="005E7F5C">
        <w:rPr>
          <w:color w:val="000000" w:themeColor="text1"/>
          <w:sz w:val="24"/>
          <w:szCs w:val="24"/>
          <w:lang w:val="en-GB"/>
        </w:rPr>
        <w:t>Author’s</w:t>
      </w:r>
      <w:r w:rsidR="005E7F5C" w:rsidRPr="00103AFB">
        <w:rPr>
          <w:color w:val="000000" w:themeColor="text1"/>
          <w:sz w:val="24"/>
          <w:szCs w:val="24"/>
          <w:lang w:val="en-GB"/>
        </w:rPr>
        <w:t xml:space="preserve"> </w:t>
      </w:r>
      <w:r w:rsidRPr="00103AFB">
        <w:rPr>
          <w:color w:val="000000" w:themeColor="text1"/>
          <w:sz w:val="24"/>
          <w:szCs w:val="24"/>
          <w:lang w:val="en-GB"/>
        </w:rPr>
        <w:t>calculations.</w:t>
      </w:r>
    </w:p>
    <w:p w14:paraId="15838A7F" w14:textId="77777777" w:rsidR="00B943A5" w:rsidRDefault="00B943A5" w:rsidP="00922B2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4DF8CD1D" w14:textId="77777777" w:rsidR="006A76C5" w:rsidRPr="00103AFB" w:rsidRDefault="006A76C5" w:rsidP="00922B2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77774FBE" w14:textId="0B8D7CC8" w:rsidR="003E526F" w:rsidRPr="006A76C5" w:rsidRDefault="003E526F" w:rsidP="006A76C5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A76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Table</w:t>
      </w:r>
      <w:r w:rsidR="00616056" w:rsidRPr="006A76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5</w:t>
      </w:r>
      <w:r w:rsidRPr="006A76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.</w:t>
      </w:r>
      <w:r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Russia</w:t>
      </w:r>
      <w:r w:rsidR="005E7F5C"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</w:t>
      </w:r>
      <w:r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EU </w:t>
      </w:r>
      <w:r w:rsidR="00ED4FD0"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hare in </w:t>
      </w:r>
      <w:r w:rsidR="00ED4FD0"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</w:t>
      </w:r>
      <w:r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oreign </w:t>
      </w:r>
      <w:r w:rsidR="00ED4FD0"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</w:t>
      </w:r>
      <w:r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rade of the </w:t>
      </w:r>
      <w:r w:rsidR="00ED4FD0"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shared </w:t>
      </w:r>
      <w:r w:rsidR="00857896"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neighbourhood</w:t>
      </w:r>
      <w:r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2015 (</w:t>
      </w:r>
      <w:r w:rsidR="00ED4FD0"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percentage of total exports and imports</w:t>
      </w:r>
      <w:r w:rsidRPr="006A76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373B23C2" w14:textId="77777777" w:rsidR="003E526F" w:rsidRPr="006A76C5" w:rsidRDefault="003E526F" w:rsidP="003E526F">
      <w:pPr>
        <w:pStyle w:val="Table"/>
        <w:rPr>
          <w:color w:val="000000" w:themeColor="text1"/>
          <w:sz w:val="24"/>
          <w:szCs w:val="24"/>
          <w:lang w:val="en-GB"/>
        </w:rPr>
      </w:pPr>
    </w:p>
    <w:tbl>
      <w:tblPr>
        <w:tblStyle w:val="TableGrid"/>
        <w:tblW w:w="900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1843"/>
        <w:gridCol w:w="1843"/>
        <w:gridCol w:w="1842"/>
        <w:gridCol w:w="1842"/>
      </w:tblGrid>
      <w:tr w:rsidR="00103AFB" w:rsidRPr="006A76C5" w14:paraId="0C6BC7A0" w14:textId="77777777" w:rsidTr="00806604">
        <w:trPr>
          <w:trHeight w:val="752"/>
          <w:jc w:val="center"/>
        </w:trPr>
        <w:tc>
          <w:tcPr>
            <w:tcW w:w="1630" w:type="dxa"/>
            <w:tcBorders>
              <w:bottom w:val="single" w:sz="4" w:space="0" w:color="auto"/>
            </w:tcBorders>
          </w:tcPr>
          <w:p w14:paraId="72D7AD81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7281A82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Export to </w:t>
            </w:r>
          </w:p>
          <w:p w14:paraId="388DD5C1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the EU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44E0F80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Import from </w:t>
            </w:r>
          </w:p>
          <w:p w14:paraId="31B578CB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the EU </w:t>
            </w:r>
          </w:p>
          <w:p w14:paraId="19E7CEAD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CF08EE6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Export to </w:t>
            </w:r>
          </w:p>
          <w:p w14:paraId="63A6F567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Russia </w:t>
            </w:r>
          </w:p>
          <w:p w14:paraId="17216755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785E578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Import from </w:t>
            </w:r>
          </w:p>
          <w:p w14:paraId="66C11245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Russia </w:t>
            </w:r>
          </w:p>
          <w:p w14:paraId="17E6CDA4" w14:textId="77777777" w:rsidR="003E526F" w:rsidRPr="006A76C5" w:rsidRDefault="003E526F" w:rsidP="00806604">
            <w:pPr>
              <w:pStyle w:val="Table"/>
              <w:jc w:val="center"/>
              <w:rPr>
                <w:b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03AFB" w:rsidRPr="006A76C5" w14:paraId="6CDA1037" w14:textId="77777777" w:rsidTr="00806604">
        <w:trPr>
          <w:trHeight w:val="268"/>
          <w:jc w:val="center"/>
        </w:trPr>
        <w:tc>
          <w:tcPr>
            <w:tcW w:w="1630" w:type="dxa"/>
            <w:tcBorders>
              <w:bottom w:val="nil"/>
            </w:tcBorders>
          </w:tcPr>
          <w:p w14:paraId="1DD5FDB3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 xml:space="preserve">Armenia </w:t>
            </w:r>
          </w:p>
        </w:tc>
        <w:tc>
          <w:tcPr>
            <w:tcW w:w="1843" w:type="dxa"/>
            <w:tcBorders>
              <w:bottom w:val="nil"/>
            </w:tcBorders>
          </w:tcPr>
          <w:p w14:paraId="357274D3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29.0</w:t>
            </w:r>
          </w:p>
        </w:tc>
        <w:tc>
          <w:tcPr>
            <w:tcW w:w="1843" w:type="dxa"/>
            <w:tcBorders>
              <w:bottom w:val="nil"/>
            </w:tcBorders>
          </w:tcPr>
          <w:p w14:paraId="02F8905B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24.0</w:t>
            </w:r>
          </w:p>
        </w:tc>
        <w:tc>
          <w:tcPr>
            <w:tcW w:w="1842" w:type="dxa"/>
            <w:tcBorders>
              <w:bottom w:val="nil"/>
            </w:tcBorders>
          </w:tcPr>
          <w:p w14:paraId="14C6B466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15.2</w:t>
            </w:r>
          </w:p>
        </w:tc>
        <w:tc>
          <w:tcPr>
            <w:tcW w:w="1842" w:type="dxa"/>
            <w:tcBorders>
              <w:bottom w:val="nil"/>
            </w:tcBorders>
          </w:tcPr>
          <w:p w14:paraId="26036F85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29.1</w:t>
            </w:r>
          </w:p>
        </w:tc>
      </w:tr>
      <w:tr w:rsidR="00103AFB" w:rsidRPr="006A76C5" w14:paraId="29AF6C62" w14:textId="77777777" w:rsidTr="00806604">
        <w:trPr>
          <w:trHeight w:val="250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04ACF217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Azerbaijan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9D0033D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58.9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C1945C7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32.0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3096BEA2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3.6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221C1070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15.6</w:t>
            </w:r>
          </w:p>
        </w:tc>
      </w:tr>
      <w:tr w:rsidR="00103AFB" w:rsidRPr="006A76C5" w14:paraId="72805AC3" w14:textId="77777777" w:rsidTr="00806604">
        <w:trPr>
          <w:trHeight w:val="268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49DDC152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Belarus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4E38D6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32.1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2E73F9C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19.2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5C8023A7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39.1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3AE4B1A8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56.6</w:t>
            </w:r>
          </w:p>
        </w:tc>
      </w:tr>
      <w:tr w:rsidR="00103AFB" w:rsidRPr="006A76C5" w14:paraId="2E1225F9" w14:textId="77777777" w:rsidTr="00806604">
        <w:trPr>
          <w:trHeight w:val="268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4126D7C9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Georgia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A31180F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29.3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874A95B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32.6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4E91BA7C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7.4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47AC0A40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</w:tc>
      </w:tr>
      <w:tr w:rsidR="00103AFB" w:rsidRPr="006A76C5" w14:paraId="4279BC6A" w14:textId="77777777" w:rsidTr="00806604">
        <w:trPr>
          <w:trHeight w:val="250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09478A71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Kazakhstan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896C162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46.6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A858625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21.1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1F782677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12.3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5F6861B8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32.9</w:t>
            </w:r>
          </w:p>
        </w:tc>
      </w:tr>
      <w:tr w:rsidR="00103AFB" w:rsidRPr="006A76C5" w14:paraId="51C450D2" w14:textId="77777777" w:rsidTr="00806604">
        <w:trPr>
          <w:trHeight w:val="268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533E0FEA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Kyrgyzstan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EF562F2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3.3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6E196B5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3.9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475F91D1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4.2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3869E6B4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17.2</w:t>
            </w:r>
          </w:p>
        </w:tc>
      </w:tr>
      <w:tr w:rsidR="00103AFB" w:rsidRPr="006A76C5" w14:paraId="7A857553" w14:textId="77777777" w:rsidTr="00806604">
        <w:trPr>
          <w:trHeight w:val="268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735D626D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Moldova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095DD24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58.5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0519D7E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50.7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0613EECD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8.0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45BCE40C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22.8</w:t>
            </w:r>
          </w:p>
        </w:tc>
      </w:tr>
      <w:tr w:rsidR="00103AFB" w:rsidRPr="006A76C5" w14:paraId="004CC4C3" w14:textId="77777777" w:rsidTr="00806604">
        <w:trPr>
          <w:trHeight w:val="268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6CF2F09A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Tajikistan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F054319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6.3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7EBF95D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4.3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42CA321C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5.1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61F14764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17.9</w:t>
            </w:r>
          </w:p>
        </w:tc>
      </w:tr>
      <w:tr w:rsidR="00103AFB" w:rsidRPr="006A76C5" w14:paraId="4E5565BE" w14:textId="77777777" w:rsidTr="00806604">
        <w:trPr>
          <w:trHeight w:val="268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1C2522DE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Turkmenistan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7B750B3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4.2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E9FD824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16.4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4533B33F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0.6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6B704D61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12.3</w:t>
            </w:r>
          </w:p>
        </w:tc>
      </w:tr>
      <w:tr w:rsidR="00103AFB" w:rsidRPr="006A76C5" w14:paraId="78D21A1F" w14:textId="77777777" w:rsidTr="00806604">
        <w:trPr>
          <w:trHeight w:val="250"/>
          <w:jc w:val="center"/>
        </w:trPr>
        <w:tc>
          <w:tcPr>
            <w:tcW w:w="1630" w:type="dxa"/>
            <w:tcBorders>
              <w:top w:val="nil"/>
              <w:bottom w:val="nil"/>
            </w:tcBorders>
          </w:tcPr>
          <w:p w14:paraId="3D2D0C41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 xml:space="preserve">Ukraine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3BF87A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34.1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BB81227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40.9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2F9D0DA1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12.7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37209A74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20.0</w:t>
            </w:r>
          </w:p>
        </w:tc>
      </w:tr>
      <w:tr w:rsidR="003E526F" w:rsidRPr="006A76C5" w14:paraId="43426432" w14:textId="77777777" w:rsidTr="00806604">
        <w:trPr>
          <w:trHeight w:val="268"/>
          <w:jc w:val="center"/>
        </w:trPr>
        <w:tc>
          <w:tcPr>
            <w:tcW w:w="1630" w:type="dxa"/>
            <w:tcBorders>
              <w:top w:val="nil"/>
            </w:tcBorders>
          </w:tcPr>
          <w:p w14:paraId="2F410A21" w14:textId="77777777" w:rsidR="003E526F" w:rsidRPr="006A76C5" w:rsidRDefault="003E526F" w:rsidP="00806604">
            <w:pPr>
              <w:pStyle w:val="Table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Uzbekistan</w:t>
            </w:r>
          </w:p>
        </w:tc>
        <w:tc>
          <w:tcPr>
            <w:tcW w:w="1843" w:type="dxa"/>
            <w:tcBorders>
              <w:top w:val="nil"/>
            </w:tcBorders>
          </w:tcPr>
          <w:p w14:paraId="6D2E58FF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3.8</w:t>
            </w:r>
          </w:p>
        </w:tc>
        <w:tc>
          <w:tcPr>
            <w:tcW w:w="1843" w:type="dxa"/>
            <w:tcBorders>
              <w:top w:val="nil"/>
            </w:tcBorders>
          </w:tcPr>
          <w:p w14:paraId="261913A4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16.5</w:t>
            </w:r>
          </w:p>
        </w:tc>
        <w:tc>
          <w:tcPr>
            <w:tcW w:w="1842" w:type="dxa"/>
            <w:tcBorders>
              <w:top w:val="nil"/>
            </w:tcBorders>
          </w:tcPr>
          <w:p w14:paraId="2B134EB9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8.4</w:t>
            </w:r>
          </w:p>
        </w:tc>
        <w:tc>
          <w:tcPr>
            <w:tcW w:w="1842" w:type="dxa"/>
            <w:tcBorders>
              <w:top w:val="nil"/>
            </w:tcBorders>
          </w:tcPr>
          <w:p w14:paraId="1EBFE860" w14:textId="77777777" w:rsidR="003E526F" w:rsidRPr="006A76C5" w:rsidRDefault="003E526F" w:rsidP="00806604">
            <w:pPr>
              <w:pStyle w:val="Table"/>
              <w:ind w:right="601"/>
              <w:jc w:val="right"/>
              <w:rPr>
                <w:color w:val="000000" w:themeColor="text1"/>
                <w:sz w:val="24"/>
                <w:szCs w:val="24"/>
                <w:lang w:val="en-GB"/>
              </w:rPr>
            </w:pPr>
            <w:r w:rsidRPr="006A76C5">
              <w:rPr>
                <w:color w:val="000000" w:themeColor="text1"/>
                <w:sz w:val="24"/>
                <w:szCs w:val="24"/>
                <w:lang w:val="en-GB"/>
              </w:rPr>
              <w:t>20.8</w:t>
            </w:r>
          </w:p>
        </w:tc>
      </w:tr>
    </w:tbl>
    <w:p w14:paraId="650AAA47" w14:textId="77777777" w:rsidR="003E526F" w:rsidRPr="006A76C5" w:rsidRDefault="003E526F" w:rsidP="003E526F">
      <w:pPr>
        <w:pStyle w:val="Table"/>
        <w:rPr>
          <w:color w:val="000000" w:themeColor="text1"/>
          <w:sz w:val="24"/>
          <w:szCs w:val="24"/>
          <w:lang w:val="en-GB"/>
        </w:rPr>
      </w:pPr>
    </w:p>
    <w:p w14:paraId="65335702" w14:textId="295FE9B1" w:rsidR="003E526F" w:rsidRPr="006A76C5" w:rsidRDefault="003E526F" w:rsidP="003E526F">
      <w:pPr>
        <w:pStyle w:val="Table"/>
        <w:rPr>
          <w:color w:val="000000" w:themeColor="text1"/>
          <w:sz w:val="24"/>
          <w:szCs w:val="24"/>
          <w:lang w:val="en-GB"/>
        </w:rPr>
      </w:pPr>
      <w:r w:rsidRPr="006A76C5">
        <w:rPr>
          <w:i/>
          <w:color w:val="000000" w:themeColor="text1"/>
          <w:sz w:val="24"/>
          <w:szCs w:val="24"/>
          <w:lang w:val="en-GB"/>
        </w:rPr>
        <w:t>Note</w:t>
      </w:r>
      <w:r w:rsidRPr="006A76C5">
        <w:rPr>
          <w:color w:val="000000" w:themeColor="text1"/>
          <w:sz w:val="24"/>
          <w:szCs w:val="24"/>
          <w:lang w:val="en-GB"/>
        </w:rPr>
        <w:t xml:space="preserve">. The data </w:t>
      </w:r>
      <w:r w:rsidR="005E7F5C" w:rsidRPr="006A76C5">
        <w:rPr>
          <w:color w:val="000000" w:themeColor="text1"/>
          <w:sz w:val="24"/>
          <w:szCs w:val="24"/>
          <w:lang w:val="en-GB"/>
        </w:rPr>
        <w:t xml:space="preserve">are </w:t>
      </w:r>
      <w:r w:rsidRPr="006A76C5">
        <w:rPr>
          <w:color w:val="000000" w:themeColor="text1"/>
          <w:sz w:val="24"/>
          <w:szCs w:val="24"/>
          <w:lang w:val="en-GB"/>
        </w:rPr>
        <w:t>retrieved from Eurostat, www.ec.europa.eu.</w:t>
      </w:r>
    </w:p>
    <w:p w14:paraId="7D9DD32C" w14:textId="77777777" w:rsidR="003E526F" w:rsidRDefault="003E526F" w:rsidP="00922B2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01CF0974" w14:textId="7EAA6195" w:rsidR="00FE215A" w:rsidRDefault="00FE215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br w:type="page"/>
      </w:r>
    </w:p>
    <w:p w14:paraId="03B5DA3B" w14:textId="77777777" w:rsidR="00102478" w:rsidRPr="00B70974" w:rsidRDefault="00102478" w:rsidP="00102478">
      <w:pPr>
        <w:rPr>
          <w:rFonts w:ascii="Times New Roman" w:eastAsia="Times New Roman" w:hAnsi="Times New Roman" w:cs="Times New Roman"/>
          <w:sz w:val="24"/>
          <w:szCs w:val="24"/>
        </w:rPr>
      </w:pPr>
      <w:r w:rsidRPr="00F97B66">
        <w:rPr>
          <w:rFonts w:ascii="Times New Roman" w:hAnsi="Times New Roman" w:cs="Times New Roman"/>
          <w:b/>
          <w:sz w:val="24"/>
          <w:szCs w:val="24"/>
        </w:rPr>
        <w:lastRenderedPageBreak/>
        <w:t>Figure 1.</w:t>
      </w:r>
      <w:r w:rsidRPr="00F97B66">
        <w:rPr>
          <w:rFonts w:ascii="Times New Roman" w:hAnsi="Times New Roman" w:cs="Times New Roman"/>
          <w:sz w:val="24"/>
          <w:szCs w:val="24"/>
        </w:rPr>
        <w:t xml:space="preserve"> </w:t>
      </w:r>
      <w:r w:rsidRPr="00FA241F">
        <w:rPr>
          <w:rFonts w:ascii="Times New Roman" w:eastAsia="Times New Roman" w:hAnsi="Times New Roman" w:cs="Times New Roman"/>
          <w:sz w:val="24"/>
          <w:szCs w:val="24"/>
        </w:rPr>
        <w:t>Marginal effect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sanctions on human rights by the levels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Russia’s</w:t>
      </w:r>
      <w:r w:rsidRPr="00B709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B709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elative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70974">
        <w:rPr>
          <w:rFonts w:ascii="Times New Roman" w:hAnsi="Times New Roman" w:cs="Times New Roman"/>
          <w:color w:val="000000" w:themeColor="text1"/>
          <w:sz w:val="24"/>
          <w:szCs w:val="24"/>
        </w:rPr>
        <w:t>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709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95%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confidence intervals</w:t>
      </w:r>
      <w:r w:rsidRPr="00B7097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81B56A" w14:textId="77777777" w:rsidR="00102478" w:rsidRDefault="00102478" w:rsidP="00102478">
      <w:pPr>
        <w:rPr>
          <w:rFonts w:ascii="Times New Roman" w:hAnsi="Times New Roman" w:cs="Times New Roman"/>
          <w:sz w:val="24"/>
          <w:szCs w:val="24"/>
        </w:rPr>
      </w:pPr>
      <w:r w:rsidRPr="00CB4B7F">
        <w:drawing>
          <wp:inline distT="0" distB="0" distL="0" distR="0" wp14:anchorId="7E9CDABF" wp14:editId="02E8A0B1">
            <wp:extent cx="2946400" cy="214283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891" cy="21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B7F">
        <w:drawing>
          <wp:inline distT="0" distB="0" distL="0" distR="0" wp14:anchorId="7FC22488" wp14:editId="6F792AD7">
            <wp:extent cx="2927350" cy="21289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953F" w14:textId="77777777" w:rsidR="00102478" w:rsidRPr="00F97B66" w:rsidRDefault="00102478" w:rsidP="00102478">
      <w:r w:rsidRPr="00CB4B7F">
        <w:drawing>
          <wp:inline distT="0" distB="0" distL="0" distR="0" wp14:anchorId="6A7BD5B1" wp14:editId="43AF8400">
            <wp:extent cx="2947670" cy="2143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508" cy="21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B66">
        <w:t xml:space="preserve"> </w:t>
      </w:r>
      <w:r w:rsidRPr="00CB4B7F">
        <w:drawing>
          <wp:inline distT="0" distB="0" distL="0" distR="0" wp14:anchorId="4420E7FB" wp14:editId="2796DA52">
            <wp:extent cx="2947670" cy="2143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87E5" w14:textId="77777777" w:rsidR="00102478" w:rsidRPr="00CB4B7F" w:rsidRDefault="00102478" w:rsidP="00102478">
      <w:r w:rsidRPr="00CB4B7F">
        <w:drawing>
          <wp:inline distT="0" distB="0" distL="0" distR="0" wp14:anchorId="1CA6A3C2" wp14:editId="3929BE4F">
            <wp:extent cx="2946400" cy="21428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049" cy="21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1C0">
        <w:t xml:space="preserve"> </w:t>
      </w:r>
    </w:p>
    <w:p w14:paraId="448D5FB1" w14:textId="77777777" w:rsidR="00102478" w:rsidRPr="00191132" w:rsidRDefault="00102478" w:rsidP="00102478">
      <w:pPr>
        <w:tabs>
          <w:tab w:val="left" w:pos="6120"/>
        </w:tabs>
        <w:rPr>
          <w:rFonts w:ascii="Times New Roman" w:hAnsi="Times New Roman" w:cs="Times New Roman"/>
        </w:rPr>
      </w:pPr>
      <w:r w:rsidRPr="00191132">
        <w:rPr>
          <w:rFonts w:ascii="Times New Roman" w:hAnsi="Times New Roman" w:cs="Times New Roman"/>
          <w:i/>
        </w:rPr>
        <w:t>Note.</w:t>
      </w:r>
      <w:r w:rsidRPr="00191132">
        <w:rPr>
          <w:rFonts w:ascii="Times New Roman" w:hAnsi="Times New Roman" w:cs="Times New Roman"/>
        </w:rPr>
        <w:t xml:space="preserve"> The relative power of Russia is operationalized as </w:t>
      </w:r>
      <w:r w:rsidRPr="00191132">
        <w:rPr>
          <w:rFonts w:ascii="Times New Roman" w:hAnsi="Times New Roman" w:cs="Times New Roman"/>
          <w:color w:val="000000" w:themeColor="text1"/>
        </w:rPr>
        <w:t xml:space="preserve">the difference in the share of total trade with Russia and the EU. The illustrations visualize the </w:t>
      </w:r>
      <w:r>
        <w:rPr>
          <w:rFonts w:ascii="Times New Roman" w:hAnsi="Times New Roman" w:cs="Times New Roman"/>
          <w:color w:val="000000" w:themeColor="text1"/>
        </w:rPr>
        <w:t xml:space="preserve">marginal </w:t>
      </w:r>
      <w:r w:rsidRPr="00191132">
        <w:rPr>
          <w:rFonts w:ascii="Times New Roman" w:hAnsi="Times New Roman" w:cs="Times New Roman"/>
          <w:color w:val="000000" w:themeColor="text1"/>
        </w:rPr>
        <w:t xml:space="preserve">effects of EU sanctions </w:t>
      </w:r>
      <w:r>
        <w:rPr>
          <w:rFonts w:ascii="Times New Roman" w:hAnsi="Times New Roman" w:cs="Times New Roman"/>
          <w:color w:val="000000" w:themeColor="text1"/>
        </w:rPr>
        <w:t xml:space="preserve">on human rights </w:t>
      </w:r>
      <w:r w:rsidRPr="00191132">
        <w:rPr>
          <w:rFonts w:ascii="Times New Roman" w:hAnsi="Times New Roman" w:cs="Times New Roman"/>
          <w:color w:val="000000" w:themeColor="text1"/>
        </w:rPr>
        <w:t>when Russia’s</w:t>
      </w:r>
      <w:r>
        <w:rPr>
          <w:rFonts w:ascii="Times New Roman" w:hAnsi="Times New Roman" w:cs="Times New Roman"/>
          <w:color w:val="000000" w:themeColor="text1"/>
        </w:rPr>
        <w:t xml:space="preserve"> relative power is 50, 25, 0,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25, and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91132">
        <w:rPr>
          <w:rFonts w:ascii="Times New Roman" w:hAnsi="Times New Roman" w:cs="Times New Roman"/>
          <w:color w:val="000000" w:themeColor="text1"/>
        </w:rPr>
        <w:t>50.</w:t>
      </w:r>
    </w:p>
    <w:p w14:paraId="696E850B" w14:textId="77777777" w:rsidR="00FE215A" w:rsidRPr="00FE215A" w:rsidRDefault="00FE215A" w:rsidP="00922B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FE215A" w:rsidRPr="00FE2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0CA0" w16cex:dateUtc="2021-02-24T17:34:00Z"/>
  <w16cex:commentExtensible w16cex:durableId="23E10D94" w16cex:dateUtc="2021-02-24T17:38:00Z"/>
  <w16cex:commentExtensible w16cex:durableId="23E10DD0" w16cex:dateUtc="2021-02-24T17:39:00Z"/>
  <w16cex:commentExtensible w16cex:durableId="23E10DE2" w16cex:dateUtc="2021-02-24T17:39:00Z"/>
  <w16cex:commentExtensible w16cex:durableId="23E10E1A" w16cex:dateUtc="2021-02-24T17:40:00Z"/>
  <w16cex:commentExtensible w16cex:durableId="23E10E41" w16cex:dateUtc="2021-02-24T17:41:00Z"/>
  <w16cex:commentExtensible w16cex:durableId="23E10E51" w16cex:dateUtc="2021-02-24T17:41:00Z"/>
  <w16cex:commentExtensible w16cex:durableId="23E10F12" w16cex:dateUtc="2021-02-24T17:44:00Z"/>
  <w16cex:commentExtensible w16cex:durableId="23E10F2B" w16cex:dateUtc="2021-02-24T17:45:00Z"/>
  <w16cex:commentExtensible w16cex:durableId="23E10F8F" w16cex:dateUtc="2021-02-24T17:4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DF6D8" w14:textId="77777777" w:rsidR="00B60F61" w:rsidRDefault="00B60F61" w:rsidP="008C187C">
      <w:pPr>
        <w:spacing w:after="0" w:line="240" w:lineRule="auto"/>
      </w:pPr>
      <w:r>
        <w:separator/>
      </w:r>
    </w:p>
  </w:endnote>
  <w:endnote w:type="continuationSeparator" w:id="0">
    <w:p w14:paraId="0415C6F7" w14:textId="77777777" w:rsidR="00B60F61" w:rsidRDefault="00B60F61" w:rsidP="008C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9F4F5" w14:textId="77777777" w:rsidR="00B60F61" w:rsidRDefault="00B60F61" w:rsidP="008C187C">
      <w:pPr>
        <w:spacing w:after="0" w:line="240" w:lineRule="auto"/>
      </w:pPr>
      <w:r>
        <w:separator/>
      </w:r>
    </w:p>
  </w:footnote>
  <w:footnote w:type="continuationSeparator" w:id="0">
    <w:p w14:paraId="1ACB1C6C" w14:textId="77777777" w:rsidR="00B60F61" w:rsidRDefault="00B60F61" w:rsidP="008C1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D8"/>
    <w:rsid w:val="00000673"/>
    <w:rsid w:val="00036707"/>
    <w:rsid w:val="00070984"/>
    <w:rsid w:val="00070FC5"/>
    <w:rsid w:val="00081D1C"/>
    <w:rsid w:val="000E28F1"/>
    <w:rsid w:val="000E2B43"/>
    <w:rsid w:val="000F1154"/>
    <w:rsid w:val="00102478"/>
    <w:rsid w:val="00103AFB"/>
    <w:rsid w:val="0010796A"/>
    <w:rsid w:val="00112008"/>
    <w:rsid w:val="001251FA"/>
    <w:rsid w:val="001302B1"/>
    <w:rsid w:val="00154887"/>
    <w:rsid w:val="0016354B"/>
    <w:rsid w:val="001649D6"/>
    <w:rsid w:val="001743E2"/>
    <w:rsid w:val="001871AC"/>
    <w:rsid w:val="00196FE2"/>
    <w:rsid w:val="001B01EA"/>
    <w:rsid w:val="001E3458"/>
    <w:rsid w:val="002035EA"/>
    <w:rsid w:val="00206545"/>
    <w:rsid w:val="00243E75"/>
    <w:rsid w:val="00280E41"/>
    <w:rsid w:val="002861A3"/>
    <w:rsid w:val="00293F84"/>
    <w:rsid w:val="0035101D"/>
    <w:rsid w:val="00366B05"/>
    <w:rsid w:val="00377D7A"/>
    <w:rsid w:val="003A77D8"/>
    <w:rsid w:val="003B4E4B"/>
    <w:rsid w:val="003D6577"/>
    <w:rsid w:val="003E3AA6"/>
    <w:rsid w:val="003E526F"/>
    <w:rsid w:val="003E768C"/>
    <w:rsid w:val="0040031C"/>
    <w:rsid w:val="004275FD"/>
    <w:rsid w:val="00447DD2"/>
    <w:rsid w:val="00454174"/>
    <w:rsid w:val="0047717A"/>
    <w:rsid w:val="004818F4"/>
    <w:rsid w:val="0049134B"/>
    <w:rsid w:val="00491442"/>
    <w:rsid w:val="00491642"/>
    <w:rsid w:val="004B0618"/>
    <w:rsid w:val="004B1A14"/>
    <w:rsid w:val="004D0BB1"/>
    <w:rsid w:val="00513D0C"/>
    <w:rsid w:val="00520267"/>
    <w:rsid w:val="00531118"/>
    <w:rsid w:val="0053767A"/>
    <w:rsid w:val="00545FA3"/>
    <w:rsid w:val="0055249C"/>
    <w:rsid w:val="00563492"/>
    <w:rsid w:val="00563C48"/>
    <w:rsid w:val="00583F52"/>
    <w:rsid w:val="005878BE"/>
    <w:rsid w:val="005D5C3B"/>
    <w:rsid w:val="005D6E7D"/>
    <w:rsid w:val="005E5F48"/>
    <w:rsid w:val="005E7F5C"/>
    <w:rsid w:val="005F0F68"/>
    <w:rsid w:val="005F1748"/>
    <w:rsid w:val="00602D10"/>
    <w:rsid w:val="00616056"/>
    <w:rsid w:val="00666470"/>
    <w:rsid w:val="0067416C"/>
    <w:rsid w:val="00677936"/>
    <w:rsid w:val="00677A73"/>
    <w:rsid w:val="006A443C"/>
    <w:rsid w:val="006A76C5"/>
    <w:rsid w:val="006A7792"/>
    <w:rsid w:val="006D03DC"/>
    <w:rsid w:val="006D3B6F"/>
    <w:rsid w:val="006E64E7"/>
    <w:rsid w:val="006F5BC7"/>
    <w:rsid w:val="007047A5"/>
    <w:rsid w:val="00735CAD"/>
    <w:rsid w:val="007403D1"/>
    <w:rsid w:val="007411E5"/>
    <w:rsid w:val="00785311"/>
    <w:rsid w:val="007B0104"/>
    <w:rsid w:val="007B20B0"/>
    <w:rsid w:val="007C0535"/>
    <w:rsid w:val="007D4AFA"/>
    <w:rsid w:val="007D6468"/>
    <w:rsid w:val="007E319C"/>
    <w:rsid w:val="00802C1E"/>
    <w:rsid w:val="00806604"/>
    <w:rsid w:val="00816C57"/>
    <w:rsid w:val="00835D0D"/>
    <w:rsid w:val="00835F00"/>
    <w:rsid w:val="00836B8A"/>
    <w:rsid w:val="0085314A"/>
    <w:rsid w:val="00857896"/>
    <w:rsid w:val="00861FAB"/>
    <w:rsid w:val="00863835"/>
    <w:rsid w:val="008B3C1B"/>
    <w:rsid w:val="008B7362"/>
    <w:rsid w:val="008C0416"/>
    <w:rsid w:val="008C187C"/>
    <w:rsid w:val="008F7755"/>
    <w:rsid w:val="00903FC8"/>
    <w:rsid w:val="009059EE"/>
    <w:rsid w:val="009071C7"/>
    <w:rsid w:val="00911987"/>
    <w:rsid w:val="00916222"/>
    <w:rsid w:val="00922B29"/>
    <w:rsid w:val="00936FCF"/>
    <w:rsid w:val="009420DB"/>
    <w:rsid w:val="00942C19"/>
    <w:rsid w:val="00942C5F"/>
    <w:rsid w:val="00947CA3"/>
    <w:rsid w:val="00967D92"/>
    <w:rsid w:val="009943E1"/>
    <w:rsid w:val="009A0752"/>
    <w:rsid w:val="009A2F9C"/>
    <w:rsid w:val="009B369C"/>
    <w:rsid w:val="009C2033"/>
    <w:rsid w:val="00A10CC9"/>
    <w:rsid w:val="00A14082"/>
    <w:rsid w:val="00A57ADC"/>
    <w:rsid w:val="00A61720"/>
    <w:rsid w:val="00A65A8C"/>
    <w:rsid w:val="00A76466"/>
    <w:rsid w:val="00A90329"/>
    <w:rsid w:val="00A937B2"/>
    <w:rsid w:val="00AA31BB"/>
    <w:rsid w:val="00AD265C"/>
    <w:rsid w:val="00AD57B1"/>
    <w:rsid w:val="00AD589B"/>
    <w:rsid w:val="00AE04A1"/>
    <w:rsid w:val="00AF5C2E"/>
    <w:rsid w:val="00B22F33"/>
    <w:rsid w:val="00B24D25"/>
    <w:rsid w:val="00B36955"/>
    <w:rsid w:val="00B60F61"/>
    <w:rsid w:val="00B61D1F"/>
    <w:rsid w:val="00B86664"/>
    <w:rsid w:val="00B943A5"/>
    <w:rsid w:val="00BF1F22"/>
    <w:rsid w:val="00C0734C"/>
    <w:rsid w:val="00C42447"/>
    <w:rsid w:val="00C46BDC"/>
    <w:rsid w:val="00C71F29"/>
    <w:rsid w:val="00C83567"/>
    <w:rsid w:val="00C851EF"/>
    <w:rsid w:val="00CC3F14"/>
    <w:rsid w:val="00CE2EAE"/>
    <w:rsid w:val="00CE3BFA"/>
    <w:rsid w:val="00CF00FB"/>
    <w:rsid w:val="00D00B8F"/>
    <w:rsid w:val="00D05282"/>
    <w:rsid w:val="00D06356"/>
    <w:rsid w:val="00D16C92"/>
    <w:rsid w:val="00D40CD1"/>
    <w:rsid w:val="00D4733C"/>
    <w:rsid w:val="00D63129"/>
    <w:rsid w:val="00DA0063"/>
    <w:rsid w:val="00DA53BD"/>
    <w:rsid w:val="00DB2B49"/>
    <w:rsid w:val="00DC5ECC"/>
    <w:rsid w:val="00DF1736"/>
    <w:rsid w:val="00DF345D"/>
    <w:rsid w:val="00E11490"/>
    <w:rsid w:val="00E369B8"/>
    <w:rsid w:val="00E52ABA"/>
    <w:rsid w:val="00E65D5A"/>
    <w:rsid w:val="00E67451"/>
    <w:rsid w:val="00E72393"/>
    <w:rsid w:val="00E74CF4"/>
    <w:rsid w:val="00E76909"/>
    <w:rsid w:val="00E76DD9"/>
    <w:rsid w:val="00E871F1"/>
    <w:rsid w:val="00E912D1"/>
    <w:rsid w:val="00E95205"/>
    <w:rsid w:val="00EA6DE6"/>
    <w:rsid w:val="00EB03BB"/>
    <w:rsid w:val="00ED3768"/>
    <w:rsid w:val="00ED4FD0"/>
    <w:rsid w:val="00EF2A45"/>
    <w:rsid w:val="00F41536"/>
    <w:rsid w:val="00F60FE1"/>
    <w:rsid w:val="00F70C89"/>
    <w:rsid w:val="00F93C48"/>
    <w:rsid w:val="00FC0B85"/>
    <w:rsid w:val="00FC45BD"/>
    <w:rsid w:val="00FD32DA"/>
    <w:rsid w:val="00FE0479"/>
    <w:rsid w:val="00FE215A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9EB257"/>
  <w15:chartTrackingRefBased/>
  <w15:docId w15:val="{812E45C5-B691-49FC-802A-59119E25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293F84"/>
    <w:rPr>
      <w:vertAlign w:val="superscript"/>
    </w:rPr>
  </w:style>
  <w:style w:type="paragraph" w:styleId="NoSpacing">
    <w:name w:val="No Spacing"/>
    <w:aliases w:val="table format"/>
    <w:link w:val="NoSpacingChar"/>
    <w:uiPriority w:val="1"/>
    <w:qFormat/>
    <w:rsid w:val="004B1A14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customStyle="1" w:styleId="NoSpacingChar">
    <w:name w:val="No Spacing Char"/>
    <w:aliases w:val="table format Char"/>
    <w:basedOn w:val="DefaultParagraphFont"/>
    <w:link w:val="NoSpacing"/>
    <w:uiPriority w:val="1"/>
    <w:rsid w:val="004B1A14"/>
    <w:rPr>
      <w:rFonts w:eastAsiaTheme="minorEastAsia"/>
      <w:sz w:val="24"/>
      <w:szCs w:val="24"/>
      <w:lang w:val="en-GB"/>
    </w:rPr>
  </w:style>
  <w:style w:type="paragraph" w:customStyle="1" w:styleId="Table">
    <w:name w:val="Table"/>
    <w:basedOn w:val="Normal"/>
    <w:qFormat/>
    <w:rsid w:val="004B1A14"/>
    <w:pPr>
      <w:spacing w:after="0" w:line="240" w:lineRule="auto"/>
      <w:jc w:val="both"/>
    </w:pPr>
    <w:rPr>
      <w:rFonts w:ascii="Times New Roman" w:hAnsi="Times New Roman" w:cs="Times New Roman"/>
      <w:color w:val="000000"/>
      <w:lang w:eastAsia="de-DE" w:bidi="he-IL"/>
    </w:rPr>
  </w:style>
  <w:style w:type="paragraph" w:customStyle="1" w:styleId="Footnotes">
    <w:name w:val="Footnotes"/>
    <w:basedOn w:val="Normal"/>
    <w:qFormat/>
    <w:rsid w:val="008C187C"/>
    <w:pPr>
      <w:spacing w:before="120" w:after="0" w:line="360" w:lineRule="auto"/>
      <w:contextualSpacing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3670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24D25"/>
    <w:pPr>
      <w:spacing w:after="0" w:line="360" w:lineRule="auto"/>
    </w:pPr>
    <w:rPr>
      <w:sz w:val="24"/>
      <w:szCs w:val="24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4D25"/>
    <w:rPr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3E526F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1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18F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7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9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9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9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F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ilium.europa.eu/en/policies/sanctions/ukraine-crisis/history-ukraine-crisis/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3498C-9E81-B042-AF2E-8B6B0E4A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6</Pages>
  <Words>1248</Words>
  <Characters>7642</Characters>
  <Application>Microsoft Office Word</Application>
  <DocSecurity>0</DocSecurity>
  <Lines>263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68</cp:revision>
  <dcterms:created xsi:type="dcterms:W3CDTF">2017-11-02T21:10:00Z</dcterms:created>
  <dcterms:modified xsi:type="dcterms:W3CDTF">2021-02-27T14:24:00Z</dcterms:modified>
</cp:coreProperties>
</file>