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405.png" ContentType="image/png"/>
  <Override PartName="/word/media/rId741.png" ContentType="image/png"/>
  <Override PartName="/word/media/rId745.png" ContentType="image/png"/>
  <Override PartName="/word/media/rId749.png" ContentType="image/png"/>
  <Override PartName="/word/media/rId753.png" ContentType="image/png"/>
  <Override PartName="/word/media/rId757.png" ContentType="image/png"/>
  <Override PartName="/word/media/rId761.png" ContentType="image/png"/>
  <Override PartName="/word/media/rId765.png" ContentType="image/png"/>
  <Override PartName="/word/media/rId769.png" ContentType="image/png"/>
  <Override PartName="/word/media/rId772.png" ContentType="image/png"/>
  <Override PartName="/word/media/rId776.png" ContentType="image/png"/>
  <Override PartName="/word/media/rId780.png" ContentType="image/png"/>
  <Override PartName="/word/media/rId783.png" ContentType="image/png"/>
  <Override PartName="/word/media/rId787.png" ContentType="image/png"/>
  <Override PartName="/word/media/rId791.png" ContentType="image/png"/>
  <Override PartName="/word/media/rId795.png" ContentType="image/png"/>
  <Override PartName="/word/media/rId799.png" ContentType="image/png"/>
  <Override PartName="/word/media/rId231.png" ContentType="image/png"/>
  <Override PartName="/word/media/rId329.png" ContentType="image/png"/>
  <Override PartName="/word/media/rId332.png" ContentType="image/png"/>
  <Override PartName="/word/media/rId335.png" ContentType="image/png"/>
  <Override PartName="/word/media/rId338.png" ContentType="image/png"/>
  <Override PartName="/word/media/rId341.png" ContentType="image/png"/>
  <Override PartName="/word/media/rId344.png" ContentType="image/png"/>
  <Override PartName="/word/media/rId384.png" ContentType="image/png"/>
  <Override PartName="/word/media/rId387.png" ContentType="image/png"/>
  <Override PartName="/word/media/rId390.png" ContentType="image/png"/>
  <Override PartName="/word/media/rId393.png" ContentType="image/png"/>
  <Override PartName="/word/media/rId420.png" ContentType="image/png"/>
  <Override PartName="/word/media/rId423.png" ContentType="image/png"/>
  <Override PartName="/word/media/rId426.png" ContentType="image/png"/>
  <Override PartName="/word/media/rId429.png" ContentType="image/png"/>
  <Override PartName="/word/media/rId432.png" ContentType="image/png"/>
  <Override PartName="/word/media/rId435.png" ContentType="image/png"/>
  <Override PartName="/word/media/rId438.png" ContentType="image/png"/>
  <Override PartName="/word/media/rId441.png" ContentType="image/png"/>
  <Override PartName="/word/media/rId450.png" ContentType="image/png"/>
  <Override PartName="/word/media/rId453.png" ContentType="image/png"/>
  <Override PartName="/word/media/rId456.png" ContentType="image/png"/>
  <Override PartName="/word/media/rId459.png" ContentType="image/png"/>
  <Override PartName="/word/media/rId129.png" ContentType="image/png"/>
  <Override PartName="/word/media/rId132.png" ContentType="image/png"/>
  <Override PartName="/word/media/rId615.png" ContentType="image/png"/>
  <Override PartName="/word/media/rId618.png" ContentType="image/png"/>
  <Override PartName="/word/media/rId621.png" ContentType="image/png"/>
  <Override PartName="/word/media/rId624.png" ContentType="image/png"/>
  <Override PartName="/word/media/rId627.png" ContentType="image/png"/>
  <Override PartName="/word/media/rId630.png" ContentType="image/png"/>
  <Override PartName="/word/media/rId187.png" ContentType="image/png"/>
  <Override PartName="/word/media/rId184.png" ContentType="image/png"/>
  <Override PartName="/word/media/rId291.png" ContentType="image/png"/>
  <Override PartName="/word/media/rId294.png" ContentType="image/png"/>
  <Override PartName="/word/media/rId297.png" ContentType="image/png"/>
  <Override PartName="/word/media/rId509.png" ContentType="image/png"/>
  <Override PartName="/word/media/rId512.png" ContentType="image/png"/>
  <Override PartName="/word/media/rId515.png" ContentType="image/png"/>
  <Override PartName="/word/media/rId518.png" ContentType="image/png"/>
  <Override PartName="/word/media/rId521.png" ContentType="image/png"/>
  <Override PartName="/word/media/rId537.png" ContentType="image/png"/>
  <Override PartName="/word/media/rId524.png" ContentType="image/png"/>
  <Override PartName="/word/media/rId571.png" ContentType="image/png"/>
  <Override PartName="/word/media/rId736.png" ContentType="image/png"/>
  <Override PartName="/word/media/rId669.png" ContentType="image/png"/>
  <Override PartName="/word/media/rId672.png" ContentType="image/png"/>
  <Override PartName="/word/media/rId676.png" ContentType="image/png"/>
  <Override PartName="/word/media/rId680.png" ContentType="image/png"/>
  <Override PartName="/word/media/rId692.png" ContentType="image/png"/>
  <Override PartName="/word/media/rId696.png" ContentType="image/png"/>
  <Override PartName="/word/media/rId700.png" ContentType="image/png"/>
  <Override PartName="/word/media/rId703.png" ContentType="image/png"/>
  <Override PartName="/word/media/rId710.png" ContentType="image/png"/>
  <Override PartName="/word/media/rId714.png" ContentType="image/png"/>
  <Override PartName="/word/media/rId717.png" ContentType="image/png"/>
  <Override PartName="/word/media/rId723.png" ContentType="image/png"/>
  <Override PartName="/word/media/rId727.png" ContentType="image/png"/>
  <Override PartName="/word/media/rId731.png" ContentType="image/png"/>
  <Override PartName="/word/media/rId464.png" ContentType="image/png"/>
  <Override PartName="/word/media/rId467.png" ContentType="image/png"/>
  <Override PartName="/word/media/rId470.png" ContentType="image/png"/>
  <Override PartName="/word/media/rId473.png" ContentType="image/png"/>
  <Override PartName="/word/media/rId476.png" ContentType="image/png"/>
  <Override PartName="/word/media/rId568.png" ContentType="image/png"/>
  <Override PartName="/word/media/rId683.png" ContentType="image/png"/>
  <Override PartName="/word/media/rId259.png" ContentType="image/png"/>
  <Override PartName="/word/media/rId408.png" ContentType="image/png"/>
  <Override PartName="/word/media/rId411.png" ContentType="image/png"/>
  <Override PartName="/word/media/rId562.png" ContentType="image/png"/>
  <Override PartName="/word/media/rId559.png" ContentType="image/png"/>
  <Override PartName="/word/media/rId265.png" ContentType="image/png"/>
  <Override PartName="/word/media/rId350.png" ContentType="image/png"/>
  <Override PartName="/word/media/rId356.png" ContentType="image/png"/>
  <Override PartName="/word/media/rId353.png" ContentType="image/png"/>
  <Override PartName="/word/media/rId359.png" ContentType="image/png"/>
  <Override PartName="/word/media/rId362.png" ContentType="image/png"/>
  <Override PartName="/word/media/rId612.png" ContentType="image/png"/>
  <Override PartName="/word/media/rId262.png" ContentType="image/png"/>
  <Override PartName="/word/media/rId706.png" ContentType="image/png"/>
  <Override PartName="/word/media/rId414.png" ContentType="image/png"/>
  <Override PartName="/word/media/rId347.png" ContentType="image/png"/>
  <Override PartName="/word/media/rId256.png" ContentType="image/png"/>
  <Override PartName="/word/media/rId417.png" ContentType="image/png"/>
  <Override PartName="/word/media/rId565.png" ContentType="image/png"/>
  <Override PartName="/word/media/rId542.png" ContentType="image/png"/>
  <Override PartName="/word/media/rId268.png" ContentType="image/png"/>
  <Override PartName="/word/media/rId365.png" ContentType="image/png"/>
  <Override PartName="/word/media/rId688.png" ContentType="image/png"/>
  <Override PartName="/word/media/rId307.png" ContentType="image/png"/>
  <Override PartName="/word/media/rId60.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KRM Documentation</w:t>
      </w:r>
    </w:p>
    <w:p>
      <w:pPr>
        <w:pStyle w:val="Subtitle"/>
      </w:pPr>
      <w:r>
        <w:t xml:space="preserve">Scholarly</w:t>
      </w:r>
      <w:r>
        <w:t xml:space="preserve"> </w:t>
      </w:r>
      <w:r>
        <w:t xml:space="preserve">and</w:t>
      </w:r>
      <w:r>
        <w:t xml:space="preserve"> </w:t>
      </w:r>
      <w:r>
        <w:t xml:space="preserve">Technical</w:t>
      </w:r>
      <w:r>
        <w:t xml:space="preserve"> </w:t>
      </w:r>
      <w:r>
        <w:t xml:space="preserve">Documentation</w:t>
      </w:r>
      <w:r>
        <w:t xml:space="preserve"> </w:t>
      </w:r>
      <w:r>
        <w:t xml:space="preserve">for</w:t>
      </w:r>
      <w:r>
        <w:t xml:space="preserve"> </w:t>
      </w:r>
      <w:r>
        <w:t xml:space="preserve">the</w:t>
      </w:r>
      <w:r>
        <w:t xml:space="preserve"> </w:t>
      </w:r>
      <w:r>
        <w:t xml:space="preserve">KRM</w:t>
      </w:r>
      <w:r>
        <w:t xml:space="preserve"> </w:t>
      </w:r>
      <w:r>
        <w:t xml:space="preserve">Database</w:t>
      </w:r>
    </w:p>
    <w:p>
      <w:pPr>
        <w:pStyle w:val="Author"/>
      </w:pPr>
      <w:r>
        <w:t xml:space="preserve">Shōju</w:t>
      </w:r>
      <w:r>
        <w:t xml:space="preserve"> </w:t>
      </w:r>
      <w:r>
        <w:t xml:space="preserve">Ikeda</w:t>
      </w:r>
    </w:p>
    <w:p>
      <w:pPr>
        <w:pStyle w:val="Author"/>
      </w:pPr>
      <w:r>
        <w:t xml:space="preserve">Professor</w:t>
      </w:r>
      <w:r>
        <w:t xml:space="preserve"> </w:t>
      </w:r>
      <w:r>
        <w:t xml:space="preserve">Emeritus,</w:t>
      </w:r>
      <w:r>
        <w:t xml:space="preserve"> </w:t>
      </w:r>
      <w:r>
        <w:t xml:space="preserve">Hokkaido</w:t>
      </w:r>
      <w:r>
        <w:t xml:space="preserve"> </w:t>
      </w:r>
      <w:r>
        <w:t xml:space="preserve">University</w:t>
      </w:r>
    </w:p>
    <w:p>
      <w:pPr>
        <w:pStyle w:val="Date"/>
      </w:pPr>
      <w:r>
        <w:t xml:space="preserve">Version</w:t>
      </w:r>
      <w:r>
        <w:t xml:space="preserve"> </w:t>
      </w:r>
      <w:r>
        <w:t xml:space="preserve">0.9</w:t>
      </w:r>
      <w:r>
        <w:t xml:space="preserve"> </w:t>
      </w:r>
      <w:r>
        <w:t xml:space="preserve">(draft)</w:t>
      </w:r>
      <w:r>
        <w:t xml:space="preserve"> </w:t>
      </w:r>
      <w:r>
        <w:t xml:space="preserve">—</w:t>
      </w:r>
      <w:r>
        <w:t xml:space="preserve"> </w:t>
      </w:r>
      <w:r>
        <w:t xml:space="preserve">publication</w:t>
      </w:r>
      <w:r>
        <w:t xml:space="preserve"> </w:t>
      </w:r>
      <w:r>
        <w:t xml:space="preserve">date</w:t>
      </w:r>
      <w:r>
        <w:t xml:space="preserve"> </w:t>
      </w:r>
      <w:r>
        <w:t xml:space="preserve">to</w:t>
      </w:r>
      <w:r>
        <w:t xml:space="preserve"> </w:t>
      </w:r>
      <w:r>
        <w:t xml:space="preserve">be</w:t>
      </w:r>
      <w:r>
        <w:t xml:space="preserve"> </w:t>
      </w:r>
      <w:r>
        <w:t xml:space="preserve">finalized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publication__cover.md"/>
    <w:bookmarkStart w:id="28" w:name="Xe2e48056c0666296564030a24bc23b09707e96e"/>
    <w:p>
      <w:pPr>
        <w:pStyle w:val="Heading1"/>
      </w:pPr>
      <w:r>
        <w:t xml:space="preserve">Document Information</w:t>
      </w:r>
    </w:p>
    <w:bookmarkStart w:id="23" w:name="X50968f59cad67e6e9c273870c873693ddb6f89e"/>
    <w:p>
      <w:pPr>
        <w:pStyle w:val="Heading2"/>
      </w:pPr>
      <w:r>
        <w:t xml:space="preserve">About This Documentation</w:t>
      </w:r>
    </w:p>
    <w:p>
      <w:pPr>
        <w:pStyle w:val="DefinitionTerm"/>
      </w:pPr>
      <w:r>
        <w:t xml:space="preserve">Title</w:t>
      </w:r>
    </w:p>
    <w:p>
      <w:pPr>
        <w:pStyle w:val="Definition"/>
      </w:pPr>
      <w:r>
        <w:t xml:space="preserve">KRM Documentation</w:t>
      </w:r>
    </w:p>
    <w:p>
      <w:pPr>
        <w:pStyle w:val="DefinitionTerm"/>
      </w:pPr>
      <w:r>
        <w:t xml:space="preserve">Subtitle</w:t>
      </w:r>
    </w:p>
    <w:p>
      <w:pPr>
        <w:pStyle w:val="Definition"/>
      </w:pPr>
      <w:r>
        <w:t xml:space="preserve">Scholarly and Technical Documentation for the KRM Database</w:t>
      </w:r>
    </w:p>
    <w:p>
      <w:pPr>
        <w:pStyle w:val="DefinitionTerm"/>
      </w:pPr>
      <w:r>
        <w:t xml:space="preserve">Documentation Version</w:t>
      </w:r>
    </w:p>
    <w:p>
      <w:pPr>
        <w:pStyle w:val="Definition"/>
      </w:pPr>
      <w:r>
        <w:t xml:space="preserve">0.9 (draft; Version 1.0 planned on completion of this reorganization)</w:t>
      </w:r>
    </w:p>
    <w:p>
      <w:pPr>
        <w:pStyle w:val="DefinitionTerm"/>
      </w:pPr>
      <w:r>
        <w:t xml:space="preserve">Publication Date</w:t>
      </w:r>
    </w:p>
    <w:p>
      <w:pPr>
        <w:pStyle w:val="Definition"/>
      </w:pPr>
      <w:r>
        <w:rPr>
          <w:iCs/>
          <w:i/>
        </w:rPr>
        <w:t xml:space="preserve">draft — to be finalized at Version 1.0</w:t>
      </w:r>
    </w:p>
    <w:p>
      <w:pPr>
        <w:pStyle w:val="DefinitionTerm"/>
      </w:pPr>
      <w:r>
        <w:t xml:space="preserve">Last Updated</w:t>
      </w:r>
    </w:p>
    <w:p>
      <w:pPr>
        <w:pStyle w:val="Definition"/>
      </w:pPr>
      <w:r>
        <w:rPr>
          <w:iCs/>
          <w:i/>
        </w:rPr>
        <w:t xml:space="preserve">draft — to be finalized at Version 1.0</w:t>
      </w:r>
    </w:p>
    <w:p>
      <w:pPr>
        <w:pStyle w:val="DefinitionTerm"/>
      </w:pPr>
      <w:r>
        <w:t xml:space="preserve">Author</w:t>
      </w:r>
    </w:p>
    <w:p>
      <w:pPr>
        <w:pStyle w:val="Definition"/>
      </w:pPr>
      <w:r>
        <w:t xml:space="preserve">Shōju Ikeda</w:t>
      </w:r>
    </w:p>
    <w:p>
      <w:pPr>
        <w:pStyle w:val="DefinitionTerm"/>
      </w:pPr>
      <w:r>
        <w:t xml:space="preserve">Affiliation</w:t>
      </w:r>
    </w:p>
    <w:p>
      <w:pPr>
        <w:pStyle w:val="Definition"/>
      </w:pPr>
      <w:r>
        <w:t xml:space="preserve">Professor Emeritus, Hokkaido University</w:t>
      </w:r>
    </w:p>
    <w:p>
      <w:pPr>
        <w:pStyle w:val="DefinitionTerm"/>
      </w:pPr>
      <w:r>
        <w:t xml:space="preserve">Email</w:t>
      </w:r>
    </w:p>
    <w:p>
      <w:pPr>
        <w:pStyle w:val="Definition"/>
      </w:pPr>
      <w:hyperlink r:id="rId20">
        <w:r>
          <w:rPr>
            <w:rStyle w:val="Hyperlink"/>
          </w:rPr>
          <w:t xml:space="preserve">ikeda.shoju@gmail.com</w:t>
        </w:r>
      </w:hyperlink>
    </w:p>
    <w:p>
      <w:pPr>
        <w:pStyle w:val="DefinitionTerm"/>
      </w:pPr>
      <w:r>
        <w:t xml:space="preserve">Project Website</w:t>
      </w:r>
    </w:p>
    <w:p>
      <w:pPr>
        <w:pStyle w:val="Definition"/>
      </w:pPr>
      <w:hyperlink r:id="rId21">
        <w:r>
          <w:rPr>
            <w:rStyle w:val="Hyperlink"/>
          </w:rPr>
          <w:t xml:space="preserve">https://shikeda.github.io/</w:t>
        </w:r>
      </w:hyperlink>
    </w:p>
    <w:p>
      <w:pPr>
        <w:pStyle w:val="DefinitionTerm"/>
      </w:pPr>
      <w:r>
        <w:t xml:space="preserve">Documentation Website</w:t>
      </w:r>
    </w:p>
    <w:p>
      <w:pPr>
        <w:pStyle w:val="Definition"/>
      </w:pPr>
      <w:hyperlink r:id="rId22">
        <w:r>
          <w:rPr>
            <w:rStyle w:val="Hyperlink"/>
          </w:rPr>
          <w:t xml:space="preserve">https://shikeda.github.io/docs/krm/</w:t>
        </w:r>
      </w:hyperlink>
    </w:p>
    <w:p>
      <w:pPr>
        <w:pStyle w:val="DefinitionTerm"/>
      </w:pPr>
      <w:r>
        <w:t xml:space="preserve">Documentation License</w:t>
      </w:r>
    </w:p>
    <w:p>
      <w:pPr>
        <w:pStyle w:val="Definition"/>
      </w:pPr>
      <w:r>
        <w:t xml:space="preserve">CC BY-SA 4.0</w:t>
      </w:r>
    </w:p>
    <w:p>
      <w:pPr>
        <w:pStyle w:val="DefinitionTerm"/>
      </w:pPr>
      <w:r>
        <w:t xml:space="preserve">Suggested Citation (Documentation)</w:t>
      </w:r>
    </w:p>
    <w:p>
      <w:pPr>
        <w:pStyle w:val="Definition"/>
      </w:pPr>
      <w:r>
        <w:rPr>
          <w:iCs/>
          <w:i/>
        </w:rPr>
        <w:t xml:space="preserve">(draft — finalized at Version 1.0)</w:t>
      </w:r>
      <w:r>
        <w:t xml:space="preserve"> </w:t>
      </w:r>
      <w:r>
        <w:t xml:space="preserve">Ikeda, Shōju.</w:t>
      </w:r>
      <w:r>
        <w:t xml:space="preserve"> </w:t>
      </w:r>
      <w:r>
        <w:rPr>
          <w:iCs/>
          <w:i/>
        </w:rPr>
        <w:t xml:space="preserve">KRM Documentation</w:t>
      </w:r>
      <w:r>
        <w:t xml:space="preserve">. Version 0.9.</w:t>
      </w:r>
      <w:r>
        <w:t xml:space="preserve"> </w:t>
      </w:r>
      <w:hyperlink r:id="rId22">
        <w:r>
          <w:rPr>
            <w:rStyle w:val="Hyperlink"/>
          </w:rPr>
          <w:t xml:space="preserve">https://shikeda.github.io/docs/krm/</w:t>
        </w:r>
      </w:hyperlink>
      <w:r>
        <w:t xml:space="preserve">.</w:t>
      </w:r>
    </w:p>
    <w:p>
      <w:pPr>
        <w:pStyle w:val="DefinitionTerm"/>
      </w:pPr>
      <w:r>
        <w:t xml:space="preserve">Relationship</w:t>
      </w:r>
    </w:p>
    <w:p>
      <w:pPr>
        <w:pStyle w:val="Definition"/>
      </w:pPr>
      <w:r>
        <w:t xml:space="preserve">KRM Documentation documents the KRM Database. The KRM Database is distributed through GitHub and Zenodo.</w:t>
      </w:r>
    </w:p>
    <w:bookmarkEnd w:id="23"/>
    <w:bookmarkStart w:id="26" w:name="Xb9dc8a393960b458787fef22c3f85d95d4e4a31"/>
    <w:p>
      <w:pPr>
        <w:pStyle w:val="Heading2"/>
      </w:pPr>
      <w:r>
        <w:t xml:space="preserve">Resource Documented</w:t>
      </w:r>
    </w:p>
    <w:p>
      <w:pPr>
        <w:pStyle w:val="DefinitionTerm"/>
      </w:pPr>
      <w:r>
        <w:t xml:space="preserve">Resource Title</w:t>
      </w:r>
    </w:p>
    <w:p>
      <w:pPr>
        <w:pStyle w:val="Definition"/>
      </w:pPr>
      <w:r>
        <w:t xml:space="preserve">KRM: Database of the Kanchi-in Manuscript of the Ruijū Myōgishō</w:t>
      </w:r>
    </w:p>
    <w:p>
      <w:pPr>
        <w:pStyle w:val="DefinitionTerm"/>
      </w:pPr>
      <w:r>
        <w:t xml:space="preserve">Repository</w:t>
      </w:r>
    </w:p>
    <w:p>
      <w:pPr>
        <w:pStyle w:val="Definition"/>
      </w:pPr>
      <w:hyperlink r:id="rId24">
        <w:r>
          <w:rPr>
            <w:rStyle w:val="Hyperlink"/>
          </w:rPr>
          <w:t xml:space="preserve">https://github.com/shikeda/krm</w:t>
        </w:r>
      </w:hyperlink>
    </w:p>
    <w:p>
      <w:pPr>
        <w:pStyle w:val="DefinitionTerm"/>
      </w:pPr>
      <w:r>
        <w:t xml:space="preserve">KRM Data Version</w:t>
      </w:r>
    </w:p>
    <w:p>
      <w:pPr>
        <w:pStyle w:val="Definition"/>
      </w:pPr>
      <w:r>
        <w:t xml:space="preserve">v1.2.6</w:t>
      </w:r>
    </w:p>
    <w:p>
      <w:pPr>
        <w:pStyle w:val="DefinitionTerm"/>
      </w:pPr>
      <w:r>
        <w:t xml:space="preserve">KRM Dataset DOI</w:t>
      </w:r>
    </w:p>
    <w:p>
      <w:pPr>
        <w:pStyle w:val="Definition"/>
      </w:pPr>
      <w:hyperlink r:id="rId25">
        <w:r>
          <w:rPr>
            <w:rStyle w:val="Hyperlink"/>
          </w:rPr>
          <w:t xml:space="preserve">10.5281/zenodo.15481563</w:t>
        </w:r>
      </w:hyperlink>
    </w:p>
    <w:p>
      <w:pPr>
        <w:pStyle w:val="DefinitionTerm"/>
      </w:pPr>
      <w:r>
        <w:t xml:space="preserve">Data Citation</w:t>
      </w:r>
    </w:p>
    <w:p>
      <w:pPr>
        <w:pStyle w:val="Definition"/>
      </w:pPr>
      <w:r>
        <w:t xml:space="preserve">Ikeda, Shōju. (2025).</w:t>
      </w:r>
      <w:r>
        <w:t xml:space="preserve"> </w:t>
      </w:r>
      <w:r>
        <w:rPr>
          <w:iCs/>
          <w:i/>
        </w:rPr>
        <w:t xml:space="preserve">KRM: Database of the Kanchi-in Manuscript of the Ruijū Myōgishō</w:t>
      </w:r>
      <w:r>
        <w:t xml:space="preserve">. Version v1.2.6. Zenodo.</w:t>
      </w:r>
      <w:r>
        <w:t xml:space="preserve"> </w:t>
      </w:r>
      <w:hyperlink r:id="rId25">
        <w:r>
          <w:rPr>
            <w:rStyle w:val="Hyperlink"/>
          </w:rPr>
          <w:t xml:space="preserve">https://doi.org/10.5281/zenodo.15481563</w:t>
        </w:r>
      </w:hyperlink>
      <w:r>
        <w:t xml:space="preserve">.</w:t>
      </w:r>
    </w:p>
    <w:p>
      <w:pPr>
        <w:pStyle w:val="DefinitionTerm"/>
      </w:pPr>
      <w:r>
        <w:t xml:space="preserve">KRM Data License</w:t>
      </w:r>
    </w:p>
    <w:p>
      <w:pPr>
        <w:pStyle w:val="Definition"/>
      </w:pPr>
      <w:r>
        <w:t xml:space="preserve">CC BY-SA 4.0</w:t>
      </w:r>
    </w:p>
    <w:p>
      <w:pPr>
        <w:pStyle w:val="DefinitionTerm"/>
      </w:pPr>
      <w:r>
        <w:t xml:space="preserve">Software License</w:t>
      </w:r>
    </w:p>
    <w:p>
      <w:pPr>
        <w:pStyle w:val="Definition"/>
      </w:pPr>
      <w:r>
        <w:t xml:space="preserve">MIT License (</w:t>
      </w:r>
      <w:r>
        <w:rPr>
          <w:rStyle w:val="VerbatimChar"/>
        </w:rPr>
        <w:t xml:space="preserve">scripts/</w:t>
      </w:r>
      <w:r>
        <w:t xml:space="preserve">,</w:t>
      </w:r>
      <w:r>
        <w:t xml:space="preserve"> </w:t>
      </w:r>
      <w:r>
        <w:rPr>
          <w:rStyle w:val="VerbatimChar"/>
        </w:rPr>
        <w:t xml:space="preserve">webapp/</w:t>
      </w:r>
      <w:r>
        <w:t xml:space="preserve">)</w:t>
      </w:r>
    </w:p>
    <w:bookmarkEnd w:id="26"/>
    <w:bookmarkStart w:id="27" w:name="publication__cover.md__revision-history"/>
    <w:p>
      <w:pPr>
        <w:pStyle w:val="Heading2"/>
      </w:pPr>
      <w:r>
        <w:t xml:space="preserve">Revision History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Changes</w:t>
            </w:r>
          </w:p>
        </w:tc>
      </w:tr>
      <w:tr>
        <w:tc>
          <w:tcPr/>
          <w:p>
            <w:pPr>
              <w:pStyle w:val="Compact"/>
              <w:jc w:val="left"/>
            </w:pPr>
            <w:r>
              <w:t xml:space="preserve">0.9</w:t>
            </w:r>
          </w:p>
        </w:tc>
        <w:tc>
          <w:tcPr/>
          <w:p>
            <w:pPr>
              <w:pStyle w:val="Compact"/>
              <w:jc w:val="left"/>
            </w:pPr>
            <w:r>
              <w:t xml:space="preserve">draft</w:t>
            </w:r>
          </w:p>
        </w:tc>
        <w:tc>
          <w:tcPr/>
          <w:p>
            <w:pPr>
              <w:pStyle w:val="Compact"/>
              <w:jc w:val="left"/>
            </w:pPr>
            <w:r>
              <w:t xml:space="preserve">Front-matter reorganization in progress: separated Documentation and Dataset identity, DOI, and licenses.</w:t>
            </w:r>
          </w:p>
        </w:tc>
      </w:tr>
    </w:tbl>
    <w:bookmarkEnd w:id="27"/>
    <w:bookmarkEnd w:id="28"/>
    <w:bookmarkEnd w:id="29"/>
    <w:bookmarkStart w:id="44" w:name="X27727f7338d5ec97719ff356462e5dd3b1c0cd7"/>
    <w:bookmarkStart w:id="43" w:name="X6beb3a8f5ebb6684f14ffb6b4830af1f9f40706"/>
    <w:p>
      <w:pPr>
        <w:pStyle w:val="Heading1"/>
      </w:pPr>
      <w:r>
        <w:rPr>
          <w:rStyle w:val="SectionNumber"/>
        </w:rPr>
        <w:t xml:space="preserve">1</w:t>
      </w:r>
      <w:r>
        <w:tab/>
      </w:r>
      <w:r>
        <w:t xml:space="preserve">Overview of the</w:t>
      </w:r>
      <w:r>
        <w:t xml:space="preserve"> </w:t>
      </w:r>
      <w:r>
        <w:rPr>
          <w:iCs/>
          <w:i/>
        </w:rPr>
        <w:t xml:space="preserve">Ruiju Myōgishō</w:t>
      </w:r>
    </w:p>
    <w:p>
      <w:pPr>
        <w:pStyle w:val="FirstParagraph"/>
      </w:pPr>
      <w:r>
        <w:rPr>
          <w:bCs/>
          <w:b/>
        </w:rPr>
        <w:t xml:space="preserve">Ikeda Shōju</w:t>
      </w:r>
    </w:p>
    <w:p>
      <w:pPr>
        <w:pStyle w:val="BodyText"/>
      </w:pPr>
      <w:r>
        <w:t xml:space="preserve">Date published: April 20, 2025</w:t>
      </w:r>
    </w:p>
    <w:p>
      <w:pPr>
        <w:pStyle w:val="BodyText"/>
      </w:pPr>
      <w:r>
        <w:t xml:space="preserve">This section provides an overview of the</w:t>
      </w:r>
      <w:r>
        <w:t xml:space="preserve"> </w:t>
      </w:r>
      <w:r>
        <w:rPr>
          <w:iCs/>
          <w:i/>
        </w:rPr>
        <w:t xml:space="preserve">Ruiju Myōgishō</w:t>
      </w:r>
      <w:r>
        <w:t xml:space="preserve">, detailing its extant manuscripts, presumed compiler and provenance, scholarly significance, structural organization, textual sources, available facsimiles and indices, as well as pertinent secondary literature.</w:t>
      </w:r>
    </w:p>
    <w:p>
      <w:pPr>
        <w:numPr>
          <w:ilvl w:val="0"/>
          <w:numId w:val="1001"/>
        </w:numPr>
        <w:pStyle w:val="Compact"/>
      </w:pPr>
      <w:hyperlink w:anchor="Xdc7f26926f0a6f0a689022cc36877270fc318a2">
        <w:r>
          <w:rPr>
            <w:rStyle w:val="Hyperlink"/>
          </w:rPr>
          <w:t xml:space="preserve">Manuscript Traditions</w:t>
        </w:r>
      </w:hyperlink>
    </w:p>
    <w:p>
      <w:pPr>
        <w:numPr>
          <w:ilvl w:val="0"/>
          <w:numId w:val="1001"/>
        </w:numPr>
        <w:pStyle w:val="Compact"/>
      </w:pPr>
      <w:hyperlink w:anchor="X03402b00a7e96d1d066a6f136d0153f0e465cfb">
        <w:r>
          <w:rPr>
            <w:rStyle w:val="Hyperlink"/>
          </w:rPr>
          <w:t xml:space="preserve">Compiler</w:t>
        </w:r>
      </w:hyperlink>
    </w:p>
    <w:p>
      <w:pPr>
        <w:numPr>
          <w:ilvl w:val="0"/>
          <w:numId w:val="1001"/>
        </w:numPr>
        <w:pStyle w:val="Compact"/>
      </w:pPr>
      <w:hyperlink w:anchor="X9194d973eccb1d3e5adf090a3abfac67a96c1e8">
        <w:r>
          <w:rPr>
            <w:rStyle w:val="Hyperlink"/>
          </w:rPr>
          <w:t xml:space="preserve">Date of Compilation</w:t>
        </w:r>
      </w:hyperlink>
    </w:p>
    <w:p>
      <w:pPr>
        <w:numPr>
          <w:ilvl w:val="0"/>
          <w:numId w:val="1001"/>
        </w:numPr>
        <w:pStyle w:val="Compact"/>
      </w:pPr>
      <w:hyperlink w:anchor="X7f95afb4fd517c5e091cb366e81696750c3421a">
        <w:r>
          <w:rPr>
            <w:rStyle w:val="Hyperlink"/>
          </w:rPr>
          <w:t xml:space="preserve">Significance</w:t>
        </w:r>
      </w:hyperlink>
    </w:p>
    <w:p>
      <w:pPr>
        <w:numPr>
          <w:ilvl w:val="0"/>
          <w:numId w:val="1001"/>
        </w:numPr>
        <w:pStyle w:val="Compact"/>
      </w:pPr>
      <w:hyperlink w:anchor="X9d14e303d8dbae23cb77b9e37a669ea59432997">
        <w:r>
          <w:rPr>
            <w:rStyle w:val="Hyperlink"/>
          </w:rPr>
          <w:t xml:space="preserve">Radical Structure</w:t>
        </w:r>
      </w:hyperlink>
    </w:p>
    <w:p>
      <w:pPr>
        <w:numPr>
          <w:ilvl w:val="0"/>
          <w:numId w:val="1001"/>
        </w:numPr>
        <w:pStyle w:val="Compact"/>
      </w:pPr>
      <w:hyperlink w:anchor="X993dd2b510d44a3da9953340c70c5cfe190eb2b">
        <w:r>
          <w:rPr>
            <w:rStyle w:val="Hyperlink"/>
          </w:rPr>
          <w:t xml:space="preserve">Number of Entries</w:t>
        </w:r>
      </w:hyperlink>
    </w:p>
    <w:p>
      <w:pPr>
        <w:numPr>
          <w:ilvl w:val="0"/>
          <w:numId w:val="1001"/>
        </w:numPr>
        <w:pStyle w:val="Compact"/>
      </w:pPr>
      <w:hyperlink w:anchor="Xb29d1a89ed69b377e461ef20ea30fd54ccec5da">
        <w:r>
          <w:rPr>
            <w:rStyle w:val="Hyperlink"/>
          </w:rPr>
          <w:t xml:space="preserve">Sources</w:t>
        </w:r>
      </w:hyperlink>
    </w:p>
    <w:p>
      <w:pPr>
        <w:numPr>
          <w:ilvl w:val="0"/>
          <w:numId w:val="1001"/>
        </w:numPr>
        <w:pStyle w:val="Compact"/>
      </w:pPr>
      <w:hyperlink w:anchor="Xb81af9c4a968a8df074cd3ae77e0e58e8e6432f">
        <w:r>
          <w:rPr>
            <w:rStyle w:val="Hyperlink"/>
          </w:rPr>
          <w:t xml:space="preserve">Facsimile</w:t>
        </w:r>
      </w:hyperlink>
    </w:p>
    <w:p>
      <w:pPr>
        <w:numPr>
          <w:ilvl w:val="1"/>
          <w:numId w:val="1002"/>
        </w:numPr>
        <w:pStyle w:val="Compact"/>
      </w:pPr>
      <w:hyperlink w:anchor="X8825c9e061ac1a187bcdcc5baf768a44d0d88b2">
        <w:r>
          <w:rPr>
            <w:rStyle w:val="Hyperlink"/>
          </w:rPr>
          <w:t xml:space="preserve">Original Compilation</w:t>
        </w:r>
      </w:hyperlink>
    </w:p>
    <w:p>
      <w:pPr>
        <w:numPr>
          <w:ilvl w:val="1"/>
          <w:numId w:val="1002"/>
        </w:numPr>
        <w:pStyle w:val="Compact"/>
      </w:pPr>
      <w:hyperlink w:anchor="Xfa2306b21b4811bfc7fdbdbb1067df78dab9693">
        <w:r>
          <w:rPr>
            <w:rStyle w:val="Hyperlink"/>
          </w:rPr>
          <w:t xml:space="preserve">Revised Compilation</w:t>
        </w:r>
      </w:hyperlink>
    </w:p>
    <w:p>
      <w:pPr>
        <w:numPr>
          <w:ilvl w:val="0"/>
          <w:numId w:val="1001"/>
        </w:numPr>
        <w:pStyle w:val="Compact"/>
      </w:pPr>
      <w:hyperlink w:anchor="Xf29434705bdbca161527f50507a69356e9c7a72">
        <w:r>
          <w:rPr>
            <w:rStyle w:val="Hyperlink"/>
          </w:rPr>
          <w:t xml:space="preserve">Indexes</w:t>
        </w:r>
      </w:hyperlink>
    </w:p>
    <w:p>
      <w:pPr>
        <w:numPr>
          <w:ilvl w:val="0"/>
          <w:numId w:val="1001"/>
        </w:numPr>
        <w:pStyle w:val="Compact"/>
      </w:pPr>
      <w:hyperlink w:anchor="Xabe5b459a64f577da91bdd2daee0e796f404d6f">
        <w:r>
          <w:rPr>
            <w:rStyle w:val="Hyperlink"/>
          </w:rPr>
          <w:t xml:space="preserve">References</w:t>
        </w:r>
      </w:hyperlink>
    </w:p>
    <w:bookmarkStart w:id="30" w:name="Xdc7f26926f0a6f0a689022cc36877270fc318a2"/>
    <w:p>
      <w:pPr>
        <w:pStyle w:val="Heading2"/>
      </w:pPr>
      <w:r>
        <w:rPr>
          <w:rStyle w:val="SectionNumber"/>
        </w:rPr>
        <w:t xml:space="preserve">1.1</w:t>
      </w:r>
      <w:r>
        <w:tab/>
      </w:r>
      <w:r>
        <w:t xml:space="preserve">Manuscript Traditions</w:t>
      </w:r>
    </w:p>
    <w:p>
      <w:pPr>
        <w:pStyle w:val="FirstParagraph"/>
      </w:pPr>
      <w:r>
        <w:t xml:space="preserve">The extant manuscripts of the</w:t>
      </w:r>
      <w:r>
        <w:t xml:space="preserve"> </w:t>
      </w:r>
      <w:r>
        <w:rPr>
          <w:iCs/>
          <w:i/>
        </w:rPr>
        <w:t xml:space="preserve">Ruiju Myōgishō</w:t>
      </w:r>
      <w:r>
        <w:t xml:space="preserve"> </w:t>
      </w:r>
      <w:r>
        <w:t xml:space="preserve">fall into two distinct textual lineages: the original compilation and its later redactions.</w:t>
      </w:r>
      <w:r>
        <w:br/>
      </w:r>
      <w:r>
        <w:t xml:space="preserve">The sole surviving exemplar of the original compilation is held by the Archives and Mausolea Department of the Imperial Household Agency, and this lineage is often referred to as the</w:t>
      </w:r>
      <w:r>
        <w:t xml:space="preserve"> </w:t>
      </w:r>
      <w:r>
        <w:rPr>
          <w:iCs/>
          <w:i/>
        </w:rPr>
        <w:t xml:space="preserve">gensenbon</w:t>
      </w:r>
      <w:r>
        <w:t xml:space="preserve"> </w:t>
      </w:r>
      <w:r>
        <w:t xml:space="preserve">(original compilation) tradition. The manuscript in question was introduced in 1950 as the</w:t>
      </w:r>
      <w:r>
        <w:t xml:space="preserve"> </w:t>
      </w:r>
      <w:r>
        <w:rPr>
          <w:iCs/>
          <w:i/>
        </w:rPr>
        <w:t xml:space="preserve">Zushoryō</w:t>
      </w:r>
      <w:r>
        <w:t xml:space="preserve"> </w:t>
      </w:r>
      <w:r>
        <w:t xml:space="preserve">manuscript (Library of Ancient Books manuscript).</w:t>
      </w:r>
      <w:r>
        <w:br/>
      </w:r>
      <w:r>
        <w:t xml:space="preserve">The redacted lineage, alternatively termed the</w:t>
      </w:r>
      <w:r>
        <w:t xml:space="preserve"> </w:t>
      </w:r>
      <w:r>
        <w:rPr>
          <w:iCs/>
          <w:i/>
        </w:rPr>
        <w:t xml:space="preserve">kaihenbon-kei</w:t>
      </w:r>
      <w:r>
        <w:t xml:space="preserve"> </w:t>
      </w:r>
      <w:r>
        <w:t xml:space="preserve">(redacted version lineage) or</w:t>
      </w:r>
      <w:r>
        <w:t xml:space="preserve"> </w:t>
      </w:r>
      <w:r>
        <w:rPr>
          <w:iCs/>
          <w:i/>
        </w:rPr>
        <w:t xml:space="preserve">Kōekibon</w:t>
      </w:r>
      <w:r>
        <w:t xml:space="preserve"> </w:t>
      </w:r>
      <w:r>
        <w:t xml:space="preserve">tradition, includes several known manuscripts: the Kanchi-in manuscript, the Kōzan-ji manuscript, the Renshō-in manuscript, the Sainen-ji manuscript, and the Hōbodai-in manuscript. Of these, only the Kanchi-in manuscript survives in complete form; the remaining examples are fragmentary or incomplete. The redacted tradition has been the subject of sustained scholarly inquiry since the Edo period, beginning with the work of Ban Nobutomo and others.</w:t>
      </w:r>
    </w:p>
    <w:p>
      <w:pPr>
        <w:pStyle w:val="BodyText"/>
      </w:pPr>
      <w:r>
        <w:t xml:space="preserve">In Japanese scholarship, it is common practice to refer to individual manuscripts by appending</w:t>
      </w:r>
      <w:r>
        <w:t xml:space="preserve"> </w:t>
      </w:r>
      <w:r>
        <w:rPr>
          <w:iCs/>
          <w:i/>
        </w:rPr>
        <w:t xml:space="preserve">bon</w:t>
      </w:r>
      <w:r>
        <w:t xml:space="preserve"> </w:t>
      </w:r>
      <w:r>
        <w:t xml:space="preserve">(meaning</w:t>
      </w:r>
      <w:r>
        <w:t xml:space="preserve"> </w:t>
      </w:r>
      <w:r>
        <w:t xml:space="preserve">“</w:t>
      </w:r>
      <w:r>
        <w:t xml:space="preserve">copy</w:t>
      </w:r>
      <w:r>
        <w:t xml:space="preserve">”</w:t>
      </w:r>
      <w:r>
        <w:t xml:space="preserve"> </w:t>
      </w:r>
      <w:r>
        <w:t xml:space="preserve">or</w:t>
      </w:r>
      <w:r>
        <w:t xml:space="preserve"> </w:t>
      </w:r>
      <w:r>
        <w:t xml:space="preserve">“</w:t>
      </w:r>
      <w:r>
        <w:t xml:space="preserve">text</w:t>
      </w:r>
      <w:r>
        <w:t xml:space="preserve">”</w:t>
      </w:r>
      <w:r>
        <w:t xml:space="preserve">) to the name of the holding temple or institution—for example,</w:t>
      </w:r>
      <w:r>
        <w:t xml:space="preserve"> </w:t>
      </w:r>
      <w:r>
        <w:rPr>
          <w:iCs/>
          <w:i/>
        </w:rPr>
        <w:t xml:space="preserve">Kanchi-in bon</w:t>
      </w:r>
      <w:r>
        <w:t xml:space="preserve">. In this paper, however, these will be referred to using the English term</w:t>
      </w:r>
      <w:r>
        <w:t xml:space="preserve"> </w:t>
      </w:r>
      <w:r>
        <w:t xml:space="preserve">“</w:t>
      </w:r>
      <w:r>
        <w:t xml:space="preserve">manuscript</w:t>
      </w:r>
      <w:r>
        <w:t xml:space="preserve">”</w:t>
      </w:r>
      <w:r>
        <w:t xml:space="preserve"> </w:t>
      </w:r>
      <w:r>
        <w:t xml:space="preserve">for clarity and consistency.</w:t>
      </w:r>
    </w:p>
    <w:p>
      <w:pPr>
        <w:pStyle w:val="BodyText"/>
      </w:pPr>
      <w:r>
        <w:t xml:space="preserve">In contemporary scholarship, the work is frequently referred to in abbreviated form as the</w:t>
      </w:r>
      <w:r>
        <w:t xml:space="preserve"> </w:t>
      </w:r>
      <w:r>
        <w:rPr>
          <w:iCs/>
          <w:i/>
        </w:rPr>
        <w:t xml:space="preserve">Myōgishō</w:t>
      </w:r>
      <w:r>
        <w:t xml:space="preserve">.</w:t>
      </w:r>
    </w:p>
    <w:bookmarkEnd w:id="30"/>
    <w:bookmarkStart w:id="31" w:name="X03402b00a7e96d1d066a6f136d0153f0e465cfb"/>
    <w:p>
      <w:pPr>
        <w:pStyle w:val="Heading2"/>
      </w:pPr>
      <w:r>
        <w:rPr>
          <w:rStyle w:val="SectionNumber"/>
        </w:rPr>
        <w:t xml:space="preserve">1.2</w:t>
      </w:r>
      <w:r>
        <w:tab/>
      </w:r>
      <w:r>
        <w:t xml:space="preserve">Compiler</w:t>
      </w:r>
    </w:p>
    <w:p>
      <w:pPr>
        <w:pStyle w:val="FirstParagraph"/>
      </w:pPr>
      <w:r>
        <w:t xml:space="preserve">The compiler of the original compilation is presumed to have been a Buddhist scholar-monk affiliated with the Hossō school, or possibly trained in both the Hossō and Shingon traditions, though their identity remains unknown. The compiler of the redacted version is likewise unidentified but is generally believed to have been a Shingon scholar-monk. A long-standing theory attributing the work to Sugawara no Koreyoshi is now considered erroneous.</w:t>
      </w:r>
    </w:p>
    <w:bookmarkEnd w:id="31"/>
    <w:bookmarkStart w:id="32" w:name="X9194d973eccb1d3e5adf090a3abfac67a96c1e8"/>
    <w:p>
      <w:pPr>
        <w:pStyle w:val="Heading2"/>
      </w:pPr>
      <w:r>
        <w:rPr>
          <w:rStyle w:val="SectionNumber"/>
        </w:rPr>
        <w:t xml:space="preserve">1.3</w:t>
      </w:r>
      <w:r>
        <w:tab/>
      </w:r>
      <w:r>
        <w:t xml:space="preserve">Date of Compilation</w:t>
      </w:r>
    </w:p>
    <w:p>
      <w:pPr>
        <w:pStyle w:val="FirstParagraph"/>
      </w:pPr>
      <w:r>
        <w:t xml:space="preserve">The sole extant exemplar of the original compilation—the</w:t>
      </w:r>
      <w:r>
        <w:t xml:space="preserve"> </w:t>
      </w:r>
      <w:r>
        <w:rPr>
          <w:iCs/>
          <w:i/>
        </w:rPr>
        <w:t xml:space="preserve">Zushoryō</w:t>
      </w:r>
      <w:r>
        <w:t xml:space="preserve"> </w:t>
      </w:r>
      <w:r>
        <w:t xml:space="preserve">manuscript—is a fragment of a single fascicle categorized under the</w:t>
      </w:r>
      <w:r>
        <w:t xml:space="preserve"> </w:t>
      </w:r>
      <w:r>
        <w:rPr>
          <w:bCs/>
          <w:b/>
        </w:rPr>
        <w:t xml:space="preserve">Dharma section (</w:t>
      </w:r>
      <w:r>
        <w:rPr>
          <w:iCs/>
          <w:i/>
          <w:bCs/>
          <w:b/>
        </w:rPr>
        <w:t xml:space="preserve">hōbu</w:t>
      </w:r>
      <w:r>
        <w:rPr>
          <w:bCs/>
          <w:b/>
        </w:rPr>
        <w:t xml:space="preserve">)</w:t>
      </w:r>
      <w:r>
        <w:t xml:space="preserve">, referring to one of the traditional Buddhist categories corresponding to the Three Jewels (</w:t>
      </w:r>
      <w:r>
        <w:rPr>
          <w:iCs/>
          <w:i/>
        </w:rPr>
        <w:t xml:space="preserve">Buddha, Dharma, Sangha</w:t>
      </w:r>
      <w:r>
        <w:t xml:space="preserve">).</w:t>
      </w:r>
    </w:p>
    <w:p>
      <w:pPr>
        <w:pStyle w:val="BodyText"/>
      </w:pPr>
      <w:r>
        <w:t xml:space="preserve">Although it bears no colophon or scribal note, it is generally dated to the Insei (cloistered rule) period. The text makes reference to the monk</w:t>
      </w:r>
      <w:r>
        <w:t xml:space="preserve"> </w:t>
      </w:r>
      <w:r>
        <w:rPr>
          <w:iCs/>
          <w:i/>
        </w:rPr>
        <w:t xml:space="preserve">Eichō Sōzu</w:t>
      </w:r>
      <w:r>
        <w:t xml:space="preserve"> </w:t>
      </w:r>
      <w:r>
        <w:t xml:space="preserve">(Eichō, Bishop), who is known to have received the title</w:t>
      </w:r>
      <w:r>
        <w:t xml:space="preserve"> </w:t>
      </w:r>
      <w:r>
        <w:rPr>
          <w:iCs/>
          <w:i/>
        </w:rPr>
        <w:t xml:space="preserve">Sōzu</w:t>
      </w:r>
      <w:r>
        <w:t xml:space="preserve"> </w:t>
      </w:r>
      <w:r>
        <w:t xml:space="preserve">in 1081 (Eihō 1). Based on this and other circumstantial evidence, the work is believed to have been compiled by around the year 1000.</w:t>
      </w:r>
    </w:p>
    <w:p>
      <w:pPr>
        <w:pStyle w:val="BodyText"/>
      </w:pPr>
      <w:r>
        <w:t xml:space="preserve">As for the redacted version, a manuscript from Kōzan-ji contains a marginal note in the hand of the Kōyasan monk</w:t>
      </w:r>
      <w:r>
        <w:t xml:space="preserve"> </w:t>
      </w:r>
      <w:r>
        <w:rPr>
          <w:iCs/>
          <w:i/>
        </w:rPr>
        <w:t xml:space="preserve">Genshō</w:t>
      </w:r>
      <w:r>
        <w:t xml:space="preserve">, dated to 1178 (Jishō 2). Since this note corresponds to content found in the redacted</w:t>
      </w:r>
      <w:r>
        <w:t xml:space="preserve"> </w:t>
      </w:r>
      <w:r>
        <w:rPr>
          <w:iCs/>
          <w:i/>
        </w:rPr>
        <w:t xml:space="preserve">Ruiju Myōgishō</w:t>
      </w:r>
      <w:r>
        <w:t xml:space="preserve">, it is inferred that the revised compilation had been completed by that time.</w:t>
      </w:r>
    </w:p>
    <w:bookmarkEnd w:id="32"/>
    <w:bookmarkStart w:id="33" w:name="X7f95afb4fd517c5e091cb366e81696750c3421a"/>
    <w:p>
      <w:pPr>
        <w:pStyle w:val="Heading2"/>
      </w:pPr>
      <w:r>
        <w:rPr>
          <w:rStyle w:val="SectionNumber"/>
        </w:rPr>
        <w:t xml:space="preserve">1.4</w:t>
      </w:r>
      <w:r>
        <w:tab/>
      </w:r>
      <w:r>
        <w:t xml:space="preserve">Significance</w:t>
      </w:r>
    </w:p>
    <w:p>
      <w:pPr>
        <w:pStyle w:val="FirstParagraph"/>
      </w:pPr>
      <w:r>
        <w:t xml:space="preserve">The</w:t>
      </w:r>
      <w:r>
        <w:t xml:space="preserve"> </w:t>
      </w:r>
      <w:r>
        <w:rPr>
          <w:iCs/>
          <w:i/>
        </w:rPr>
        <w:t xml:space="preserve">Ruiju Myōgishō</w:t>
      </w:r>
      <w:r>
        <w:t xml:space="preserve"> </w:t>
      </w:r>
      <w:r>
        <w:t xml:space="preserve">lists Chinese characters, presented either as individual graphs or as compounds. These entries are typically accompanied by various forms of explanatory notes, including:</w:t>
      </w:r>
    </w:p>
    <w:p>
      <w:pPr>
        <w:numPr>
          <w:ilvl w:val="0"/>
          <w:numId w:val="1003"/>
        </w:numPr>
        <w:pStyle w:val="Compact"/>
      </w:pPr>
      <w:r>
        <w:rPr>
          <w:rStyle w:val="VerbatimChar"/>
        </w:rPr>
        <w:t xml:space="preserve">fanqie</w:t>
      </w:r>
      <w:r>
        <w:t xml:space="preserve"> </w:t>
      </w:r>
      <w:r>
        <w:t xml:space="preserve">spellings (反切) to indicate pronunciation,</w:t>
      </w:r>
    </w:p>
    <w:p>
      <w:pPr>
        <w:numPr>
          <w:ilvl w:val="0"/>
          <w:numId w:val="1003"/>
        </w:numPr>
        <w:pStyle w:val="Compact"/>
      </w:pPr>
      <w:r>
        <w:t xml:space="preserve">homophone glosses (類音注),</w:t>
      </w:r>
    </w:p>
    <w:p>
      <w:pPr>
        <w:numPr>
          <w:ilvl w:val="0"/>
          <w:numId w:val="1003"/>
        </w:numPr>
        <w:pStyle w:val="Compact"/>
      </w:pPr>
      <w:r>
        <w:t xml:space="preserve">Sino-Japanese readings (字音) transcribed in katakana (片仮名),</w:t>
      </w:r>
    </w:p>
    <w:p>
      <w:pPr>
        <w:numPr>
          <w:ilvl w:val="0"/>
          <w:numId w:val="1003"/>
        </w:numPr>
        <w:pStyle w:val="Compact"/>
      </w:pPr>
      <w:r>
        <w:rPr>
          <w:rStyle w:val="VerbatimChar"/>
        </w:rPr>
        <w:t xml:space="preserve">Semantic Glosses in Chinese</w:t>
      </w:r>
      <w:r>
        <w:t xml:space="preserve"> </w:t>
      </w:r>
      <w:r>
        <w:t xml:space="preserve">(漢文による意義注) explaining character meanings in literary Chinese,</w:t>
      </w:r>
    </w:p>
    <w:p>
      <w:pPr>
        <w:numPr>
          <w:ilvl w:val="0"/>
          <w:numId w:val="1003"/>
        </w:numPr>
        <w:pStyle w:val="Compact"/>
      </w:pPr>
      <w:r>
        <w:rPr>
          <w:rStyle w:val="VerbatimChar"/>
        </w:rPr>
        <w:t xml:space="preserve">Japanese Native Readings</w:t>
      </w:r>
      <w:r>
        <w:t xml:space="preserve"> </w:t>
      </w:r>
      <w:r>
        <w:t xml:space="preserve">(</w:t>
      </w:r>
      <w:r>
        <w:rPr>
          <w:rStyle w:val="VerbatimChar"/>
        </w:rPr>
        <w:t xml:space="preserve">wakun</w:t>
      </w:r>
      <w:r>
        <w:t xml:space="preserve">, 和訓) transcribed in katakana, and</w:t>
      </w:r>
    </w:p>
    <w:p>
      <w:pPr>
        <w:numPr>
          <w:ilvl w:val="0"/>
          <w:numId w:val="1003"/>
        </w:numPr>
        <w:pStyle w:val="Compact"/>
      </w:pPr>
      <w:r>
        <w:rPr>
          <w:rStyle w:val="VerbatimChar"/>
        </w:rPr>
        <w:t xml:space="preserve">Notes on Character Form</w:t>
      </w:r>
      <w:r>
        <w:t xml:space="preserve"> </w:t>
      </w:r>
      <w:r>
        <w:t xml:space="preserve">(字体注) that specify orthographic variants such as</w:t>
      </w:r>
      <w:r>
        <w:t xml:space="preserve"> </w:t>
      </w:r>
      <w:r>
        <w:t xml:space="preserve">“</w:t>
      </w:r>
      <w:r>
        <w:t xml:space="preserve">standard</w:t>
      </w:r>
      <w:r>
        <w:t xml:space="preserve">”</w:t>
      </w:r>
      <w:r>
        <w:t xml:space="preserve"> </w:t>
      </w:r>
      <w:r>
        <w:t xml:space="preserve">(正) and</w:t>
      </w:r>
      <w:r>
        <w:t xml:space="preserve"> </w:t>
      </w:r>
      <w:r>
        <w:t xml:space="preserve">“</w:t>
      </w:r>
      <w:r>
        <w:t xml:space="preserve">popular/variant</w:t>
      </w:r>
      <w:r>
        <w:t xml:space="preserve">”</w:t>
      </w:r>
      <w:r>
        <w:t xml:space="preserve"> </w:t>
      </w:r>
      <w:r>
        <w:t xml:space="preserve">(俗) forms.</w:t>
      </w:r>
    </w:p>
    <w:p>
      <w:pPr>
        <w:pStyle w:val="FirstParagraph"/>
      </w:pPr>
      <w:r>
        <w:t xml:space="preserve">Furthermore, tone marks (</w:t>
      </w:r>
      <w:r>
        <w:rPr>
          <w:rStyle w:val="VerbatimChar"/>
        </w:rPr>
        <w:t xml:space="preserve">shōten</w:t>
      </w:r>
      <w:r>
        <w:t xml:space="preserve">, 声点) are sometimes added to both the Sino-Japanese and native readings. Consequently, the</w:t>
      </w:r>
      <w:r>
        <w:t xml:space="preserve"> </w:t>
      </w:r>
      <w:r>
        <w:rPr>
          <w:iCs/>
          <w:i/>
        </w:rPr>
        <w:t xml:space="preserve">Myōgishō</w:t>
      </w:r>
      <w:r>
        <w:t xml:space="preserve"> </w:t>
      </w:r>
      <w:r>
        <w:t xml:space="preserve">is an invaluable resource for research in the history of the Japanese lexicon, the historical phonology of Sino-Japanese character readings, and the history of Chinese character forms as used in Japan.</w:t>
      </w:r>
    </w:p>
    <w:p>
      <w:pPr>
        <w:pStyle w:val="BodyText"/>
      </w:pPr>
      <w:r>
        <w:t xml:space="preserve">The work lists Chinese characters both as individual graphs and compounds, accompanied by fanqie spellings, homophone glosses, katakana transcriptions for Sino-Japanese readings, literary Chinese definitions, native Japanese readings (</w:t>
      </w:r>
      <w:r>
        <w:rPr>
          <w:iCs/>
          <w:i/>
        </w:rPr>
        <w:t xml:space="preserve">wakun</w:t>
      </w:r>
      <w:r>
        <w:t xml:space="preserve">) in katakana, and annotations indicating orthographic variants such as</w:t>
      </w:r>
      <w:r>
        <w:t xml:space="preserve"> </w:t>
      </w:r>
      <w:r>
        <w:t xml:space="preserve">“</w:t>
      </w:r>
      <w:r>
        <w:t xml:space="preserve">standard</w:t>
      </w:r>
      <w:r>
        <w:t xml:space="preserve">”</w:t>
      </w:r>
      <w:r>
        <w:t xml:space="preserve"> </w:t>
      </w:r>
      <w:r>
        <w:t xml:space="preserve">and</w:t>
      </w:r>
      <w:r>
        <w:t xml:space="preserve"> </w:t>
      </w:r>
      <w:r>
        <w:t xml:space="preserve">“</w:t>
      </w:r>
      <w:r>
        <w:t xml:space="preserve">popular</w:t>
      </w:r>
      <w:r>
        <w:t xml:space="preserve">”</w:t>
      </w:r>
      <w:r>
        <w:t xml:space="preserve"> </w:t>
      </w:r>
      <w:r>
        <w:t xml:space="preserve">forms. Phonetic marks (</w:t>
      </w:r>
      <w:r>
        <w:rPr>
          <w:iCs/>
          <w:i/>
        </w:rPr>
        <w:t xml:space="preserve">shōten</w:t>
      </w:r>
      <w:r>
        <w:t xml:space="preserve">) are sometimes added to both the Sino-Japanese and native readings.</w:t>
      </w:r>
    </w:p>
    <w:bookmarkEnd w:id="33"/>
    <w:bookmarkStart w:id="34" w:name="X9d14e303d8dbae23cb77b9e37a669ea59432997"/>
    <w:p>
      <w:pPr>
        <w:pStyle w:val="Heading2"/>
      </w:pPr>
      <w:r>
        <w:rPr>
          <w:rStyle w:val="SectionNumber"/>
        </w:rPr>
        <w:t xml:space="preserve">1.5</w:t>
      </w:r>
      <w:r>
        <w:tab/>
      </w:r>
      <w:r>
        <w:t xml:space="preserve">Radical Structure</w:t>
      </w:r>
    </w:p>
    <w:p>
      <w:pPr>
        <w:pStyle w:val="FirstParagraph"/>
      </w:pPr>
      <w:r>
        <w:t xml:space="preserve">According to the Kanchi-in manuscript, the</w:t>
      </w:r>
      <w:r>
        <w:t xml:space="preserve"> </w:t>
      </w:r>
      <w:r>
        <w:rPr>
          <w:iCs/>
          <w:i/>
        </w:rPr>
        <w:t xml:space="preserve">Ruiju Myōgishō</w:t>
      </w:r>
      <w:r>
        <w:t xml:space="preserve"> </w:t>
      </w:r>
      <w:r>
        <w:t xml:space="preserve">is organized into 120 sections grouped under the three divisions of the Buddhist Triratna: Buddha (仏), Dharma (法), and Sangha (僧).</w:t>
      </w:r>
      <w:r>
        <w:t xml:space="preserve"> </w:t>
      </w:r>
      <w:r>
        <w:t xml:space="preserve">Each division is further subdivided into several volumes or fascicles (巻</w:t>
      </w:r>
      <w:r>
        <w:t xml:space="preserve"> </w:t>
      </w:r>
      <w:r>
        <w:rPr>
          <w:iCs/>
          <w:i/>
        </w:rPr>
        <w:t xml:space="preserve">kan</w:t>
      </w:r>
      <w:r>
        <w:t xml:space="preserve">), such as</w:t>
      </w:r>
      <w:r>
        <w:t xml:space="preserve"> </w:t>
      </w:r>
      <w:r>
        <w:t xml:space="preserve">“</w:t>
      </w:r>
      <w:r>
        <w:t xml:space="preserve">Upper,</w:t>
      </w:r>
      <w:r>
        <w:t xml:space="preserve">”</w:t>
      </w:r>
      <w:r>
        <w:t xml:space="preserve"> </w:t>
      </w:r>
      <w:r>
        <w:t xml:space="preserve">“</w:t>
      </w:r>
      <w:r>
        <w:t xml:space="preserve">Middle,</w:t>
      </w:r>
      <w:r>
        <w:t xml:space="preserve">”</w:t>
      </w:r>
      <w:r>
        <w:t xml:space="preserve"> </w:t>
      </w:r>
      <w:r>
        <w:t xml:space="preserve">and</w:t>
      </w:r>
      <w:r>
        <w:t xml:space="preserve"> </w:t>
      </w:r>
      <w:r>
        <w:t xml:space="preserve">“</w:t>
      </w:r>
      <w:r>
        <w:t xml:space="preserve">Lower.</w:t>
      </w:r>
      <w:r>
        <w:t xml:space="preserve">”</w:t>
      </w:r>
      <w:r>
        <w:t xml:space="preserve"> </w:t>
      </w:r>
      <w:r>
        <w:t xml:space="preserve">Each division contains 40 sections based on semantic radicals. The table below presents the full list of radicals used, shown with their associated head characters (部首字).</w:t>
      </w:r>
    </w:p>
    <w:p>
      <w:pPr>
        <w:pStyle w:val="BodyText"/>
      </w:pPr>
      <w:r>
        <w:rPr>
          <w:bCs/>
          <w:b/>
        </w:rPr>
        <w:t xml:space="preserve">Buddha Division (仏)</w:t>
      </w:r>
      <w:r>
        <w:br/>
      </w:r>
      <w:r>
        <w:t xml:space="preserve">(</w:t>
      </w:r>
      <w:r>
        <w:rPr>
          <w:iCs/>
          <w:i/>
        </w:rPr>
        <w:t xml:space="preserve">Upper Volume</w:t>
      </w:r>
      <w:r>
        <w:t xml:space="preserve">)</w:t>
      </w:r>
      <w:r>
        <w:br/>
      </w:r>
      <w:r>
        <w:t xml:space="preserve">1 人 2 彳 3 辵 4 匚 5 走 6 麦 7 一 8 丨 9 十 10 身</w:t>
      </w:r>
      <w:r>
        <w:br/>
      </w:r>
      <w:r>
        <w:t xml:space="preserve">(</w:t>
      </w:r>
      <w:r>
        <w:rPr>
          <w:iCs/>
          <w:i/>
        </w:rPr>
        <w:t xml:space="preserve">Middle Volume</w:t>
      </w:r>
      <w:r>
        <w:t xml:space="preserve">)</w:t>
      </w:r>
      <w:r>
        <w:br/>
      </w:r>
      <w:r>
        <w:t xml:space="preserve">11 耳 12 女 13 舌 14 口 15 目 16 鼻 17 見 18 日 19 田 20 肉</w:t>
      </w:r>
      <w:r>
        <w:br/>
      </w:r>
      <w:r>
        <w:t xml:space="preserve">(</w:t>
      </w:r>
      <w:r>
        <w:rPr>
          <w:iCs/>
          <w:i/>
        </w:rPr>
        <w:t xml:space="preserve">Lower Volume, Part 1</w:t>
      </w:r>
      <w:r>
        <w:t xml:space="preserve">)</w:t>
      </w:r>
      <w:r>
        <w:br/>
      </w:r>
      <w:r>
        <w:t xml:space="preserve">21 舟 22 骨 23 角 24 貝 25 頁 26 彡 27 髟 28 手 29 木 30 犬</w:t>
      </w:r>
      <w:r>
        <w:br/>
      </w:r>
      <w:r>
        <w:t xml:space="preserve">(</w:t>
      </w:r>
      <w:r>
        <w:rPr>
          <w:iCs/>
          <w:i/>
        </w:rPr>
        <w:t xml:space="preserve">Lower Volume, Part 2</w:t>
      </w:r>
      <w:r>
        <w:t xml:space="preserve">)</w:t>
      </w:r>
      <w:r>
        <w:br/>
      </w:r>
      <w:r>
        <w:t xml:space="preserve">31 牛 32 片 33 豸 34 乙 35 儿 36 𠬞 37 八 38 大 39 火 40 黒</w:t>
      </w:r>
    </w:p>
    <w:p>
      <w:pPr>
        <w:pStyle w:val="BodyText"/>
      </w:pPr>
      <w:r>
        <w:rPr>
          <w:bCs/>
          <w:b/>
        </w:rPr>
        <w:t xml:space="preserve">Dharma Division (法)</w:t>
      </w:r>
      <w:r>
        <w:br/>
      </w:r>
      <w:r>
        <w:t xml:space="preserve">(</w:t>
      </w:r>
      <w:r>
        <w:rPr>
          <w:iCs/>
          <w:i/>
        </w:rPr>
        <w:t xml:space="preserve">Upper Volume</w:t>
      </w:r>
      <w:r>
        <w:t xml:space="preserve">)</w:t>
      </w:r>
      <w:r>
        <w:br/>
      </w:r>
      <w:r>
        <w:t xml:space="preserve">41 水 42 冫 43 言 44 足 45 立 46 豆 47 卜 48 面 49 齒 50 山</w:t>
      </w:r>
      <w:r>
        <w:br/>
      </w:r>
      <w:r>
        <w:t xml:space="preserve">(</w:t>
      </w:r>
      <w:r>
        <w:rPr>
          <w:iCs/>
          <w:i/>
        </w:rPr>
        <w:t xml:space="preserve">Middle Volume</w:t>
      </w:r>
      <w:r>
        <w:t xml:space="preserve">)</w:t>
      </w:r>
      <w:r>
        <w:br/>
      </w:r>
      <w:r>
        <w:t xml:space="preserve">51 石 52 玉 53 色 54 邑 55 阜 56 土 57 心 58 巾 59 糸 60 衣</w:t>
      </w:r>
      <w:r>
        <w:br/>
      </w:r>
      <w:r>
        <w:t xml:space="preserve">(</w:t>
      </w:r>
      <w:r>
        <w:rPr>
          <w:iCs/>
          <w:i/>
        </w:rPr>
        <w:t xml:space="preserve">Lower Volume</w:t>
      </w:r>
      <w:r>
        <w:t xml:space="preserve">)</w:t>
      </w:r>
      <w:r>
        <w:br/>
      </w:r>
      <w:r>
        <w:t xml:space="preserve">61 示 62 禾 63 米 64 丶 65 宀 66 勹 67 穴 68 雨 69 門 70 囗 71 尸 72 虍 73 广 74 鹿 75 疒 76 歹 77 子 78 斗 79 倝 80 寸</w:t>
      </w:r>
    </w:p>
    <w:p>
      <w:pPr>
        <w:pStyle w:val="BodyText"/>
      </w:pPr>
      <w:r>
        <w:rPr>
          <w:bCs/>
          <w:b/>
        </w:rPr>
        <w:t xml:space="preserve">Sangha Division (僧)</w:t>
      </w:r>
      <w:r>
        <w:br/>
      </w:r>
      <w:r>
        <w:t xml:space="preserve">(</w:t>
      </w:r>
      <w:r>
        <w:rPr>
          <w:iCs/>
          <w:i/>
        </w:rPr>
        <w:t xml:space="preserve">Upper Volume</w:t>
      </w:r>
      <w:r>
        <w:t xml:space="preserve">)</w:t>
      </w:r>
      <w:r>
        <w:br/>
      </w:r>
      <w:r>
        <w:t xml:space="preserve">81 艸 82 竹 83 力 84 刀 85 羽 86 毛 87 食 88 金</w:t>
      </w:r>
      <w:r>
        <w:br/>
      </w:r>
      <w:r>
        <w:t xml:space="preserve">(</w:t>
      </w:r>
      <w:r>
        <w:rPr>
          <w:iCs/>
          <w:i/>
        </w:rPr>
        <w:t xml:space="preserve">Middle Volume</w:t>
      </w:r>
      <w:r>
        <w:t xml:space="preserve">)</w:t>
      </w:r>
      <w:r>
        <w:br/>
      </w:r>
      <w:r>
        <w:t xml:space="preserve">89 亼 90 爪 91 网 92 皿 93 瓦 94 缶 95 弓 96 㫃 97 矢 98 斤 99 矛 100 戈 101 欠 102 又 103 攴 104 殳 105 皮 106 革 107 韋 108 車 109 羊 110 馬 111 鳥 112 隹</w:t>
      </w:r>
      <w:r>
        <w:br/>
      </w:r>
      <w:r>
        <w:t xml:space="preserve">(</w:t>
      </w:r>
      <w:r>
        <w:rPr>
          <w:iCs/>
          <w:i/>
        </w:rPr>
        <w:t xml:space="preserve">Lower Volume</w:t>
      </w:r>
      <w:r>
        <w:t xml:space="preserve">)</w:t>
      </w:r>
      <w:r>
        <w:br/>
      </w:r>
      <w:r>
        <w:t xml:space="preserve">113 魚 114 虫 115 鼠 116 龜 117 鬼 118 風 119 酉 120 雑</w:t>
      </w:r>
    </w:p>
    <w:p>
      <w:pPr>
        <w:pStyle w:val="BodyText"/>
      </w:pPr>
      <w:r>
        <w:rPr>
          <w:bCs/>
          <w:b/>
        </w:rPr>
        <w:t xml:space="preserve">Note on Organization:</w:t>
      </w:r>
      <w:r>
        <w:br/>
      </w:r>
      <w:r>
        <w:t xml:space="preserve">The radical system employed in the</w:t>
      </w:r>
      <w:r>
        <w:t xml:space="preserve"> </w:t>
      </w:r>
      <w:r>
        <w:rPr>
          <w:iCs/>
          <w:i/>
        </w:rPr>
        <w:t xml:space="preserve">Ruiju Myōgishō</w:t>
      </w:r>
      <w:r>
        <w:t xml:space="preserve"> </w:t>
      </w:r>
      <w:r>
        <w:t xml:space="preserve">follows the structure of the</w:t>
      </w:r>
      <w:r>
        <w:t xml:space="preserve"> </w:t>
      </w:r>
      <w:r>
        <w:rPr>
          <w:iCs/>
          <w:i/>
        </w:rPr>
        <w:t xml:space="preserve">Yùpiān</w:t>
      </w:r>
      <w:r>
        <w:t xml:space="preserve"> </w:t>
      </w:r>
      <w:r>
        <w:t xml:space="preserve">(『玉篇』) compiled by Liang dynasty scholar Gu Yewang, which comprises 542 sections. Radicals of similar form were grouped together (e.g., integrating 彳 and 行 under a single radical), while those with fewer entries were consolidated into the final miscellaneous section (雑).</w:t>
      </w:r>
      <w:r>
        <w:br/>
      </w:r>
      <w:r>
        <w:t xml:space="preserve">Additionally, the ordering of radicals reflects both semantic grouping (e.g., parts of the body, food, clothing, animals, plants, etc.) and visual similarity of character shapes. For example, the 女 radical follows 耳, and 言 follows 冫, likely because the cursive or semi-cursive forms of 耳 and 言 resemble 女 and 冫, respectively.</w:t>
      </w:r>
    </w:p>
    <w:bookmarkEnd w:id="34"/>
    <w:bookmarkStart w:id="36" w:name="X993dd2b510d44a3da9953340c70c5cfe190eb2b"/>
    <w:p>
      <w:pPr>
        <w:pStyle w:val="Heading2"/>
      </w:pPr>
      <w:r>
        <w:rPr>
          <w:rStyle w:val="SectionNumber"/>
        </w:rPr>
        <w:t xml:space="preserve">1.6</w:t>
      </w:r>
      <w:r>
        <w:tab/>
      </w:r>
      <w:r>
        <w:t xml:space="preserve">Number of Entries</w:t>
      </w:r>
    </w:p>
    <w:p>
      <w:pPr>
        <w:pStyle w:val="FirstParagraph"/>
      </w:pPr>
      <w:r>
        <w:t xml:space="preserve">The term</w:t>
      </w:r>
      <w:r>
        <w:t xml:space="preserve"> </w:t>
      </w:r>
      <w:r>
        <w:rPr>
          <w:iCs/>
          <w:i/>
        </w:rPr>
        <w:t xml:space="preserve">entry</w:t>
      </w:r>
      <w:r>
        <w:t xml:space="preserve"> </w:t>
      </w:r>
      <w:r>
        <w:t xml:space="preserve">refers to a unit consisting of both the headword and its accompanying definitions (original glosses). To provide a general sense of the scope of the</w:t>
      </w:r>
      <w:r>
        <w:t xml:space="preserve"> </w:t>
      </w:r>
      <w:r>
        <w:rPr>
          <w:iCs/>
          <w:i/>
        </w:rPr>
        <w:t xml:space="preserve">Ruiju Myōgishō</w:t>
      </w:r>
      <w:r>
        <w:t xml:space="preserve">, we may look to the Kanchi-in manuscript for a representative overview. The following table presents a summary of the number of entries, the number of individual headwords, and the number of compound expressions found in each of the ten volumes, from the</w:t>
      </w:r>
      <w:r>
        <w:t xml:space="preserve"> </w:t>
      </w:r>
      <w:r>
        <w:rPr>
          <w:iCs/>
          <w:i/>
        </w:rPr>
        <w:t xml:space="preserve">Buddha (Upper)</w:t>
      </w:r>
      <w:r>
        <w:t xml:space="preserve"> </w:t>
      </w:r>
      <w:r>
        <w:t xml:space="preserve">through the</w:t>
      </w:r>
      <w:r>
        <w:t xml:space="preserve"> </w:t>
      </w:r>
      <w:r>
        <w:rPr>
          <w:iCs/>
          <w:i/>
        </w:rPr>
        <w:t xml:space="preserve">Sangha (Lower)</w:t>
      </w:r>
      <w:r>
        <w:t xml:space="preserve"> </w:t>
      </w:r>
      <w:r>
        <w:t xml:space="preserve">sections.</w:t>
      </w:r>
      <w:r>
        <w:rPr>
          <w:rStyle w:val="FootnoteReference"/>
        </w:rPr>
        <w:footnoteReference w:id="35"/>
      </w:r>
    </w:p>
    <w:p>
      <w:pPr>
        <w:pStyle w:val="BodyText"/>
      </w:pPr>
      <w:r>
        <w:rPr>
          <w:bCs/>
          <w:b/>
        </w:rPr>
        <w:t xml:space="preserve">Table: Number of Entries, Characters, and Compound Expressions by Volume (Kanchi-in Manuscript)</w:t>
      </w:r>
      <w:r>
        <w:br/>
      </w:r>
      <w:r>
        <w:t xml:space="preserve">The following table summarizes the distribution of character entries across the ten volumes of the</w:t>
      </w:r>
      <w:r>
        <w:t xml:space="preserve"> </w:t>
      </w:r>
      <w:r>
        <w:rPr>
          <w:iCs/>
          <w:i/>
        </w:rPr>
        <w:t xml:space="preserve">Ruiju Myōgishō</w:t>
      </w:r>
      <w:r>
        <w:t xml:space="preserve"> </w:t>
      </w:r>
      <w:r>
        <w:t xml:space="preserve">as preserved in the Kanchi-in manuscript. The work is structured into three main sections—Buddha (仏), Dharma (法), and Sangha (僧)—each comprising multiple volumes. The entries are classified by the number of characters per expression (from single-character to seven or more), along with totals for entries, characters, and compound expressions.</w:t>
      </w:r>
    </w:p>
    <w:tbl>
      <w:tblPr>
        <w:tblStyle w:val="Table"/>
        <w:tblW w:type="pct" w:w="5000"/>
        <w:tblLook w:firstRow="1" w:lastRow="0" w:firstColumn="0" w:lastColumn="0" w:noHBand="0" w:noVBand="0" w:val="0020"/>
        <w:jc w:val="start"/>
      </w:tblPr>
      <w:tblGrid>
        <w:gridCol w:w="856"/>
        <w:gridCol w:w="535"/>
        <w:gridCol w:w="535"/>
        <w:gridCol w:w="535"/>
        <w:gridCol w:w="535"/>
        <w:gridCol w:w="535"/>
        <w:gridCol w:w="535"/>
        <w:gridCol w:w="588"/>
        <w:gridCol w:w="909"/>
        <w:gridCol w:w="1070"/>
        <w:gridCol w:w="1284"/>
      </w:tblGrid>
      <w:tr>
        <w:trPr>
          <w:tblHeader w:val="true"/>
        </w:trPr>
        <w:tc>
          <w:tcPr/>
          <w:p>
            <w:pPr>
              <w:pStyle w:val="Compact"/>
              <w:jc w:val="left"/>
            </w:pPr>
            <w:r>
              <w:rPr>
                <w:bCs/>
                <w:b/>
              </w:rPr>
              <w:t xml:space="preserve">Volume</w:t>
            </w:r>
          </w:p>
        </w:tc>
        <w:tc>
          <w:tcPr/>
          <w:p>
            <w:pPr>
              <w:pStyle w:val="Compact"/>
              <w:jc w:val="left"/>
            </w:pPr>
            <w:r>
              <w:rPr>
                <w:bCs/>
                <w:b/>
              </w:rPr>
              <w:t xml:space="preserve">1-char</w:t>
            </w:r>
          </w:p>
        </w:tc>
        <w:tc>
          <w:tcPr/>
          <w:p>
            <w:pPr>
              <w:pStyle w:val="Compact"/>
              <w:jc w:val="left"/>
            </w:pPr>
            <w:r>
              <w:rPr>
                <w:bCs/>
                <w:b/>
              </w:rPr>
              <w:t xml:space="preserve">2-char</w:t>
            </w:r>
          </w:p>
        </w:tc>
        <w:tc>
          <w:tcPr/>
          <w:p>
            <w:pPr>
              <w:pStyle w:val="Compact"/>
              <w:jc w:val="left"/>
            </w:pPr>
            <w:r>
              <w:rPr>
                <w:bCs/>
                <w:b/>
              </w:rPr>
              <w:t xml:space="preserve">3-char</w:t>
            </w:r>
          </w:p>
        </w:tc>
        <w:tc>
          <w:tcPr/>
          <w:p>
            <w:pPr>
              <w:pStyle w:val="Compact"/>
              <w:jc w:val="left"/>
            </w:pPr>
            <w:r>
              <w:rPr>
                <w:bCs/>
                <w:b/>
              </w:rPr>
              <w:t xml:space="preserve">4-char</w:t>
            </w:r>
          </w:p>
        </w:tc>
        <w:tc>
          <w:tcPr/>
          <w:p>
            <w:pPr>
              <w:pStyle w:val="Compact"/>
              <w:jc w:val="left"/>
            </w:pPr>
            <w:r>
              <w:rPr>
                <w:bCs/>
                <w:b/>
              </w:rPr>
              <w:t xml:space="preserve">5-char</w:t>
            </w:r>
          </w:p>
        </w:tc>
        <w:tc>
          <w:tcPr/>
          <w:p>
            <w:pPr>
              <w:pStyle w:val="Compact"/>
              <w:jc w:val="left"/>
            </w:pPr>
            <w:r>
              <w:rPr>
                <w:bCs/>
                <w:b/>
              </w:rPr>
              <w:t xml:space="preserve">6-char</w:t>
            </w:r>
          </w:p>
        </w:tc>
        <w:tc>
          <w:tcPr/>
          <w:p>
            <w:pPr>
              <w:pStyle w:val="Compact"/>
              <w:jc w:val="left"/>
            </w:pPr>
            <w:r>
              <w:rPr>
                <w:bCs/>
                <w:b/>
              </w:rPr>
              <w:t xml:space="preserve">7+ char</w:t>
            </w:r>
          </w:p>
        </w:tc>
        <w:tc>
          <w:tcPr/>
          <w:p>
            <w:pPr>
              <w:pStyle w:val="Compact"/>
              <w:jc w:val="left"/>
            </w:pPr>
            <w:r>
              <w:rPr>
                <w:bCs/>
                <w:b/>
              </w:rPr>
              <w:t xml:space="preserve">Total Entries</w:t>
            </w:r>
          </w:p>
        </w:tc>
        <w:tc>
          <w:tcPr/>
          <w:p>
            <w:pPr>
              <w:pStyle w:val="Compact"/>
              <w:jc w:val="left"/>
            </w:pPr>
            <w:r>
              <w:rPr>
                <w:bCs/>
                <w:b/>
              </w:rPr>
              <w:t xml:space="preserve">Total Characters</w:t>
            </w:r>
          </w:p>
        </w:tc>
        <w:tc>
          <w:tcPr/>
          <w:p>
            <w:pPr>
              <w:pStyle w:val="Compact"/>
              <w:jc w:val="left"/>
            </w:pPr>
            <w:r>
              <w:rPr>
                <w:bCs/>
                <w:b/>
              </w:rPr>
              <w:t xml:space="preserve">Compound Expressions</w:t>
            </w:r>
          </w:p>
        </w:tc>
      </w:tr>
      <w:tr>
        <w:tc>
          <w:tcPr/>
          <w:p>
            <w:pPr>
              <w:pStyle w:val="Compact"/>
              <w:jc w:val="left"/>
            </w:pPr>
            <w:r>
              <w:t xml:space="preserve">Buddha (Upper)</w:t>
            </w:r>
          </w:p>
        </w:tc>
        <w:tc>
          <w:tcPr/>
          <w:p>
            <w:pPr>
              <w:pStyle w:val="Compact"/>
              <w:jc w:val="left"/>
            </w:pPr>
            <w:r>
              <w:t xml:space="preserve">1,650</w:t>
            </w:r>
          </w:p>
        </w:tc>
        <w:tc>
          <w:tcPr/>
          <w:p>
            <w:pPr>
              <w:pStyle w:val="Compact"/>
              <w:jc w:val="left"/>
            </w:pPr>
            <w:r>
              <w:t xml:space="preserve">469</w:t>
            </w:r>
          </w:p>
        </w:tc>
        <w:tc>
          <w:tcPr/>
          <w:p>
            <w:pPr>
              <w:pStyle w:val="Compact"/>
              <w:jc w:val="left"/>
            </w:pPr>
            <w:r>
              <w:t xml:space="preserve">53</w:t>
            </w:r>
          </w:p>
        </w:tc>
        <w:tc>
          <w:tcPr/>
          <w:p>
            <w:pPr>
              <w:pStyle w:val="Compact"/>
              <w:jc w:val="left"/>
            </w:pPr>
            <w:r>
              <w:t xml:space="preserve">13</w:t>
            </w:r>
          </w:p>
        </w:tc>
        <w:tc>
          <w:tcPr/>
          <w:p>
            <w:pPr>
              <w:pStyle w:val="Compact"/>
              <w:jc w:val="left"/>
            </w:pPr>
            <w:r>
              <w:t xml:space="preserve">3</w:t>
            </w:r>
          </w:p>
        </w:tc>
        <w:tc>
          <w:tcPr/>
          <w:p>
            <w:pPr>
              <w:pStyle w:val="Compact"/>
              <w:jc w:val="left"/>
            </w:pPr>
            <w:r>
              <w:t xml:space="preserve">2</w:t>
            </w:r>
          </w:p>
        </w:tc>
        <w:tc>
          <w:tcPr/>
          <w:p>
            <w:pPr>
              <w:pStyle w:val="Compact"/>
              <w:jc w:val="left"/>
            </w:pPr>
            <w:r>
              <w:t xml:space="preserve">2</w:t>
            </w:r>
          </w:p>
        </w:tc>
        <w:tc>
          <w:tcPr/>
          <w:p>
            <w:pPr>
              <w:pStyle w:val="Compact"/>
              <w:jc w:val="left"/>
            </w:pPr>
            <w:r>
              <w:t xml:space="preserve">2,192</w:t>
            </w:r>
          </w:p>
        </w:tc>
        <w:tc>
          <w:tcPr/>
          <w:p>
            <w:pPr>
              <w:pStyle w:val="Compact"/>
              <w:jc w:val="left"/>
            </w:pPr>
            <w:r>
              <w:t xml:space="preserve">2,840</w:t>
            </w:r>
          </w:p>
        </w:tc>
        <w:tc>
          <w:tcPr/>
          <w:p>
            <w:pPr>
              <w:pStyle w:val="Compact"/>
              <w:jc w:val="left"/>
            </w:pPr>
            <w:r>
              <w:t xml:space="preserve">329</w:t>
            </w:r>
          </w:p>
        </w:tc>
      </w:tr>
      <w:tr>
        <w:tc>
          <w:tcPr/>
          <w:p>
            <w:pPr>
              <w:pStyle w:val="Compact"/>
              <w:jc w:val="left"/>
            </w:pPr>
            <w:r>
              <w:t xml:space="preserve">Buddha (Middle)</w:t>
            </w:r>
          </w:p>
        </w:tc>
        <w:tc>
          <w:tcPr/>
          <w:p>
            <w:pPr>
              <w:pStyle w:val="Compact"/>
              <w:jc w:val="left"/>
            </w:pPr>
            <w:r>
              <w:t xml:space="preserve">3,123</w:t>
            </w:r>
          </w:p>
        </w:tc>
        <w:tc>
          <w:tcPr/>
          <w:p>
            <w:pPr>
              <w:pStyle w:val="Compact"/>
              <w:jc w:val="left"/>
            </w:pPr>
            <w:r>
              <w:t xml:space="preserve">573</w:t>
            </w:r>
          </w:p>
        </w:tc>
        <w:tc>
          <w:tcPr/>
          <w:p>
            <w:pPr>
              <w:pStyle w:val="Compact"/>
              <w:jc w:val="left"/>
            </w:pPr>
            <w:r>
              <w:t xml:space="preserve">55</w:t>
            </w:r>
          </w:p>
        </w:tc>
        <w:tc>
          <w:tcPr/>
          <w:p>
            <w:pPr>
              <w:pStyle w:val="Compact"/>
              <w:jc w:val="left"/>
            </w:pPr>
            <w:r>
              <w:t xml:space="preserve">20</w:t>
            </w:r>
          </w:p>
        </w:tc>
        <w:tc>
          <w:tcPr/>
          <w:p>
            <w:pPr>
              <w:pStyle w:val="Compact"/>
              <w:jc w:val="left"/>
            </w:pPr>
            <w:r>
              <w:t xml:space="preserve">9</w:t>
            </w:r>
          </w:p>
        </w:tc>
        <w:tc>
          <w:tcPr/>
          <w:p>
            <w:pPr>
              <w:pStyle w:val="Compact"/>
              <w:jc w:val="left"/>
            </w:pPr>
            <w:r>
              <w:t xml:space="preserve">1</w:t>
            </w:r>
          </w:p>
        </w:tc>
        <w:tc>
          <w:tcPr/>
          <w:p>
            <w:pPr>
              <w:pStyle w:val="Compact"/>
              <w:jc w:val="left"/>
            </w:pPr>
            <w:r>
              <w:t xml:space="preserve">5</w:t>
            </w:r>
          </w:p>
        </w:tc>
        <w:tc>
          <w:tcPr/>
          <w:p>
            <w:pPr>
              <w:pStyle w:val="Compact"/>
              <w:jc w:val="left"/>
            </w:pPr>
            <w:r>
              <w:t xml:space="preserve">3,786</w:t>
            </w:r>
          </w:p>
        </w:tc>
        <w:tc>
          <w:tcPr/>
          <w:p>
            <w:pPr>
              <w:pStyle w:val="Compact"/>
              <w:jc w:val="left"/>
            </w:pPr>
            <w:r>
              <w:t xml:space="preserve">4,620</w:t>
            </w:r>
          </w:p>
        </w:tc>
        <w:tc>
          <w:tcPr/>
          <w:p>
            <w:pPr>
              <w:pStyle w:val="Compact"/>
              <w:jc w:val="left"/>
            </w:pPr>
            <w:r>
              <w:t xml:space="preserve">325</w:t>
            </w:r>
          </w:p>
        </w:tc>
      </w:tr>
      <w:tr>
        <w:tc>
          <w:tcPr/>
          <w:p>
            <w:pPr>
              <w:pStyle w:val="Compact"/>
              <w:jc w:val="left"/>
            </w:pPr>
            <w:r>
              <w:t xml:space="preserve">Buddha (Lower 1)</w:t>
            </w:r>
          </w:p>
        </w:tc>
        <w:tc>
          <w:tcPr/>
          <w:p>
            <w:pPr>
              <w:pStyle w:val="Compact"/>
              <w:jc w:val="left"/>
            </w:pPr>
            <w:r>
              <w:t xml:space="preserve">3,027</w:t>
            </w:r>
          </w:p>
        </w:tc>
        <w:tc>
          <w:tcPr/>
          <w:p>
            <w:pPr>
              <w:pStyle w:val="Compact"/>
              <w:jc w:val="left"/>
            </w:pPr>
            <w:r>
              <w:t xml:space="preserve">679</w:t>
            </w:r>
          </w:p>
        </w:tc>
        <w:tc>
          <w:tcPr/>
          <w:p>
            <w:pPr>
              <w:pStyle w:val="Compact"/>
              <w:jc w:val="left"/>
            </w:pPr>
            <w:r>
              <w:t xml:space="preserve">100</w:t>
            </w:r>
          </w:p>
        </w:tc>
        <w:tc>
          <w:tcPr/>
          <w:p>
            <w:pPr>
              <w:pStyle w:val="Compact"/>
              <w:jc w:val="left"/>
            </w:pPr>
            <w:r>
              <w:t xml:space="preserve">13</w:t>
            </w:r>
          </w:p>
        </w:tc>
        <w:tc>
          <w:tcPr/>
          <w:p>
            <w:pPr>
              <w:pStyle w:val="Compact"/>
              <w:jc w:val="left"/>
            </w:pPr>
            <w:r>
              <w:t xml:space="preserve">5</w:t>
            </w:r>
          </w:p>
        </w:tc>
        <w:tc>
          <w:tcPr/>
          <w:p>
            <w:pPr>
              <w:pStyle w:val="Compact"/>
              <w:jc w:val="left"/>
            </w:pPr>
            <w:r>
              <w:t xml:space="preserve">2</w:t>
            </w:r>
          </w:p>
        </w:tc>
        <w:tc>
          <w:tcPr/>
          <w:p>
            <w:pPr>
              <w:pStyle w:val="Compact"/>
              <w:jc w:val="left"/>
            </w:pPr>
            <w:r>
              <w:t xml:space="preserve">2</w:t>
            </w:r>
          </w:p>
        </w:tc>
        <w:tc>
          <w:tcPr/>
          <w:p>
            <w:pPr>
              <w:pStyle w:val="Compact"/>
              <w:jc w:val="left"/>
            </w:pPr>
            <w:r>
              <w:t xml:space="preserve">3,828</w:t>
            </w:r>
          </w:p>
        </w:tc>
        <w:tc>
          <w:tcPr/>
          <w:p>
            <w:pPr>
              <w:pStyle w:val="Compact"/>
              <w:jc w:val="left"/>
            </w:pPr>
            <w:r>
              <w:t xml:space="preserve">4,790</w:t>
            </w:r>
          </w:p>
        </w:tc>
        <w:tc>
          <w:tcPr/>
          <w:p>
            <w:pPr>
              <w:pStyle w:val="Compact"/>
              <w:jc w:val="left"/>
            </w:pPr>
            <w:r>
              <w:t xml:space="preserve">417</w:t>
            </w:r>
          </w:p>
        </w:tc>
      </w:tr>
      <w:tr>
        <w:tc>
          <w:tcPr/>
          <w:p>
            <w:pPr>
              <w:pStyle w:val="Compact"/>
              <w:jc w:val="left"/>
            </w:pPr>
            <w:r>
              <w:t xml:space="preserve">Buddha (Lower 2)</w:t>
            </w:r>
          </w:p>
        </w:tc>
        <w:tc>
          <w:tcPr/>
          <w:p>
            <w:pPr>
              <w:pStyle w:val="Compact"/>
              <w:jc w:val="left"/>
            </w:pPr>
            <w:r>
              <w:t xml:space="preserve">1,287</w:t>
            </w:r>
          </w:p>
        </w:tc>
        <w:tc>
          <w:tcPr/>
          <w:p>
            <w:pPr>
              <w:pStyle w:val="Compact"/>
              <w:jc w:val="left"/>
            </w:pPr>
            <w:r>
              <w:t xml:space="preserve">264</w:t>
            </w:r>
          </w:p>
        </w:tc>
        <w:tc>
          <w:tcPr/>
          <w:p>
            <w:pPr>
              <w:pStyle w:val="Compact"/>
              <w:jc w:val="left"/>
            </w:pPr>
            <w:r>
              <w:t xml:space="preserve">28</w:t>
            </w:r>
          </w:p>
        </w:tc>
        <w:tc>
          <w:tcPr/>
          <w:p>
            <w:pPr>
              <w:pStyle w:val="Compact"/>
              <w:jc w:val="left"/>
            </w:pPr>
            <w:r>
              <w:t xml:space="preserve">9</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1,592</w:t>
            </w:r>
          </w:p>
        </w:tc>
        <w:tc>
          <w:tcPr/>
          <w:p>
            <w:pPr>
              <w:pStyle w:val="Compact"/>
              <w:jc w:val="left"/>
            </w:pPr>
            <w:r>
              <w:t xml:space="preserve">1,963</w:t>
            </w:r>
          </w:p>
        </w:tc>
        <w:tc>
          <w:tcPr/>
          <w:p>
            <w:pPr>
              <w:pStyle w:val="Compact"/>
              <w:jc w:val="left"/>
            </w:pPr>
            <w:r>
              <w:t xml:space="preserve">140</w:t>
            </w:r>
          </w:p>
        </w:tc>
      </w:tr>
      <w:tr>
        <w:tc>
          <w:tcPr/>
          <w:p>
            <w:pPr>
              <w:pStyle w:val="Compact"/>
              <w:jc w:val="left"/>
            </w:pPr>
            <w:r>
              <w:t xml:space="preserve">Dharma (Upper)</w:t>
            </w:r>
          </w:p>
        </w:tc>
        <w:tc>
          <w:tcPr/>
          <w:p>
            <w:pPr>
              <w:pStyle w:val="Compact"/>
              <w:jc w:val="left"/>
            </w:pPr>
            <w:r>
              <w:t xml:space="preserve">3,054</w:t>
            </w:r>
          </w:p>
        </w:tc>
        <w:tc>
          <w:tcPr/>
          <w:p>
            <w:pPr>
              <w:pStyle w:val="Compact"/>
              <w:jc w:val="left"/>
            </w:pPr>
            <w:r>
              <w:t xml:space="preserve">437</w:t>
            </w:r>
          </w:p>
        </w:tc>
        <w:tc>
          <w:tcPr/>
          <w:p>
            <w:pPr>
              <w:pStyle w:val="Compact"/>
              <w:jc w:val="left"/>
            </w:pPr>
            <w:r>
              <w:t xml:space="preserve">61</w:t>
            </w:r>
          </w:p>
        </w:tc>
        <w:tc>
          <w:tcPr/>
          <w:p>
            <w:pPr>
              <w:pStyle w:val="Compact"/>
              <w:jc w:val="left"/>
            </w:pPr>
            <w:r>
              <w:t xml:space="preserve">8</w:t>
            </w:r>
          </w:p>
        </w:tc>
        <w:tc>
          <w:tcPr/>
          <w:p>
            <w:pPr>
              <w:pStyle w:val="Compact"/>
              <w:jc w:val="left"/>
            </w:pPr>
            <w:r>
              <w:t xml:space="preserve">4</w:t>
            </w:r>
          </w:p>
        </w:tc>
        <w:tc>
          <w:tcPr/>
          <w:p>
            <w:pPr>
              <w:pStyle w:val="Compact"/>
              <w:jc w:val="left"/>
            </w:pPr>
            <w:r>
              <w:t xml:space="preserve">3</w:t>
            </w:r>
          </w:p>
        </w:tc>
        <w:tc>
          <w:tcPr/>
          <w:p>
            <w:pPr>
              <w:pStyle w:val="Compact"/>
              <w:jc w:val="left"/>
            </w:pPr>
            <w:r>
              <w:t xml:space="preserve">5</w:t>
            </w:r>
          </w:p>
        </w:tc>
        <w:tc>
          <w:tcPr/>
          <w:p>
            <w:pPr>
              <w:pStyle w:val="Compact"/>
              <w:jc w:val="left"/>
            </w:pPr>
            <w:r>
              <w:t xml:space="preserve">3,572</w:t>
            </w:r>
          </w:p>
        </w:tc>
        <w:tc>
          <w:tcPr/>
          <w:p>
            <w:pPr>
              <w:pStyle w:val="Compact"/>
              <w:jc w:val="left"/>
            </w:pPr>
            <w:r>
              <w:t xml:space="preserve">4,226</w:t>
            </w:r>
          </w:p>
        </w:tc>
        <w:tc>
          <w:tcPr/>
          <w:p>
            <w:pPr>
              <w:pStyle w:val="Compact"/>
              <w:jc w:val="left"/>
            </w:pPr>
            <w:r>
              <w:t xml:space="preserve">213</w:t>
            </w:r>
          </w:p>
        </w:tc>
      </w:tr>
      <w:tr>
        <w:tc>
          <w:tcPr/>
          <w:p>
            <w:pPr>
              <w:pStyle w:val="Compact"/>
              <w:jc w:val="left"/>
            </w:pPr>
            <w:r>
              <w:t xml:space="preserve">Dharma (Middle)</w:t>
            </w:r>
          </w:p>
        </w:tc>
        <w:tc>
          <w:tcPr/>
          <w:p>
            <w:pPr>
              <w:pStyle w:val="Compact"/>
              <w:jc w:val="left"/>
            </w:pPr>
            <w:r>
              <w:t xml:space="preserve">3,623</w:t>
            </w:r>
          </w:p>
        </w:tc>
        <w:tc>
          <w:tcPr/>
          <w:p>
            <w:pPr>
              <w:pStyle w:val="Compact"/>
              <w:jc w:val="left"/>
            </w:pPr>
            <w:r>
              <w:t xml:space="preserve">622</w:t>
            </w:r>
          </w:p>
        </w:tc>
        <w:tc>
          <w:tcPr/>
          <w:p>
            <w:pPr>
              <w:pStyle w:val="Compact"/>
              <w:jc w:val="left"/>
            </w:pPr>
            <w:r>
              <w:t xml:space="preserve">61</w:t>
            </w:r>
          </w:p>
        </w:tc>
        <w:tc>
          <w:tcPr/>
          <w:p>
            <w:pPr>
              <w:pStyle w:val="Compact"/>
              <w:jc w:val="left"/>
            </w:pPr>
            <w:r>
              <w:t xml:space="preserve">15</w:t>
            </w:r>
          </w:p>
        </w:tc>
        <w:tc>
          <w:tcPr/>
          <w:p>
            <w:pPr>
              <w:pStyle w:val="Compact"/>
              <w:jc w:val="left"/>
            </w:pPr>
            <w:r>
              <w:t xml:space="preserve">7</w:t>
            </w:r>
          </w:p>
        </w:tc>
        <w:tc>
          <w:tcPr/>
          <w:p>
            <w:pPr>
              <w:pStyle w:val="Compact"/>
              <w:jc w:val="left"/>
            </w:pPr>
            <w:r>
              <w:t xml:space="preserve">3</w:t>
            </w:r>
          </w:p>
        </w:tc>
        <w:tc>
          <w:tcPr/>
          <w:p>
            <w:pPr>
              <w:pStyle w:val="Compact"/>
              <w:jc w:val="left"/>
            </w:pPr>
            <w:r>
              <w:t xml:space="preserve">4</w:t>
            </w:r>
          </w:p>
        </w:tc>
        <w:tc>
          <w:tcPr/>
          <w:p>
            <w:pPr>
              <w:pStyle w:val="Compact"/>
              <w:jc w:val="left"/>
            </w:pPr>
            <w:r>
              <w:t xml:space="preserve">4,335</w:t>
            </w:r>
          </w:p>
        </w:tc>
        <w:tc>
          <w:tcPr/>
          <w:p>
            <w:pPr>
              <w:pStyle w:val="Compact"/>
              <w:jc w:val="left"/>
            </w:pPr>
            <w:r>
              <w:t xml:space="preserve">5,195</w:t>
            </w:r>
          </w:p>
        </w:tc>
        <w:tc>
          <w:tcPr/>
          <w:p>
            <w:pPr>
              <w:pStyle w:val="Compact"/>
              <w:jc w:val="left"/>
            </w:pPr>
            <w:r>
              <w:t xml:space="preserve">310</w:t>
            </w:r>
          </w:p>
        </w:tc>
      </w:tr>
      <w:tr>
        <w:tc>
          <w:tcPr/>
          <w:p>
            <w:pPr>
              <w:pStyle w:val="Compact"/>
              <w:jc w:val="left"/>
            </w:pPr>
            <w:r>
              <w:t xml:space="preserve">Dharma (Lower)</w:t>
            </w:r>
          </w:p>
        </w:tc>
        <w:tc>
          <w:tcPr/>
          <w:p>
            <w:pPr>
              <w:pStyle w:val="Compact"/>
              <w:jc w:val="left"/>
            </w:pPr>
            <w:r>
              <w:t xml:space="preserve">2,721</w:t>
            </w:r>
          </w:p>
        </w:tc>
        <w:tc>
          <w:tcPr/>
          <w:p>
            <w:pPr>
              <w:pStyle w:val="Compact"/>
              <w:jc w:val="left"/>
            </w:pPr>
            <w:r>
              <w:t xml:space="preserve">760</w:t>
            </w:r>
          </w:p>
        </w:tc>
        <w:tc>
          <w:tcPr/>
          <w:p>
            <w:pPr>
              <w:pStyle w:val="Compact"/>
              <w:jc w:val="left"/>
            </w:pPr>
            <w:r>
              <w:t xml:space="preserve">134</w:t>
            </w:r>
          </w:p>
        </w:tc>
        <w:tc>
          <w:tcPr/>
          <w:p>
            <w:pPr>
              <w:pStyle w:val="Compact"/>
              <w:jc w:val="left"/>
            </w:pPr>
            <w:r>
              <w:t xml:space="preserve">10</w:t>
            </w:r>
          </w:p>
        </w:tc>
        <w:tc>
          <w:tcPr/>
          <w:p>
            <w:pPr>
              <w:pStyle w:val="Compact"/>
              <w:jc w:val="left"/>
            </w:pPr>
            <w:r>
              <w:t xml:space="preserve">5</w:t>
            </w:r>
          </w:p>
        </w:tc>
        <w:tc>
          <w:tcPr/>
          <w:p>
            <w:pPr>
              <w:pStyle w:val="Compact"/>
              <w:jc w:val="left"/>
            </w:pPr>
            <w:r>
              <w:t xml:space="preserve">2</w:t>
            </w:r>
          </w:p>
        </w:tc>
        <w:tc>
          <w:tcPr/>
          <w:p>
            <w:pPr>
              <w:pStyle w:val="Compact"/>
              <w:jc w:val="left"/>
            </w:pPr>
            <w:r>
              <w:t xml:space="preserve">7</w:t>
            </w:r>
          </w:p>
        </w:tc>
        <w:tc>
          <w:tcPr/>
          <w:p>
            <w:pPr>
              <w:pStyle w:val="Compact"/>
              <w:jc w:val="left"/>
            </w:pPr>
            <w:r>
              <w:t xml:space="preserve">3,639</w:t>
            </w:r>
          </w:p>
        </w:tc>
        <w:tc>
          <w:tcPr/>
          <w:p>
            <w:pPr>
              <w:pStyle w:val="Compact"/>
              <w:jc w:val="left"/>
            </w:pPr>
            <w:r>
              <w:t xml:space="preserve">4,774</w:t>
            </w:r>
          </w:p>
        </w:tc>
        <w:tc>
          <w:tcPr/>
          <w:p>
            <w:pPr>
              <w:pStyle w:val="Compact"/>
              <w:jc w:val="left"/>
            </w:pPr>
            <w:r>
              <w:t xml:space="preserve">416</w:t>
            </w:r>
          </w:p>
        </w:tc>
      </w:tr>
      <w:tr>
        <w:tc>
          <w:tcPr/>
          <w:p>
            <w:pPr>
              <w:pStyle w:val="Compact"/>
              <w:jc w:val="left"/>
            </w:pPr>
            <w:r>
              <w:t xml:space="preserve">Sangha (Upper)</w:t>
            </w:r>
          </w:p>
        </w:tc>
        <w:tc>
          <w:tcPr/>
          <w:p>
            <w:pPr>
              <w:pStyle w:val="Compact"/>
              <w:jc w:val="left"/>
            </w:pPr>
            <w:r>
              <w:t xml:space="preserve">2,226</w:t>
            </w:r>
          </w:p>
        </w:tc>
        <w:tc>
          <w:tcPr/>
          <w:p>
            <w:pPr>
              <w:pStyle w:val="Compact"/>
              <w:jc w:val="left"/>
            </w:pPr>
            <w:r>
              <w:t xml:space="preserve">1,100</w:t>
            </w:r>
          </w:p>
        </w:tc>
        <w:tc>
          <w:tcPr/>
          <w:p>
            <w:pPr>
              <w:pStyle w:val="Compact"/>
              <w:jc w:val="left"/>
            </w:pPr>
            <w:r>
              <w:t xml:space="preserve">185</w:t>
            </w:r>
          </w:p>
        </w:tc>
        <w:tc>
          <w:tcPr/>
          <w:p>
            <w:pPr>
              <w:pStyle w:val="Compact"/>
              <w:jc w:val="left"/>
            </w:pPr>
            <w:r>
              <w:t xml:space="preserve">24</w:t>
            </w:r>
          </w:p>
        </w:tc>
        <w:tc>
          <w:tcPr/>
          <w:p>
            <w:pPr>
              <w:pStyle w:val="Compact"/>
              <w:jc w:val="left"/>
            </w:pPr>
            <w:r>
              <w:t xml:space="preserve">6</w:t>
            </w:r>
          </w:p>
        </w:tc>
        <w:tc>
          <w:tcPr/>
          <w:p>
            <w:pPr>
              <w:pStyle w:val="Compact"/>
              <w:jc w:val="left"/>
            </w:pPr>
            <w:r>
              <w:t xml:space="preserve">4</w:t>
            </w:r>
          </w:p>
        </w:tc>
        <w:tc>
          <w:tcPr/>
          <w:p>
            <w:pPr>
              <w:pStyle w:val="Compact"/>
              <w:jc w:val="left"/>
            </w:pPr>
            <w:r>
              <w:t xml:space="preserve">1</w:t>
            </w:r>
          </w:p>
        </w:tc>
        <w:tc>
          <w:tcPr/>
          <w:p>
            <w:pPr>
              <w:pStyle w:val="Compact"/>
              <w:jc w:val="left"/>
            </w:pPr>
            <w:r>
              <w:t xml:space="preserve">3,546</w:t>
            </w:r>
          </w:p>
        </w:tc>
        <w:tc>
          <w:tcPr/>
          <w:p>
            <w:pPr>
              <w:pStyle w:val="Compact"/>
              <w:jc w:val="left"/>
            </w:pPr>
            <w:r>
              <w:t xml:space="preserve">5,139</w:t>
            </w:r>
          </w:p>
        </w:tc>
        <w:tc>
          <w:tcPr/>
          <w:p>
            <w:pPr>
              <w:pStyle w:val="Compact"/>
              <w:jc w:val="left"/>
            </w:pPr>
            <w:r>
              <w:t xml:space="preserve">635</w:t>
            </w:r>
          </w:p>
        </w:tc>
      </w:tr>
      <w:tr>
        <w:tc>
          <w:tcPr/>
          <w:p>
            <w:pPr>
              <w:pStyle w:val="Compact"/>
              <w:jc w:val="left"/>
            </w:pPr>
            <w:r>
              <w:t xml:space="preserve">Sangha (Middle)</w:t>
            </w:r>
          </w:p>
        </w:tc>
        <w:tc>
          <w:tcPr/>
          <w:p>
            <w:pPr>
              <w:pStyle w:val="Compact"/>
              <w:jc w:val="left"/>
            </w:pPr>
            <w:r>
              <w:t xml:space="preserve">1,974</w:t>
            </w:r>
          </w:p>
        </w:tc>
        <w:tc>
          <w:tcPr/>
          <w:p>
            <w:pPr>
              <w:pStyle w:val="Compact"/>
              <w:jc w:val="left"/>
            </w:pPr>
            <w:r>
              <w:t xml:space="preserve">939</w:t>
            </w:r>
          </w:p>
        </w:tc>
        <w:tc>
          <w:tcPr/>
          <w:p>
            <w:pPr>
              <w:pStyle w:val="Compact"/>
              <w:jc w:val="left"/>
            </w:pPr>
            <w:r>
              <w:t xml:space="preserve">133</w:t>
            </w:r>
          </w:p>
        </w:tc>
        <w:tc>
          <w:tcPr/>
          <w:p>
            <w:pPr>
              <w:pStyle w:val="Compact"/>
              <w:jc w:val="left"/>
            </w:pPr>
            <w:r>
              <w:t xml:space="preserve">23</w:t>
            </w:r>
          </w:p>
        </w:tc>
        <w:tc>
          <w:tcPr/>
          <w:p>
            <w:pPr>
              <w:pStyle w:val="Compact"/>
              <w:jc w:val="left"/>
            </w:pPr>
            <w:r>
              <w:t xml:space="preserve">4</w:t>
            </w:r>
          </w:p>
        </w:tc>
        <w:tc>
          <w:tcPr/>
          <w:p>
            <w:pPr>
              <w:pStyle w:val="Compact"/>
              <w:jc w:val="left"/>
            </w:pPr>
            <w:r>
              <w:t xml:space="preserve">3</w:t>
            </w:r>
          </w:p>
        </w:tc>
        <w:tc>
          <w:tcPr/>
          <w:p>
            <w:pPr>
              <w:pStyle w:val="Compact"/>
              <w:jc w:val="left"/>
            </w:pPr>
            <w:r>
              <w:t xml:space="preserve">2</w:t>
            </w:r>
          </w:p>
        </w:tc>
        <w:tc>
          <w:tcPr/>
          <w:p>
            <w:pPr>
              <w:pStyle w:val="Compact"/>
              <w:jc w:val="left"/>
            </w:pPr>
            <w:r>
              <w:t xml:space="preserve">3,078</w:t>
            </w:r>
          </w:p>
        </w:tc>
        <w:tc>
          <w:tcPr/>
          <w:p>
            <w:pPr>
              <w:pStyle w:val="Compact"/>
              <w:jc w:val="left"/>
            </w:pPr>
            <w:r>
              <w:t xml:space="preserve">4,397</w:t>
            </w:r>
          </w:p>
        </w:tc>
        <w:tc>
          <w:tcPr/>
          <w:p>
            <w:pPr>
              <w:pStyle w:val="Compact"/>
              <w:jc w:val="left"/>
            </w:pPr>
            <w:r>
              <w:t xml:space="preserve">386</w:t>
            </w:r>
          </w:p>
        </w:tc>
      </w:tr>
      <w:tr>
        <w:tc>
          <w:tcPr/>
          <w:p>
            <w:pPr>
              <w:pStyle w:val="Compact"/>
              <w:jc w:val="left"/>
            </w:pPr>
            <w:r>
              <w:t xml:space="preserve">Sangha (Lower)</w:t>
            </w:r>
          </w:p>
        </w:tc>
        <w:tc>
          <w:tcPr/>
          <w:p>
            <w:pPr>
              <w:pStyle w:val="Compact"/>
              <w:jc w:val="left"/>
            </w:pPr>
            <w:r>
              <w:t xml:space="preserve">1,996</w:t>
            </w:r>
          </w:p>
        </w:tc>
        <w:tc>
          <w:tcPr/>
          <w:p>
            <w:pPr>
              <w:pStyle w:val="Compact"/>
              <w:jc w:val="left"/>
            </w:pPr>
            <w:r>
              <w:t xml:space="preserve">829</w:t>
            </w:r>
          </w:p>
        </w:tc>
        <w:tc>
          <w:tcPr/>
          <w:p>
            <w:pPr>
              <w:pStyle w:val="Compact"/>
              <w:jc w:val="left"/>
            </w:pPr>
            <w:r>
              <w:t xml:space="preserve">167</w:t>
            </w:r>
          </w:p>
        </w:tc>
        <w:tc>
          <w:tcPr/>
          <w:p>
            <w:pPr>
              <w:pStyle w:val="Compact"/>
              <w:jc w:val="left"/>
            </w:pPr>
            <w:r>
              <w:t xml:space="preserve">30</w:t>
            </w:r>
          </w:p>
        </w:tc>
        <w:tc>
          <w:tcPr/>
          <w:p>
            <w:pPr>
              <w:pStyle w:val="Compact"/>
              <w:jc w:val="left"/>
            </w:pPr>
            <w:r>
              <w:t xml:space="preserve">6</w:t>
            </w:r>
          </w:p>
        </w:tc>
        <w:tc>
          <w:tcPr/>
          <w:p>
            <w:pPr>
              <w:pStyle w:val="Compact"/>
              <w:jc w:val="left"/>
            </w:pPr>
            <w:r>
              <w:t xml:space="preserve">4</w:t>
            </w:r>
          </w:p>
        </w:tc>
        <w:tc>
          <w:tcPr/>
          <w:p>
            <w:pPr>
              <w:pStyle w:val="Compact"/>
              <w:jc w:val="left"/>
            </w:pPr>
            <w:r>
              <w:t xml:space="preserve">7</w:t>
            </w:r>
          </w:p>
        </w:tc>
        <w:tc>
          <w:tcPr/>
          <w:p>
            <w:pPr>
              <w:pStyle w:val="Compact"/>
              <w:jc w:val="left"/>
            </w:pPr>
            <w:r>
              <w:t xml:space="preserve">3,039</w:t>
            </w:r>
          </w:p>
        </w:tc>
        <w:tc>
          <w:tcPr/>
          <w:p>
            <w:pPr>
              <w:pStyle w:val="Compact"/>
              <w:jc w:val="left"/>
            </w:pPr>
            <w:r>
              <w:t xml:space="preserve">4,396</w:t>
            </w:r>
          </w:p>
        </w:tc>
        <w:tc>
          <w:tcPr/>
          <w:p>
            <w:pPr>
              <w:pStyle w:val="Compact"/>
              <w:jc w:val="left"/>
            </w:pPr>
            <w:r>
              <w:t xml:space="preserve">409</w:t>
            </w:r>
          </w:p>
        </w:tc>
      </w:tr>
      <w:tr>
        <w:tc>
          <w:tcPr/>
          <w:p>
            <w:pPr>
              <w:pStyle w:val="Compact"/>
              <w:jc w:val="left"/>
            </w:pPr>
            <w:r>
              <w:rPr>
                <w:bCs/>
                <w:b/>
              </w:rPr>
              <w:t xml:space="preserve">Total</w:t>
            </w:r>
          </w:p>
        </w:tc>
        <w:tc>
          <w:tcPr/>
          <w:p>
            <w:pPr>
              <w:pStyle w:val="Compact"/>
              <w:jc w:val="left"/>
            </w:pPr>
            <w:r>
              <w:t xml:space="preserve">24,681</w:t>
            </w:r>
          </w:p>
        </w:tc>
        <w:tc>
          <w:tcPr/>
          <w:p>
            <w:pPr>
              <w:pStyle w:val="Compact"/>
              <w:jc w:val="left"/>
            </w:pPr>
            <w:r>
              <w:t xml:space="preserve">6,672</w:t>
            </w:r>
          </w:p>
        </w:tc>
        <w:tc>
          <w:tcPr/>
          <w:p>
            <w:pPr>
              <w:pStyle w:val="Compact"/>
              <w:jc w:val="left"/>
            </w:pPr>
            <w:r>
              <w:t xml:space="preserve">977</w:t>
            </w:r>
          </w:p>
        </w:tc>
        <w:tc>
          <w:tcPr/>
          <w:p>
            <w:pPr>
              <w:pStyle w:val="Compact"/>
              <w:jc w:val="left"/>
            </w:pPr>
            <w:r>
              <w:t xml:space="preserve">165</w:t>
            </w:r>
          </w:p>
        </w:tc>
        <w:tc>
          <w:tcPr/>
          <w:p>
            <w:pPr>
              <w:pStyle w:val="Compact"/>
              <w:jc w:val="left"/>
            </w:pPr>
            <w:r>
              <w:t xml:space="preserve">50</w:t>
            </w:r>
          </w:p>
        </w:tc>
        <w:tc>
          <w:tcPr/>
          <w:p>
            <w:pPr>
              <w:pStyle w:val="Compact"/>
              <w:jc w:val="left"/>
            </w:pPr>
            <w:r>
              <w:t xml:space="preserve">25</w:t>
            </w:r>
          </w:p>
        </w:tc>
        <w:tc>
          <w:tcPr/>
          <w:p>
            <w:pPr>
              <w:pStyle w:val="Compact"/>
              <w:jc w:val="left"/>
            </w:pPr>
            <w:r>
              <w:t xml:space="preserve">37</w:t>
            </w:r>
          </w:p>
        </w:tc>
        <w:tc>
          <w:tcPr/>
          <w:p>
            <w:pPr>
              <w:pStyle w:val="Compact"/>
              <w:jc w:val="left"/>
            </w:pPr>
            <w:r>
              <w:t xml:space="preserve">32,607</w:t>
            </w:r>
          </w:p>
        </w:tc>
        <w:tc>
          <w:tcPr/>
          <w:p>
            <w:pPr>
              <w:pStyle w:val="Compact"/>
              <w:jc w:val="left"/>
            </w:pPr>
            <w:r>
              <w:t xml:space="preserve">42,340</w:t>
            </w:r>
          </w:p>
        </w:tc>
        <w:tc>
          <w:tcPr/>
          <w:p>
            <w:pPr>
              <w:pStyle w:val="Compact"/>
              <w:jc w:val="left"/>
            </w:pPr>
            <w:r>
              <w:t xml:space="preserve">3,580</w:t>
            </w:r>
          </w:p>
        </w:tc>
      </w:tr>
    </w:tbl>
    <w:bookmarkEnd w:id="36"/>
    <w:bookmarkStart w:id="37" w:name="Xb29d1a89ed69b377e461ef20ea30fd54ccec5da"/>
    <w:p>
      <w:pPr>
        <w:pStyle w:val="Heading2"/>
      </w:pPr>
      <w:r>
        <w:rPr>
          <w:rStyle w:val="SectionNumber"/>
        </w:rPr>
        <w:t xml:space="preserve">1.7</w:t>
      </w:r>
      <w:r>
        <w:tab/>
      </w:r>
      <w:r>
        <w:t xml:space="preserve">Sources</w:t>
      </w:r>
    </w:p>
    <w:p>
      <w:pPr>
        <w:pStyle w:val="FirstParagraph"/>
      </w:pPr>
      <w:r>
        <w:rPr>
          <w:bCs/>
          <w:b/>
        </w:rPr>
        <w:t xml:space="preserve">Original Compilation</w:t>
      </w:r>
    </w:p>
    <w:p>
      <w:pPr>
        <w:pStyle w:val="BodyText"/>
      </w:pPr>
      <w:r>
        <w:t xml:space="preserve">The Zushoryō manuscript of the original compilation, though fragmentary and classified under the Hōbu-jō (Department of Dharma: Upper) section, is distinguished by its faithful citation of a wide range of texts, including bibliographic and authorial attributions. It is widely utilized as a vital source in the study of the history of the Japanese language.</w:t>
      </w:r>
    </w:p>
    <w:p>
      <w:pPr>
        <w:pStyle w:val="BodyText"/>
      </w:pPr>
      <w:r>
        <w:t xml:space="preserve">The manuscript contains 3,657 entries in total, of which 951 are single-character headwords; the remainder are compound expressions. The majority of these compounds are derived from Buddhist glossaries such as Xuanying’s</w:t>
      </w:r>
      <w:r>
        <w:t xml:space="preserve"> </w:t>
      </w:r>
      <w:r>
        <w:rPr>
          <w:iCs/>
          <w:i/>
        </w:rPr>
        <w:t xml:space="preserve">Yiqiejing yinyi</w:t>
      </w:r>
      <w:r>
        <w:t xml:space="preserve">, Shingō’s</w:t>
      </w:r>
      <w:r>
        <w:t xml:space="preserve"> </w:t>
      </w:r>
      <w:r>
        <w:rPr>
          <w:iCs/>
          <w:i/>
        </w:rPr>
        <w:t xml:space="preserve">Daihannyakyō Onkun</w:t>
      </w:r>
      <w:r>
        <w:t xml:space="preserve">, Chūzan’s</w:t>
      </w:r>
      <w:r>
        <w:t xml:space="preserve"> </w:t>
      </w:r>
      <w:r>
        <w:rPr>
          <w:iCs/>
          <w:i/>
        </w:rPr>
        <w:t xml:space="preserve">Myōhōrengekyō Shakumon</w:t>
      </w:r>
      <w:r>
        <w:t xml:space="preserve">, and works attributed to Cien.</w:t>
      </w:r>
    </w:p>
    <w:p>
      <w:pPr>
        <w:pStyle w:val="BodyText"/>
      </w:pPr>
      <w:r>
        <w:t xml:space="preserve">Beyond Buddhist phonetic commentaries, many entries are drawn from classical lexica such as Gu Yewang’s</w:t>
      </w:r>
      <w:r>
        <w:t xml:space="preserve"> </w:t>
      </w:r>
      <w:r>
        <w:rPr>
          <w:iCs/>
          <w:i/>
        </w:rPr>
        <w:t xml:space="preserve">Yupian</w:t>
      </w:r>
      <w:r>
        <w:t xml:space="preserve">, Kūkai’s</w:t>
      </w:r>
      <w:r>
        <w:t xml:space="preserve"> </w:t>
      </w:r>
      <w:r>
        <w:rPr>
          <w:iCs/>
          <w:i/>
        </w:rPr>
        <w:t xml:space="preserve">Tenrei Banshō Meigi</w:t>
      </w:r>
      <w:r>
        <w:t xml:space="preserve">, Sugawara no Koreyoshi’s</w:t>
      </w:r>
      <w:r>
        <w:t xml:space="preserve"> </w:t>
      </w:r>
      <w:r>
        <w:rPr>
          <w:iCs/>
          <w:i/>
        </w:rPr>
        <w:t xml:space="preserve">Tōkyū Setsuin</w:t>
      </w:r>
      <w:r>
        <w:t xml:space="preserve">, and Minamoto no Shitagō’s</w:t>
      </w:r>
      <w:r>
        <w:t xml:space="preserve"> </w:t>
      </w:r>
      <w:r>
        <w:rPr>
          <w:iCs/>
          <w:i/>
        </w:rPr>
        <w:t xml:space="preserve">Wamyō Ruijushō</w:t>
      </w:r>
      <w:r>
        <w:t xml:space="preserve">.</w:t>
      </w:r>
    </w:p>
    <w:p>
      <w:pPr>
        <w:pStyle w:val="BodyText"/>
      </w:pPr>
      <w:r>
        <w:t xml:space="preserve">The citations from these sources follow a fixed order of precedence: in semantic glosses in literary Chinese, sacred Buddhist texts (</w:t>
      </w:r>
      <w:r>
        <w:rPr>
          <w:iCs/>
          <w:i/>
        </w:rPr>
        <w:t xml:space="preserve">naiten</w:t>
      </w:r>
      <w:r>
        <w:t xml:space="preserve">) are prioritized over secular Chinese or native Japanese texts (</w:t>
      </w:r>
      <w:r>
        <w:rPr>
          <w:iCs/>
          <w:i/>
        </w:rPr>
        <w:t xml:space="preserve">geten</w:t>
      </w:r>
      <w:r>
        <w:t xml:space="preserve">). The Japanese native readings (</w:t>
      </w:r>
      <w:r>
        <w:rPr>
          <w:iCs/>
          <w:i/>
        </w:rPr>
        <w:t xml:space="preserve">wakun</w:t>
      </w:r>
      <w:r>
        <w:t xml:space="preserve">) are based on annotated editions (</w:t>
      </w:r>
      <w:r>
        <w:rPr>
          <w:iCs/>
          <w:i/>
        </w:rPr>
        <w:t xml:space="preserve">kuntenbon</w:t>
      </w:r>
      <w:r>
        <w:t xml:space="preserve">) of secular literature. Tone marks (</w:t>
      </w:r>
      <w:r>
        <w:rPr>
          <w:iCs/>
          <w:i/>
        </w:rPr>
        <w:t xml:space="preserve">shōten</w:t>
      </w:r>
      <w:r>
        <w:t xml:space="preserve">) are applied with precision, offering valuable information about vocabulary and pitch accent in the Heian period. These tone marks also appear in the phonetic glosses of Chinese characters—such as</w:t>
      </w:r>
      <w:r>
        <w:t xml:space="preserve"> </w:t>
      </w:r>
      <w:r>
        <w:rPr>
          <w:iCs/>
          <w:i/>
        </w:rPr>
        <w:t xml:space="preserve">fanqie</w:t>
      </w:r>
      <w:r>
        <w:t xml:space="preserve">, homophonic glosses, and katakana transcriptions—making the manuscript an important resource for the study of Sino-Japanese phonology.</w:t>
      </w:r>
    </w:p>
    <w:p>
      <w:pPr>
        <w:pStyle w:val="BodyText"/>
      </w:pPr>
      <w:r>
        <w:rPr>
          <w:bCs/>
          <w:b/>
        </w:rPr>
        <w:t xml:space="preserve">Revised Compilation</w:t>
      </w:r>
    </w:p>
    <w:p>
      <w:pPr>
        <w:pStyle w:val="BodyText"/>
      </w:pPr>
      <w:r>
        <w:t xml:space="preserve">The Kanchi-in manuscript of the revised compilation—also known as the</w:t>
      </w:r>
      <w:r>
        <w:t xml:space="preserve"> </w:t>
      </w:r>
      <w:r>
        <w:rPr>
          <w:bCs/>
          <w:b/>
        </w:rPr>
        <w:t xml:space="preserve">Kaihenbon</w:t>
      </w:r>
      <w:r>
        <w:t xml:space="preserve"> </w:t>
      </w:r>
      <w:r>
        <w:t xml:space="preserve">or</w:t>
      </w:r>
      <w:r>
        <w:t xml:space="preserve"> </w:t>
      </w:r>
      <w:r>
        <w:rPr>
          <w:bCs/>
          <w:b/>
        </w:rPr>
        <w:t xml:space="preserve">Kōekibon</w:t>
      </w:r>
      <w:r>
        <w:t xml:space="preserve">—contains approximately 32,000 headword entries and about 34,000 Japanese native readings (</w:t>
      </w:r>
      <w:r>
        <w:rPr>
          <w:iCs/>
          <w:i/>
        </w:rPr>
        <w:t xml:space="preserve">wakun</w:t>
      </w:r>
      <w:r>
        <w:t xml:space="preserve">). Of these, roughly 10,000</w:t>
      </w:r>
      <w:r>
        <w:t xml:space="preserve"> </w:t>
      </w:r>
      <w:r>
        <w:rPr>
          <w:iCs/>
          <w:i/>
        </w:rPr>
        <w:t xml:space="preserve">wakun</w:t>
      </w:r>
      <w:r>
        <w:t xml:space="preserve"> </w:t>
      </w:r>
      <w:r>
        <w:t xml:space="preserve">are annotated with tone marks (</w:t>
      </w:r>
      <w:r>
        <w:rPr>
          <w:iCs/>
          <w:i/>
        </w:rPr>
        <w:t xml:space="preserve">shōten</w:t>
      </w:r>
      <w:r>
        <w:t xml:space="preserve">). The names of authors and titles of cited sources found in the original compilation have been removed, and many of the semantic glosses in literary Chinese have likewise been omitted. Japanese native readings (</w:t>
      </w:r>
      <w:r>
        <w:rPr>
          <w:iCs/>
          <w:i/>
        </w:rPr>
        <w:t xml:space="preserve">wakun</w:t>
      </w:r>
      <w:r>
        <w:t xml:space="preserve">) originally recorded in</w:t>
      </w:r>
      <w:r>
        <w:t xml:space="preserve"> </w:t>
      </w:r>
      <w:r>
        <w:rPr>
          <w:iCs/>
          <w:i/>
        </w:rPr>
        <w:t xml:space="preserve">man’yōgana</w:t>
      </w:r>
      <w:r>
        <w:t xml:space="preserve"> </w:t>
      </w:r>
      <w:r>
        <w:t xml:space="preserve">have been replaced with katakana.</w:t>
      </w:r>
    </w:p>
    <w:p>
      <w:pPr>
        <w:pStyle w:val="BodyText"/>
      </w:pPr>
      <w:r>
        <w:t xml:space="preserve">There is a substantial expansion of single-character entries. For items carried over from the original compilation, Japanese native readings have been added and reorganized; for new entries introduced in the revised version, a large number of Japanese native readings have been supplemented as well, resulting in a significantly enlarged corpus of Japanese native readings.</w:t>
      </w:r>
    </w:p>
    <w:p>
      <w:pPr>
        <w:pStyle w:val="BodyText"/>
      </w:pPr>
      <w:r>
        <w:rPr>
          <w:rStyle w:val="VerbatimChar"/>
          <w:bCs/>
          <w:b/>
        </w:rPr>
        <w:t xml:space="preserve">Notes on Character Form</w:t>
      </w:r>
      <w:r>
        <w:t xml:space="preserve"> </w:t>
      </w:r>
      <w:r>
        <w:t xml:space="preserve">(字体注), which provide details on</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and distinctions such as</w:t>
      </w:r>
      <w:r>
        <w:t xml:space="preserve"> </w:t>
      </w:r>
      <w:r>
        <w:t xml:space="preserve">“</w:t>
      </w:r>
      <w:r>
        <w:t xml:space="preserve">standard</w:t>
      </w:r>
      <w:r>
        <w:t xml:space="preserve">”</w:t>
      </w:r>
      <w:r>
        <w:t xml:space="preserve"> </w:t>
      </w:r>
      <w:r>
        <w:t xml:space="preserve">(正,</w:t>
      </w:r>
      <w:r>
        <w:t xml:space="preserve"> </w:t>
      </w:r>
      <w:r>
        <w:rPr>
          <w:iCs/>
          <w:i/>
        </w:rPr>
        <w:t xml:space="preserve">sei</w:t>
      </w:r>
      <w:r>
        <w:t xml:space="preserve">) and</w:t>
      </w:r>
      <w:r>
        <w:t xml:space="preserve"> </w:t>
      </w:r>
      <w:r>
        <w:t xml:space="preserve">“</w:t>
      </w:r>
      <w:r>
        <w:t xml:space="preserve">popular/variant</w:t>
      </w:r>
      <w:r>
        <w:t xml:space="preserve">”</w:t>
      </w:r>
      <w:r>
        <w:t xml:space="preserve"> </w:t>
      </w:r>
      <w:r>
        <w:t xml:space="preserve">(俗,</w:t>
      </w:r>
      <w:r>
        <w:t xml:space="preserve"> </w:t>
      </w:r>
      <w:r>
        <w:rPr>
          <w:iCs/>
          <w:i/>
        </w:rPr>
        <w:t xml:space="preserve">zoku</w:t>
      </w:r>
      <w:r>
        <w:t xml:space="preserve">) forms, along with</w:t>
      </w:r>
      <w:r>
        <w:t xml:space="preserve"> </w:t>
      </w:r>
      <w:r>
        <w:rPr>
          <w:rStyle w:val="VerbatimChar"/>
          <w:bCs/>
          <w:b/>
        </w:rPr>
        <w:t xml:space="preserve">Phonetic Glosses</w:t>
      </w:r>
      <w:r>
        <w:t xml:space="preserve"> </w:t>
      </w:r>
      <w:r>
        <w:t xml:space="preserve">(字音注) indicating</w:t>
      </w:r>
      <w:r>
        <w:t xml:space="preserve"> </w:t>
      </w:r>
      <w:r>
        <w:rPr>
          <w:rStyle w:val="VerbatimChar"/>
          <w:bCs/>
          <w:b/>
        </w:rPr>
        <w:t xml:space="preserve">Go-on</w:t>
      </w:r>
      <w:r>
        <w:t xml:space="preserve"> </w:t>
      </w:r>
      <w:r>
        <w:t xml:space="preserve">(呉音; also known as</w:t>
      </w:r>
      <w:r>
        <w:t xml:space="preserve"> </w:t>
      </w:r>
      <w:r>
        <w:rPr>
          <w:iCs/>
          <w:i/>
        </w:rPr>
        <w:t xml:space="preserve">Wa-on</w:t>
      </w:r>
      <w:r>
        <w:t xml:space="preserve">, reflecting 5th-6th century pronunciations from Southern China, possibly transmitted via the Korean Peninsula) and</w:t>
      </w:r>
      <w:r>
        <w:t xml:space="preserve"> </w:t>
      </w:r>
      <w:r>
        <w:rPr>
          <w:rStyle w:val="VerbatimChar"/>
          <w:bCs/>
          <w:b/>
        </w:rPr>
        <w:t xml:space="preserve">Kan-on</w:t>
      </w:r>
      <w:r>
        <w:t xml:space="preserve"> </w:t>
      </w:r>
      <w:r>
        <w:t xml:space="preserve">(漢音; also known as</w:t>
      </w:r>
      <w:r>
        <w:t xml:space="preserve"> </w:t>
      </w:r>
      <w:r>
        <w:rPr>
          <w:rStyle w:val="VerbatimChar"/>
          <w:bCs/>
          <w:b/>
        </w:rPr>
        <w:t xml:space="preserve">Sei-on</w:t>
      </w:r>
      <w:r>
        <w:t xml:space="preserve">, reflecting 7th-9th century pronunciations from Northern China, notably the Chang’an dialect) for the characters, together constitute a rich repository of materials for the study of Japanese linguistic history.</w:t>
      </w:r>
    </w:p>
    <w:p>
      <w:pPr>
        <w:pStyle w:val="BodyText"/>
      </w:pPr>
      <w:r>
        <w:t xml:space="preserve">Within each radical category, headword entries are often arranged either by visual similarity or according to the character ordering found in the</w:t>
      </w:r>
      <w:r>
        <w:t xml:space="preserve"> </w:t>
      </w:r>
      <w:r>
        <w:rPr>
          <w:iCs/>
          <w:i/>
        </w:rPr>
        <w:t xml:space="preserve">Yupian</w:t>
      </w:r>
      <w:r>
        <w:t xml:space="preserve">—referred to here as the</w:t>
      </w:r>
      <w:r>
        <w:t xml:space="preserve"> </w:t>
      </w:r>
      <w:r>
        <w:rPr>
          <w:iCs/>
          <w:i/>
        </w:rPr>
        <w:t xml:space="preserve">Gyokuhen jijun-gun</w:t>
      </w:r>
      <w:r>
        <w:t xml:space="preserve"> </w:t>
      </w:r>
      <w:r>
        <w:t xml:space="preserve">(</w:t>
      </w:r>
      <w:r>
        <w:t xml:space="preserve">“</w:t>
      </w:r>
      <w:r>
        <w:t xml:space="preserve">Yupian character order groups</w:t>
      </w:r>
      <w:r>
        <w:t xml:space="preserve">”</w:t>
      </w:r>
      <w:r>
        <w:t xml:space="preserve">).</w:t>
      </w:r>
    </w:p>
    <w:p>
      <w:pPr>
        <w:pStyle w:val="BodyText"/>
      </w:pPr>
      <w:r>
        <w:t xml:space="preserve">Although only the</w:t>
      </w:r>
      <w:r>
        <w:t xml:space="preserve"> </w:t>
      </w:r>
      <w:r>
        <w:rPr>
          <w:iCs/>
          <w:i/>
        </w:rPr>
        <w:t xml:space="preserve">Hōbu-jō</w:t>
      </w:r>
      <w:r>
        <w:t xml:space="preserve"> </w:t>
      </w:r>
      <w:r>
        <w:t xml:space="preserve">(Upper Dharma) section of the original compilation survives, comparison between the original and revised versions reveals the nature of additions and editorial changes. For sections no longer extant in the original compilation, it is possible to identify underlying textual sources by cross-referencing with the principal reference works that were extensively cited in the original. Of particular importance are frequently referenced texts such as</w:t>
      </w:r>
      <w:r>
        <w:t xml:space="preserve"> </w:t>
      </w:r>
      <w:r>
        <w:rPr>
          <w:iCs/>
          <w:i/>
        </w:rPr>
        <w:t xml:space="preserve">Yiqiejing yinyi</w:t>
      </w:r>
      <w:r>
        <w:t xml:space="preserve">,</w:t>
      </w:r>
      <w:r>
        <w:t xml:space="preserve"> </w:t>
      </w:r>
      <w:r>
        <w:rPr>
          <w:iCs/>
          <w:i/>
        </w:rPr>
        <w:t xml:space="preserve">Tenrei Banshō Meigi</w:t>
      </w:r>
      <w:r>
        <w:t xml:space="preserve">, and</w:t>
      </w:r>
      <w:r>
        <w:t xml:space="preserve"> </w:t>
      </w:r>
      <w:r>
        <w:rPr>
          <w:iCs/>
          <w:i/>
        </w:rPr>
        <w:t xml:space="preserve">Wamyō Ruijushō</w:t>
      </w:r>
      <w:r>
        <w:t xml:space="preserve">, all of which remain extant in complete form. These sources should be consistently consulted when interpreting the revised compilation.</w:t>
      </w:r>
    </w:p>
    <w:bookmarkEnd w:id="37"/>
    <w:bookmarkStart w:id="40" w:name="Xb81af9c4a968a8df074cd3ae77e0e58e8e6432f"/>
    <w:p>
      <w:pPr>
        <w:pStyle w:val="Heading2"/>
      </w:pPr>
      <w:r>
        <w:rPr>
          <w:rStyle w:val="SectionNumber"/>
        </w:rPr>
        <w:t xml:space="preserve">1.8</w:t>
      </w:r>
      <w:r>
        <w:tab/>
      </w:r>
      <w:r>
        <w:t xml:space="preserve">Facsimile</w:t>
      </w:r>
    </w:p>
    <w:bookmarkStart w:id="38" w:name="X8825c9e061ac1a187bcdcc5baf768a44d0d88b2"/>
    <w:p>
      <w:pPr>
        <w:pStyle w:val="Heading3"/>
      </w:pPr>
      <w:r>
        <w:rPr>
          <w:rStyle w:val="SectionNumber"/>
        </w:rPr>
        <w:t xml:space="preserve">1.8.1</w:t>
      </w:r>
      <w:r>
        <w:tab/>
      </w:r>
      <w:r>
        <w:t xml:space="preserve">Original Compilation</w:t>
      </w:r>
    </w:p>
    <w:p>
      <w:pPr>
        <w:pStyle w:val="FirstParagraph"/>
      </w:pPr>
      <w:r>
        <w:rPr>
          <w:bCs/>
          <w:b/>
        </w:rPr>
        <w:t xml:space="preserve">Zushoryō Manuscript</w:t>
      </w:r>
      <w:r>
        <w:br/>
      </w:r>
      <w:r>
        <w:t xml:space="preserve">Formerly held in the collection of the Shimizudani Kimiyasu family and currently preserved by the Archives and Mausolea Department of the Imperial Household Agency (</w:t>
      </w:r>
      <w:r>
        <w:rPr>
          <w:iCs/>
          <w:i/>
        </w:rPr>
        <w:t xml:space="preserve">Kunai-chō Shoryōbu</w:t>
      </w:r>
      <w:r>
        <w:t xml:space="preserve">), this manuscript was first published in 1950 as a facsimile edition titled</w:t>
      </w:r>
      <w:r>
        <w:t xml:space="preserve"> </w:t>
      </w:r>
      <w:r>
        <w:rPr>
          <w:iCs/>
          <w:i/>
        </w:rPr>
        <w:t xml:space="preserve">Zushoryōbon Ruiju Myōgishō</w:t>
      </w:r>
      <w:r>
        <w:t xml:space="preserve">, retaining its original Japanese-style binding. The edition includes an introductory essay by Hashimoto Fumio and is available for viewing via the National Diet Library Digital Collections.</w:t>
      </w:r>
    </w:p>
    <w:p>
      <w:pPr>
        <w:pStyle w:val="BodyText"/>
      </w:pPr>
      <w:r>
        <w:t xml:space="preserve">A Western-style bound edition was reissued in 1969, followed by a revised edition in 1976 featuring a complete set of indices—for sources,</w:t>
      </w:r>
      <w:r>
        <w:t xml:space="preserve"> </w:t>
      </w:r>
      <w:r>
        <w:rPr>
          <w:iCs/>
          <w:i/>
        </w:rPr>
        <w:t xml:space="preserve">kana</w:t>
      </w:r>
      <w:r>
        <w:t xml:space="preserve"> </w:t>
      </w:r>
      <w:r>
        <w:t xml:space="preserve">glosses, and Chinese characters—accompanied by commentary by Tsukishima Hiroshi, a</w:t>
      </w:r>
      <w:r>
        <w:t xml:space="preserve"> </w:t>
      </w:r>
      <w:r>
        <w:rPr>
          <w:iCs/>
          <w:i/>
        </w:rPr>
        <w:t xml:space="preserve">kana</w:t>
      </w:r>
      <w:r>
        <w:t xml:space="preserve"> </w:t>
      </w:r>
      <w:r>
        <w:t xml:space="preserve">index by Miyazawa Toshimasa, and a kanji index by Sakai Kenji.</w:t>
      </w:r>
    </w:p>
    <w:p>
      <w:pPr>
        <w:pStyle w:val="BodyText"/>
      </w:pPr>
      <w:r>
        <w:t xml:space="preserve">The extant portion of the manuscript corresponds to the</w:t>
      </w:r>
      <w:r>
        <w:t xml:space="preserve"> </w:t>
      </w:r>
      <w:r>
        <w:rPr>
          <w:iCs/>
          <w:i/>
        </w:rPr>
        <w:t xml:space="preserve">Hōbu jōge</w:t>
      </w:r>
      <w:r>
        <w:t xml:space="preserve"> </w:t>
      </w:r>
      <w:r>
        <w:t xml:space="preserve">(</w:t>
      </w:r>
      <w:r>
        <w:t xml:space="preserve">“</w:t>
      </w:r>
      <w:r>
        <w:t xml:space="preserve">Upper</w:t>
      </w:r>
      <w:r>
        <w:t xml:space="preserve">”</w:t>
      </w:r>
      <w:r>
        <w:t xml:space="preserve"> </w:t>
      </w:r>
      <w:r>
        <w:t xml:space="preserve">and</w:t>
      </w:r>
      <w:r>
        <w:t xml:space="preserve"> </w:t>
      </w:r>
      <w:r>
        <w:t xml:space="preserve">“</w:t>
      </w:r>
      <w:r>
        <w:t xml:space="preserve">Lower</w:t>
      </w:r>
      <w:r>
        <w:t xml:space="preserve">”</w:t>
      </w:r>
      <w:r>
        <w:t xml:space="preserve"> </w:t>
      </w:r>
      <w:r>
        <w:t xml:space="preserve">Dharma sections), specifically the upper volume (</w:t>
      </w:r>
      <w:r>
        <w:rPr>
          <w:iCs/>
          <w:i/>
        </w:rPr>
        <w:t xml:space="preserve">jōsatsu</w:t>
      </w:r>
      <w:r>
        <w:t xml:space="preserve">), which covers 20 radicals out of a total of 40 in this section. It is generally believed that the full compilation originally consisted of two volumes each for the Buddha, Dharma, and Sangha sections. The character</w:t>
      </w:r>
      <w:r>
        <w:t xml:space="preserve"> </w:t>
      </w:r>
      <w:r>
        <w:t xml:space="preserve">“</w:t>
      </w:r>
      <w:r>
        <w:t xml:space="preserve">五</w:t>
      </w:r>
      <w:r>
        <w:t xml:space="preserve">”</w:t>
      </w:r>
      <w:r>
        <w:t xml:space="preserve"> </w:t>
      </w:r>
      <w:r>
        <w:t xml:space="preserve">(</w:t>
      </w:r>
      <w:r>
        <w:t xml:space="preserve">“</w:t>
      </w:r>
      <w:r>
        <w:t xml:space="preserve">5</w:t>
      </w:r>
      <w:r>
        <w:t xml:space="preserve">”</w:t>
      </w:r>
      <w:r>
        <w:t xml:space="preserve">) inscribed in the upper right corner of the cover suggests that this volume was originally the fifth in the full six-volume set.</w:t>
      </w:r>
    </w:p>
    <w:p>
      <w:pPr>
        <w:pStyle w:val="BodyText"/>
      </w:pPr>
      <w:r>
        <w:t xml:space="preserve">On March 26, 2025, a color version of the manuscript was made publicly available via the Shoryōbu Catalog and Image Database of the Archives and Mausolea Department.</w:t>
      </w:r>
    </w:p>
    <w:bookmarkEnd w:id="38"/>
    <w:bookmarkStart w:id="39" w:name="Xfa2306b21b4811bfc7fdbdbb1067df78dab9693"/>
    <w:p>
      <w:pPr>
        <w:pStyle w:val="Heading3"/>
      </w:pPr>
      <w:r>
        <w:rPr>
          <w:rStyle w:val="SectionNumber"/>
        </w:rPr>
        <w:t xml:space="preserve">1.8.2</w:t>
      </w:r>
      <w:r>
        <w:tab/>
      </w:r>
      <w:r>
        <w:t xml:space="preserve">Revised Compilation</w:t>
      </w:r>
    </w:p>
    <w:p>
      <w:pPr>
        <w:pStyle w:val="FirstParagraph"/>
      </w:pPr>
      <w:r>
        <w:rPr>
          <w:bCs/>
          <w:b/>
        </w:rPr>
        <w:t xml:space="preserve">Kanchi-in Manuscript</w:t>
      </w:r>
      <w:r>
        <w:br/>
      </w:r>
      <w:r>
        <w:t xml:space="preserve">Originally housed at Tō-ji’s Kanchi-in, this complete manuscript—consisting of one volume of section headings and ten volumes of main text—is now preserved at the Tenri Central Library. According to colophons, it was copied by Jinen in 1241 (Ninji 2) and later recopied by Kenkei in 1251 (Kenchō 3).</w:t>
      </w:r>
      <w:r>
        <w:br/>
      </w:r>
      <w:r>
        <w:t xml:space="preserve">Several facsimile and reproduction editions exist. The commonly cited versions are listed below, followed by brief descriptions:</w:t>
      </w:r>
    </w:p>
    <w:p>
      <w:pPr>
        <w:numPr>
          <w:ilvl w:val="0"/>
          <w:numId w:val="1004"/>
        </w:numPr>
      </w:pPr>
      <w:r>
        <w:rPr>
          <w:bCs/>
          <w:b/>
        </w:rPr>
        <w:t xml:space="preserve">Kichōtosho Edition (1937):</w:t>
      </w:r>
      <w:r>
        <w:t xml:space="preserve"> </w:t>
      </w:r>
      <w:r>
        <w:t xml:space="preserve">A collotype facsimile edition in its original format, published by the Kichōtosho Fukuseikai, with commentary by Yamada Yoshio. Available via the National Diet Library Digital Collections.</w:t>
      </w:r>
    </w:p>
    <w:p>
      <w:pPr>
        <w:numPr>
          <w:ilvl w:val="0"/>
          <w:numId w:val="1004"/>
        </w:numPr>
      </w:pPr>
      <w:r>
        <w:rPr>
          <w:bCs/>
          <w:b/>
        </w:rPr>
        <w:t xml:space="preserve">Koten Zenshū Edition (1938–1940):</w:t>
      </w:r>
      <w:r>
        <w:t xml:space="preserve"> </w:t>
      </w:r>
      <w:r>
        <w:t xml:space="preserve">Reproduced using letterpress printing by the Nihon Koten Zenshū Kankōkai, including kana and kanji indexes edited by Masamune Atsuo.</w:t>
      </w:r>
    </w:p>
    <w:p>
      <w:pPr>
        <w:numPr>
          <w:ilvl w:val="0"/>
          <w:numId w:val="1004"/>
        </w:numPr>
      </w:pPr>
      <w:r>
        <w:rPr>
          <w:bCs/>
          <w:b/>
        </w:rPr>
        <w:t xml:space="preserve">Kazama Edition (1954–1955):</w:t>
      </w:r>
      <w:r>
        <w:t xml:space="preserve"> </w:t>
      </w:r>
      <w:r>
        <w:t xml:space="preserve">Republished by Kazama Shobō with commentary by Nakada Norio. Volume 1 contains the main text; Volume 2 contains kanji and kana indexes.</w:t>
      </w:r>
      <w:r>
        <w:t xml:space="preserve"> </w:t>
      </w:r>
      <w:r>
        <w:rPr>
          <w:bCs/>
          <w:b/>
        </w:rPr>
        <w:t xml:space="preserve">Letterpress reproduction.</w:t>
      </w:r>
      <w:r>
        <w:t xml:space="preserve"> </w:t>
      </w:r>
      <w:r>
        <w:t xml:space="preserve">This is a convenient reference edition as the index locations correspond to its pagination.</w:t>
      </w:r>
    </w:p>
    <w:p>
      <w:pPr>
        <w:numPr>
          <w:ilvl w:val="0"/>
          <w:numId w:val="1004"/>
        </w:numPr>
      </w:pPr>
      <w:r>
        <w:rPr>
          <w:bCs/>
          <w:b/>
        </w:rPr>
        <w:t xml:space="preserve">Old Tenri Edition (1976):</w:t>
      </w:r>
      <w:r>
        <w:t xml:space="preserve"> </w:t>
      </w:r>
      <w:r>
        <w:t xml:space="preserve">Reproduced with corrected foliation in Vols. 32–34 of the</w:t>
      </w:r>
      <w:r>
        <w:t xml:space="preserve"> </w:t>
      </w:r>
      <w:r>
        <w:rPr>
          <w:iCs/>
          <w:i/>
        </w:rPr>
        <w:t xml:space="preserve">Tenri Toshokan Zenpon Sōsho: Washo no Bu</w:t>
      </w:r>
      <w:r>
        <w:t xml:space="preserve">, with commentary by Yoshida Kanehiko. Published by Tenri University Press and distributed by Yagi Shoten. Locations are cited using the original volume and folio numbers. Printed in monochrome using offset printing.</w:t>
      </w:r>
    </w:p>
    <w:p>
      <w:pPr>
        <w:numPr>
          <w:ilvl w:val="0"/>
          <w:numId w:val="1004"/>
        </w:numPr>
      </w:pPr>
      <w:r>
        <w:rPr>
          <w:bCs/>
          <w:b/>
        </w:rPr>
        <w:t xml:space="preserve">New Tenri Edition (2018):</w:t>
      </w:r>
      <w:r>
        <w:t xml:space="preserve"> </w:t>
      </w:r>
      <w:r>
        <w:t xml:space="preserve">Published in Vols. 9–11 of the</w:t>
      </w:r>
      <w:r>
        <w:t xml:space="preserve"> </w:t>
      </w:r>
      <w:r>
        <w:rPr>
          <w:iCs/>
          <w:i/>
        </w:rPr>
        <w:t xml:space="preserve">Shin Tenri Toshokan Zenpon Sōsho</w:t>
      </w:r>
      <w:r>
        <w:t xml:space="preserve">, based on high-resolution color photography taken after restoration, with commentary by Ōtsuki Makoto. Published by Tenri University Press and distributed by Yagi Shoten.</w:t>
      </w:r>
      <w:r>
        <w:br/>
      </w:r>
      <w:r>
        <w:t xml:space="preserve">This edition includes references not only to the original volume and folio numbers, but also to the Old Tenri and Kazama Edition page numbers, enhancing its compatibility with the Kazama indexes.</w:t>
      </w:r>
    </w:p>
    <w:p>
      <w:pPr>
        <w:pStyle w:val="FirstParagraph"/>
      </w:pPr>
      <w:r>
        <w:rPr>
          <w:bCs/>
          <w:b/>
        </w:rPr>
        <w:t xml:space="preserve">Renjō-in Manuscript</w:t>
      </w:r>
      <w:r>
        <w:br/>
      </w:r>
      <w:r>
        <w:t xml:space="preserve">Previously held at Kōfuku-ji’s Renjō-in, this fragmentary manuscript (3 volumes) is now in the possession of Chinkoku Shukoku Shrine (Kuwana City, Mie Prefecture). Copied in the late Kamakura to early Muromachi period, it is also referred to as the Chinkoku Shukoku Shrine Manuscript.</w:t>
      </w:r>
      <w:r>
        <w:br/>
      </w:r>
      <w:r>
        <w:t xml:space="preserve">It comprises: Volume 1 (corresponding to</w:t>
      </w:r>
      <w:r>
        <w:t xml:space="preserve"> </w:t>
      </w:r>
      <w:r>
        <w:rPr>
          <w:iCs/>
          <w:i/>
        </w:rPr>
        <w:t xml:space="preserve">Butsu-jō</w:t>
      </w:r>
      <w:r>
        <w:t xml:space="preserve"> </w:t>
      </w:r>
      <w:r>
        <w:t xml:space="preserve">and</w:t>
      </w:r>
      <w:r>
        <w:t xml:space="preserve"> </w:t>
      </w:r>
      <w:r>
        <w:rPr>
          <w:iCs/>
          <w:i/>
        </w:rPr>
        <w:t xml:space="preserve">Butsu-chū</w:t>
      </w:r>
      <w:r>
        <w:t xml:space="preserve"> </w:t>
      </w:r>
      <w:r>
        <w:t xml:space="preserve">in the Kanchi-in Manuscript); Volume 2 (covering up to mid-</w:t>
      </w:r>
      <w:r>
        <w:rPr>
          <w:iCs/>
          <w:i/>
        </w:rPr>
        <w:t xml:space="preserve">Hō-jō</w:t>
      </w:r>
      <w:r>
        <w:t xml:space="preserve">); and Volume 3 (corresponding to</w:t>
      </w:r>
      <w:r>
        <w:t xml:space="preserve"> </w:t>
      </w:r>
      <w:r>
        <w:rPr>
          <w:iCs/>
          <w:i/>
        </w:rPr>
        <w:t xml:space="preserve">Sō</w:t>
      </w:r>
      <w:r>
        <w:t xml:space="preserve">). A facsimile edition was issued in 1965 by the Mikkan Kokubun Shiryō Kankōkai under the title</w:t>
      </w:r>
      <w:r>
        <w:t xml:space="preserve"> </w:t>
      </w:r>
      <w:r>
        <w:rPr>
          <w:iCs/>
          <w:i/>
        </w:rPr>
        <w:t xml:space="preserve">Sanpō Ruiju Myōgishō</w:t>
      </w:r>
      <w:r>
        <w:t xml:space="preserve">, with commentary by Ozaki Satoakira. A clearer reproduction was issued in 1986 by Benseisha.</w:t>
      </w:r>
    </w:p>
    <w:p>
      <w:pPr>
        <w:pStyle w:val="BodyText"/>
      </w:pPr>
      <w:r>
        <w:rPr>
          <w:bCs/>
          <w:b/>
        </w:rPr>
        <w:t xml:space="preserve">Kōsan-ji Manuscript</w:t>
      </w:r>
      <w:r>
        <w:br/>
      </w:r>
      <w:r>
        <w:t xml:space="preserve">Formerly held at Kōsan-ji and now preserved at the Tenri Central Library via the Hōrei Collection. This manuscript was copied during the Insei period (late Heian).</w:t>
      </w:r>
      <w:r>
        <w:br/>
      </w:r>
      <w:r>
        <w:t xml:space="preserve">It consists of two fragmentary volumes corresponding to</w:t>
      </w:r>
      <w:r>
        <w:t xml:space="preserve"> </w:t>
      </w:r>
      <w:r>
        <w:rPr>
          <w:iCs/>
          <w:i/>
        </w:rPr>
        <w:t xml:space="preserve">Butsu-jō</w:t>
      </w:r>
      <w:r>
        <w:t xml:space="preserve"> </w:t>
      </w:r>
      <w:r>
        <w:t xml:space="preserve">and</w:t>
      </w:r>
      <w:r>
        <w:t xml:space="preserve"> </w:t>
      </w:r>
      <w:r>
        <w:rPr>
          <w:iCs/>
          <w:i/>
        </w:rPr>
        <w:t xml:space="preserve">Butsu-chū</w:t>
      </w:r>
      <w:r>
        <w:t xml:space="preserve"> </w:t>
      </w:r>
      <w:r>
        <w:t xml:space="preserve">of the Kanchi-in Manuscript. The first folio lists section headings under the title</w:t>
      </w:r>
      <w:r>
        <w:t xml:space="preserve"> </w:t>
      </w:r>
      <w:r>
        <w:rPr>
          <w:iCs/>
          <w:i/>
        </w:rPr>
        <w:t xml:space="preserve">Sanbō Ruiji-shū Kan-jō</w:t>
      </w:r>
      <w:r>
        <w:t xml:space="preserve">, and the main text begins with</w:t>
      </w:r>
      <w:r>
        <w:t xml:space="preserve"> </w:t>
      </w:r>
      <w:r>
        <w:rPr>
          <w:iCs/>
          <w:i/>
        </w:rPr>
        <w:t xml:space="preserve">Butsuhō Ruiji-shū Kan-jō I / Section 1: Jin</w:t>
      </w:r>
      <w:r>
        <w:t xml:space="preserve">. This corresponds to the entry in the</w:t>
      </w:r>
      <w:r>
        <w:t xml:space="preserve"> </w:t>
      </w:r>
      <w:r>
        <w:rPr>
          <w:iCs/>
          <w:i/>
        </w:rPr>
        <w:t xml:space="preserve">Kōsan-ji Shōgyō Mokuroku</w:t>
      </w:r>
      <w:r>
        <w:t xml:space="preserve"> </w:t>
      </w:r>
      <w:r>
        <w:t xml:space="preserve">(Kenchō Inventory), which records</w:t>
      </w:r>
      <w:r>
        <w:t xml:space="preserve"> </w:t>
      </w:r>
      <w:r>
        <w:rPr>
          <w:iCs/>
          <w:i/>
        </w:rPr>
        <w:t xml:space="preserve">Sanpō Ruiji-shū</w:t>
      </w:r>
      <w:r>
        <w:t xml:space="preserve"> </w:t>
      </w:r>
      <w:r>
        <w:t xml:space="preserve">as a six-volume work. In 2016, a high-resolution color facsimile was published as Vol. 8 of the</w:t>
      </w:r>
      <w:r>
        <w:t xml:space="preserve"> </w:t>
      </w:r>
      <w:r>
        <w:rPr>
          <w:iCs/>
          <w:i/>
        </w:rPr>
        <w:t xml:space="preserve">Shin Tenri Toshokan Zenpon Sōsho</w:t>
      </w:r>
      <w:r>
        <w:t xml:space="preserve">, with commentary by Yamamoto Hideto.</w:t>
      </w:r>
    </w:p>
    <w:p>
      <w:pPr>
        <w:pStyle w:val="BodyText"/>
      </w:pPr>
      <w:r>
        <w:rPr>
          <w:bCs/>
          <w:b/>
        </w:rPr>
        <w:t xml:space="preserve">Sainen-ji Manuscript</w:t>
      </w:r>
      <w:r>
        <w:br/>
      </w:r>
      <w:r>
        <w:t xml:space="preserve">A one-volume fragment transcribed in 1767 (Meiwa 4), based on the Eissatsu Manuscript, preserving portions of</w:t>
      </w:r>
      <w:r>
        <w:t xml:space="preserve"> </w:t>
      </w:r>
      <w:r>
        <w:rPr>
          <w:iCs/>
          <w:i/>
        </w:rPr>
        <w:t xml:space="preserve">Butsu-jō</w:t>
      </w:r>
      <w:r>
        <w:t xml:space="preserve"> </w:t>
      </w:r>
      <w:r>
        <w:t xml:space="preserve">and</w:t>
      </w:r>
      <w:r>
        <w:t xml:space="preserve"> </w:t>
      </w:r>
      <w:r>
        <w:rPr>
          <w:iCs/>
          <w:i/>
        </w:rPr>
        <w:t xml:space="preserve">Butsu-chū</w:t>
      </w:r>
      <w:r>
        <w:t xml:space="preserve">. Now held by both the Tenri Central Library and Kansai University. Although no printed facsimile exists, images of the Kansai University copy are publicly available.</w:t>
      </w:r>
      <w:r>
        <w:br/>
      </w:r>
      <w:r>
        <w:t xml:space="preserve">A version preserved by the Archives and Mausolea Department of the Imperial Household Agency is also accessible and more closely resembles the Tenri copy than the Kansai University one. While the Tenri copy has often been used in prior scholarship, the lack of a published facsimile once required researchers to visit the library to obtain photographic reproductions. The Shoryōbu copy now allows readers to access the same textual content as the Tenri Sainen-ji Manuscript.</w:t>
      </w:r>
    </w:p>
    <w:p>
      <w:pPr>
        <w:pStyle w:val="BodyText"/>
      </w:pPr>
      <w:r>
        <w:rPr>
          <w:bCs/>
          <w:b/>
        </w:rPr>
        <w:t xml:space="preserve">Hōbodai-in Manuscript</w:t>
      </w:r>
      <w:r>
        <w:br/>
      </w:r>
      <w:r>
        <w:t xml:space="preserve">A one-volume fragment covering the</w:t>
      </w:r>
      <w:r>
        <w:t xml:space="preserve"> </w:t>
      </w:r>
      <w:r>
        <w:t xml:space="preserve">“</w:t>
      </w:r>
      <w:r>
        <w:t xml:space="preserve">Ship</w:t>
      </w:r>
      <w:r>
        <w:t xml:space="preserve">”</w:t>
      </w:r>
      <w:r>
        <w:t xml:space="preserve"> </w:t>
      </w:r>
      <w:r>
        <w:t xml:space="preserve">(舟) through</w:t>
      </w:r>
      <w:r>
        <w:t xml:space="preserve"> </w:t>
      </w:r>
      <w:r>
        <w:t xml:space="preserve">“</w:t>
      </w:r>
      <w:r>
        <w:t xml:space="preserve">Dog</w:t>
      </w:r>
      <w:r>
        <w:t xml:space="preserve">”</w:t>
      </w:r>
      <w:r>
        <w:t xml:space="preserve"> </w:t>
      </w:r>
      <w:r>
        <w:t xml:space="preserve">(犬) sections of</w:t>
      </w:r>
      <w:r>
        <w:t xml:space="preserve"> </w:t>
      </w:r>
      <w:r>
        <w:rPr>
          <w:iCs/>
          <w:i/>
        </w:rPr>
        <w:t xml:space="preserve">Butsu-ge</w:t>
      </w:r>
      <w:r>
        <w:t xml:space="preserve"> </w:t>
      </w:r>
      <w:r>
        <w:t xml:space="preserve">in the Kanchi-in Manuscript, likely copied in the late Kamakura period.</w:t>
      </w:r>
      <w:r>
        <w:br/>
      </w:r>
      <w:r>
        <w:t xml:space="preserve">A facsimile edition was published in 2002 by Taishō University Press, with commentary by Kurashima Tokihisa. A wakun index compiled by the same scholar was published in 2006 by the same press.</w:t>
      </w:r>
    </w:p>
    <w:bookmarkEnd w:id="39"/>
    <w:bookmarkEnd w:id="40"/>
    <w:bookmarkStart w:id="41" w:name="Xf29434705bdbca161527f50507a69356e9c7a72"/>
    <w:p>
      <w:pPr>
        <w:pStyle w:val="Heading2"/>
      </w:pPr>
      <w:r>
        <w:rPr>
          <w:rStyle w:val="SectionNumber"/>
        </w:rPr>
        <w:t xml:space="preserve">1.9</w:t>
      </w:r>
      <w:r>
        <w:tab/>
      </w:r>
      <w:r>
        <w:t xml:space="preserve">Indexes</w:t>
      </w:r>
    </w:p>
    <w:p>
      <w:pPr>
        <w:pStyle w:val="FirstParagraph"/>
      </w:pPr>
      <w:r>
        <w:rPr>
          <w:bCs/>
          <w:b/>
        </w:rPr>
        <w:t xml:space="preserve">Kanji Indexes</w:t>
      </w:r>
    </w:p>
    <w:p>
      <w:pPr>
        <w:numPr>
          <w:ilvl w:val="0"/>
          <w:numId w:val="1005"/>
        </w:numPr>
      </w:pPr>
      <w:r>
        <w:t xml:space="preserve">Masamune Atsuo (ed.),</w:t>
      </w:r>
      <w:r>
        <w:t xml:space="preserve"> </w:t>
      </w:r>
      <w:r>
        <w:rPr>
          <w:iCs/>
          <w:i/>
        </w:rPr>
        <w:t xml:space="preserve">Ruiju Myōgishō, Vol. 2: Kanji Index &amp; Kana Index</w:t>
      </w:r>
      <w:r>
        <w:t xml:space="preserve">, Kazama Shobō, 1955.</w:t>
      </w:r>
    </w:p>
    <w:p>
      <w:pPr>
        <w:numPr>
          <w:ilvl w:val="0"/>
          <w:numId w:val="1005"/>
        </w:numPr>
      </w:pPr>
      <w:r>
        <w:t xml:space="preserve">Nagashima Toyotarō (ed.),</w:t>
      </w:r>
      <w:r>
        <w:t xml:space="preserve"> </w:t>
      </w:r>
      <w:r>
        <w:rPr>
          <w:iCs/>
          <w:i/>
        </w:rPr>
        <w:t xml:space="preserve">Composite Index to Old Character Dictionaries</w:t>
      </w:r>
      <w:r>
        <w:t xml:space="preserve"> </w:t>
      </w:r>
      <w:r>
        <w:t xml:space="preserve">(2 vols.), Nihon Koten Zenshū Kankōkai, 1958–1959.</w:t>
      </w:r>
    </w:p>
    <w:p>
      <w:pPr>
        <w:pStyle w:val="FirstParagraph"/>
      </w:pPr>
      <w:r>
        <w:rPr>
          <w:bCs/>
          <w:b/>
        </w:rPr>
        <w:t xml:space="preserve">Wakun (Japanese Reading) Indexes</w:t>
      </w:r>
    </w:p>
    <w:p>
      <w:pPr>
        <w:numPr>
          <w:ilvl w:val="0"/>
          <w:numId w:val="1006"/>
        </w:numPr>
      </w:pPr>
      <w:r>
        <w:t xml:space="preserve">Masamune Atsuo (ed.),</w:t>
      </w:r>
      <w:r>
        <w:t xml:space="preserve"> </w:t>
      </w:r>
      <w:r>
        <w:rPr>
          <w:iCs/>
          <w:i/>
        </w:rPr>
        <w:t xml:space="preserve">Ruiju Myōgishō: Kana Index</w:t>
      </w:r>
      <w:r>
        <w:t xml:space="preserve">, Nihon Koten Zenshū Kankōkai, 1939–1940. Available via the National Diet Library Digital Collections.</w:t>
      </w:r>
    </w:p>
    <w:p>
      <w:pPr>
        <w:numPr>
          <w:ilvl w:val="0"/>
          <w:numId w:val="1006"/>
        </w:numPr>
      </w:pPr>
      <w:r>
        <w:t xml:space="preserve">Masamune Atsuo (ed.),</w:t>
      </w:r>
      <w:r>
        <w:t xml:space="preserve"> </w:t>
      </w:r>
      <w:r>
        <w:rPr>
          <w:iCs/>
          <w:i/>
        </w:rPr>
        <w:t xml:space="preserve">Ruiju Myōgishō, Vol. 2: Kanji Index &amp; Kana Index</w:t>
      </w:r>
      <w:r>
        <w:t xml:space="preserve">, Kazama Shobō, 1955.</w:t>
      </w:r>
    </w:p>
    <w:p>
      <w:pPr>
        <w:numPr>
          <w:ilvl w:val="0"/>
          <w:numId w:val="1006"/>
        </w:numPr>
      </w:pPr>
      <w:r>
        <w:t xml:space="preserve">Mochizuki Ikuko (ed.),</w:t>
      </w:r>
      <w:r>
        <w:t xml:space="preserve"> </w:t>
      </w:r>
      <w:r>
        <w:rPr>
          <w:iCs/>
          <w:i/>
        </w:rPr>
        <w:t xml:space="preserve">Ruiju Myōgishō: Compilation of Japanese Readings with Four Types of Accent Marks</w:t>
      </w:r>
      <w:r>
        <w:t xml:space="preserve"> </w:t>
      </w:r>
      <w:r>
        <w:t xml:space="preserve">(</w:t>
      </w:r>
      <w:r>
        <w:rPr>
          <w:iCs/>
          <w:i/>
        </w:rPr>
        <w:t xml:space="preserve">Kasama Index Series</w:t>
      </w:r>
      <w:r>
        <w:t xml:space="preserve">, No. 44), Kasama Shoin, 1974. Available via the National Institute of Japanese Literature Academic Repository.</w:t>
      </w:r>
    </w:p>
    <w:p>
      <w:pPr>
        <w:numPr>
          <w:ilvl w:val="0"/>
          <w:numId w:val="1006"/>
        </w:numPr>
      </w:pPr>
      <w:r>
        <w:t xml:space="preserve">Kusakawa Noboru (ed.),</w:t>
      </w:r>
      <w:r>
        <w:t xml:space="preserve"> </w:t>
      </w:r>
      <w:r>
        <w:rPr>
          <w:iCs/>
          <w:i/>
        </w:rPr>
        <w:t xml:space="preserve">Collected Japanese Readings from Five Editions of Ruiju Myōgishō</w:t>
      </w:r>
      <w:r>
        <w:t xml:space="preserve">, Kyūko Shoin, 2000.</w:t>
      </w:r>
    </w:p>
    <w:p>
      <w:pPr>
        <w:numPr>
          <w:ilvl w:val="0"/>
          <w:numId w:val="1006"/>
        </w:numPr>
      </w:pPr>
      <w:r>
        <w:t xml:space="preserve">Kurashima Tokihisa (ed.),</w:t>
      </w:r>
      <w:r>
        <w:t xml:space="preserve"> </w:t>
      </w:r>
      <w:r>
        <w:rPr>
          <w:iCs/>
          <w:i/>
        </w:rPr>
        <w:t xml:space="preserve">Wakun Index to the Hōbodai-in Edition of Ruiju Myōgishō</w:t>
      </w:r>
      <w:r>
        <w:t xml:space="preserve">, Taishō University Press, 2006.</w:t>
      </w:r>
    </w:p>
    <w:bookmarkEnd w:id="41"/>
    <w:bookmarkStart w:id="42" w:name="Xabe5b459a64f577da91bdd2daee0e796f404d6f"/>
    <w:p>
      <w:pPr>
        <w:pStyle w:val="Heading2"/>
      </w:pPr>
      <w:r>
        <w:rPr>
          <w:rStyle w:val="SectionNumber"/>
        </w:rPr>
        <w:t xml:space="preserve">1.10</w:t>
      </w:r>
      <w:r>
        <w:tab/>
      </w:r>
      <w:r>
        <w:t xml:space="preserve">References</w:t>
      </w:r>
    </w:p>
    <w:p>
      <w:pPr>
        <w:pStyle w:val="FirstParagraph"/>
      </w:pPr>
      <w:r>
        <w:t xml:space="preserve">While there are numerous references, the following list focuses on works related to bibliographical studies and source research, presented in chronological order of publication.</w:t>
      </w:r>
    </w:p>
    <w:p>
      <w:pPr>
        <w:pStyle w:val="BodyText"/>
      </w:pPr>
      <w:r>
        <w:t xml:space="preserve">Note that the first and last page numbers of each source have been omitted. Additionally, due to the large number of articles by KOBAYASHI Kyoji regarding</w:t>
      </w:r>
      <w:r>
        <w:t xml:space="preserve"> </w:t>
      </w:r>
      <w:r>
        <w:t xml:space="preserve">“</w:t>
      </w:r>
      <w:r>
        <w:t xml:space="preserve">Additions and Omissions in the Sainenji Manuscript of the</w:t>
      </w:r>
      <w:r>
        <w:t xml:space="preserve"> </w:t>
      </w:r>
      <w:r>
        <w:rPr>
          <w:iCs/>
          <w:i/>
        </w:rPr>
        <w:t xml:space="preserve">Ruiju Myōgishō</w:t>
      </w:r>
      <w:r>
        <w:t xml:space="preserve">,</w:t>
      </w:r>
      <w:r>
        <w:t xml:space="preserve">”</w:t>
      </w:r>
      <w:r>
        <w:t xml:space="preserve"> </w:t>
      </w:r>
      <w:r>
        <w:t xml:space="preserve">only the earliest and most recent ones are included here.</w:t>
      </w:r>
    </w:p>
    <w:p>
      <w:pPr>
        <w:pStyle w:val="BodyText"/>
      </w:pPr>
      <w:r>
        <w:t xml:space="preserve">This list is currently under development, and therefore may not yet include some works that should be listed.</w:t>
      </w:r>
    </w:p>
    <w:p>
      <w:pPr>
        <w:numPr>
          <w:ilvl w:val="0"/>
          <w:numId w:val="1007"/>
        </w:numPr>
        <w:pStyle w:val="Compact"/>
      </w:pPr>
      <w:r>
        <w:rPr>
          <w:bCs/>
          <w:b/>
        </w:rPr>
        <w:t xml:space="preserve">Fukuda, Yoshikazu (1971)</w:t>
      </w:r>
    </w:p>
    <w:p>
      <w:pPr>
        <w:numPr>
          <w:ilvl w:val="1"/>
          <w:numId w:val="1008"/>
        </w:numPr>
        <w:pStyle w:val="Compact"/>
      </w:pPr>
      <w:r>
        <w:t xml:space="preserve">Fukuda, Yoshikazu.</w:t>
      </w:r>
      <w:r>
        <w:t xml:space="preserve"> </w:t>
      </w:r>
      <w:r>
        <w:t xml:space="preserve">“</w:t>
      </w:r>
      <w:r>
        <w:t xml:space="preserve">Kojisho ni okeru Bushu Hairetsu no Kijun (Jō):</w:t>
      </w:r>
      <w:r>
        <w:t xml:space="preserve"> </w:t>
      </w:r>
      <w:r>
        <w:rPr>
          <w:iCs/>
          <w:i/>
        </w:rPr>
        <w:t xml:space="preserve">Shinsen Jikyō</w:t>
      </w:r>
      <w:r>
        <w:t xml:space="preserve"> </w:t>
      </w:r>
      <w:r>
        <w:t xml:space="preserve">to</w:t>
      </w:r>
      <w:r>
        <w:t xml:space="preserve"> </w:t>
      </w:r>
      <w:r>
        <w:rPr>
          <w:iCs/>
          <w:i/>
        </w:rPr>
        <w:t xml:space="preserve">Ruiju Myōgishō</w:t>
      </w:r>
      <w:r>
        <w:t xml:space="preserve">”</w:t>
      </w:r>
      <w:r>
        <w:t xml:space="preserve"> </w:t>
      </w:r>
      <w:r>
        <w:t xml:space="preserve">(Standards for Radical Arrangement in Old Dictionaries (Part 1):</w:t>
      </w:r>
      <w:r>
        <w:t xml:space="preserve"> </w:t>
      </w:r>
      <w:r>
        <w:rPr>
          <w:iCs/>
          <w:i/>
        </w:rPr>
        <w:t xml:space="preserve">Shinsen Jikyō</w:t>
      </w:r>
      <w:r>
        <w:t xml:space="preserve"> </w:t>
      </w:r>
      <w:r>
        <w:t xml:space="preserve">and</w:t>
      </w:r>
      <w:r>
        <w:t xml:space="preserve"> </w:t>
      </w:r>
      <w:r>
        <w:rPr>
          <w:iCs/>
          <w:i/>
        </w:rPr>
        <w:t xml:space="preserve">Ruiju Myōgishō</w:t>
      </w:r>
      <w:r>
        <w:t xml:space="preserve">).</w:t>
      </w:r>
      <w:r>
        <w:t xml:space="preserve"> </w:t>
      </w:r>
      <w:r>
        <w:rPr>
          <w:iCs/>
          <w:i/>
        </w:rPr>
        <w:t xml:space="preserve">Nagasaki Daigaku Kyōyōbu Kiyō: Jinbun Kagaku Hen</w:t>
      </w:r>
      <w:r>
        <w:t xml:space="preserve"> </w:t>
      </w:r>
      <w:r>
        <w:t xml:space="preserve">12 (1971): 1–9.</w:t>
      </w:r>
    </w:p>
    <w:p>
      <w:pPr>
        <w:numPr>
          <w:ilvl w:val="0"/>
          <w:numId w:val="1007"/>
        </w:numPr>
        <w:pStyle w:val="Compact"/>
      </w:pPr>
      <w:r>
        <w:rPr>
          <w:bCs/>
          <w:b/>
        </w:rPr>
        <w:t xml:space="preserve">Fukuda, Yoshikazu (1972)</w:t>
      </w:r>
    </w:p>
    <w:p>
      <w:pPr>
        <w:numPr>
          <w:ilvl w:val="1"/>
          <w:numId w:val="1009"/>
        </w:numPr>
        <w:pStyle w:val="Compact"/>
      </w:pPr>
      <w:r>
        <w:t xml:space="preserve">Fukuda, Yoshikazu.</w:t>
      </w:r>
      <w:r>
        <w:t xml:space="preserve"> </w:t>
      </w:r>
      <w:r>
        <w:t xml:space="preserve">“</w:t>
      </w:r>
      <w:r>
        <w:t xml:space="preserve">Kojisho ni okeru Bushu Hairetsu no Kijun (Ge):</w:t>
      </w:r>
      <w:r>
        <w:t xml:space="preserve"> </w:t>
      </w:r>
      <w:r>
        <w:rPr>
          <w:iCs/>
          <w:i/>
        </w:rPr>
        <w:t xml:space="preserve">Shinsen Jikyō</w:t>
      </w:r>
      <w:r>
        <w:t xml:space="preserve"> </w:t>
      </w:r>
      <w:r>
        <w:t xml:space="preserve">to</w:t>
      </w:r>
      <w:r>
        <w:t xml:space="preserve"> </w:t>
      </w:r>
      <w:r>
        <w:rPr>
          <w:iCs/>
          <w:i/>
        </w:rPr>
        <w:t xml:space="preserve">Ruiju Myōgishō</w:t>
      </w:r>
      <w:r>
        <w:t xml:space="preserve">”</w:t>
      </w:r>
      <w:r>
        <w:t xml:space="preserve"> </w:t>
      </w:r>
      <w:r>
        <w:t xml:space="preserve">(Standards for Radical Arrangement in Old Dictionaries (Part 2):</w:t>
      </w:r>
      <w:r>
        <w:t xml:space="preserve"> </w:t>
      </w:r>
      <w:r>
        <w:rPr>
          <w:iCs/>
          <w:i/>
        </w:rPr>
        <w:t xml:space="preserve">Shinsen Jikyō</w:t>
      </w:r>
      <w:r>
        <w:t xml:space="preserve"> </w:t>
      </w:r>
      <w:r>
        <w:t xml:space="preserve">and</w:t>
      </w:r>
      <w:r>
        <w:t xml:space="preserve"> </w:t>
      </w:r>
      <w:r>
        <w:rPr>
          <w:iCs/>
          <w:i/>
        </w:rPr>
        <w:t xml:space="preserve">Ruiju Myōgishō</w:t>
      </w:r>
      <w:r>
        <w:t xml:space="preserve">).</w:t>
      </w:r>
      <w:r>
        <w:t xml:space="preserve"> </w:t>
      </w:r>
      <w:r>
        <w:rPr>
          <w:iCs/>
          <w:i/>
        </w:rPr>
        <w:t xml:space="preserve">Nagasaki Daigaku Kyōyōbu Kiyō: Jinbun Kagaku Hen</w:t>
      </w:r>
      <w:r>
        <w:t xml:space="preserve"> </w:t>
      </w:r>
      <w:r>
        <w:t xml:space="preserve">13 (1972): 1–10.</w:t>
      </w:r>
    </w:p>
    <w:p>
      <w:pPr>
        <w:numPr>
          <w:ilvl w:val="0"/>
          <w:numId w:val="1007"/>
        </w:numPr>
        <w:pStyle w:val="Compact"/>
      </w:pPr>
      <w:r>
        <w:rPr>
          <w:bCs/>
          <w:b/>
        </w:rPr>
        <w:t xml:space="preserve">Funaki, Shuntarō (2007)</w:t>
      </w:r>
    </w:p>
    <w:p>
      <w:pPr>
        <w:numPr>
          <w:ilvl w:val="1"/>
          <w:numId w:val="1010"/>
        </w:numPr>
        <w:pStyle w:val="Compact"/>
      </w:pPr>
      <w:r>
        <w:t xml:space="preserve">Funaki, Shuntarō.</w:t>
      </w:r>
      <w:r>
        <w:t xml:space="preserve"> </w:t>
      </w:r>
      <w:r>
        <w:t xml:space="preserve">“</w:t>
      </w:r>
      <w:r>
        <w:rPr>
          <w:iCs/>
          <w:i/>
        </w:rPr>
        <w:t xml:space="preserve">Hakushi Bunshū</w:t>
      </w:r>
      <w:r>
        <w:t xml:space="preserve"> </w:t>
      </w:r>
      <w:r>
        <w:t xml:space="preserve">to</w:t>
      </w:r>
      <w:r>
        <w:t xml:space="preserve"> </w:t>
      </w:r>
      <w:r>
        <w:rPr>
          <w:iCs/>
          <w:i/>
        </w:rPr>
        <w:t xml:space="preserve">Iroha Jiruishō</w:t>
      </w:r>
      <w:r>
        <w:t xml:space="preserve">”</w:t>
      </w:r>
      <w:r>
        <w:t xml:space="preserve"> </w:t>
      </w:r>
      <w:r>
        <w:t xml:space="preserve">(</w:t>
      </w:r>
      <w:r>
        <w:rPr>
          <w:iCs/>
          <w:i/>
        </w:rPr>
        <w:t xml:space="preserve">Báishì Wénjí</w:t>
      </w:r>
      <w:r>
        <w:t xml:space="preserve"> </w:t>
      </w:r>
      <w:r>
        <w:t xml:space="preserve">and</w:t>
      </w:r>
      <w:r>
        <w:t xml:space="preserve"> </w:t>
      </w:r>
      <w:r>
        <w:rPr>
          <w:iCs/>
          <w:i/>
        </w:rPr>
        <w:t xml:space="preserve">Iroha Jiruishō</w:t>
      </w:r>
      <w:r>
        <w:t xml:space="preserve">).</w:t>
      </w:r>
      <w:r>
        <w:t xml:space="preserve"> </w:t>
      </w:r>
      <w:r>
        <w:rPr>
          <w:iCs/>
          <w:i/>
        </w:rPr>
        <w:t xml:space="preserve">Jinbun Kagaku Kenkyū</w:t>
      </w:r>
      <w:r>
        <w:t xml:space="preserve"> </w:t>
      </w:r>
      <w:r>
        <w:t xml:space="preserve">121 (2007): 1–39.</w:t>
      </w:r>
    </w:p>
    <w:p>
      <w:pPr>
        <w:numPr>
          <w:ilvl w:val="0"/>
          <w:numId w:val="1007"/>
        </w:numPr>
        <w:pStyle w:val="Compact"/>
      </w:pPr>
      <w:r>
        <w:rPr>
          <w:bCs/>
          <w:b/>
        </w:rPr>
        <w:t xml:space="preserve">Funaki, Shuntarō (2009)</w:t>
      </w:r>
    </w:p>
    <w:p>
      <w:pPr>
        <w:numPr>
          <w:ilvl w:val="1"/>
          <w:numId w:val="1011"/>
        </w:numPr>
        <w:pStyle w:val="Compact"/>
      </w:pPr>
      <w:r>
        <w:t xml:space="preserve">Funaki, Shuntarō.</w:t>
      </w:r>
      <w:r>
        <w:t xml:space="preserve"> </w:t>
      </w:r>
      <w:r>
        <w:t xml:space="preserve">“</w:t>
      </w:r>
      <w:r>
        <w:t xml:space="preserve">Sankanbon</w:t>
      </w:r>
      <w:r>
        <w:t xml:space="preserve"> </w:t>
      </w:r>
      <w:r>
        <w:rPr>
          <w:iCs/>
          <w:i/>
        </w:rPr>
        <w:t xml:space="preserve">Iroha Jiruishō</w:t>
      </w:r>
      <w:r>
        <w:t xml:space="preserve"> </w:t>
      </w:r>
      <w:r>
        <w:t xml:space="preserve">ni Miidasareru Tō-jidai no Hakuwago no Jukugo:</w:t>
      </w:r>
      <w:r>
        <w:t xml:space="preserve"> </w:t>
      </w:r>
      <w:r>
        <w:rPr>
          <w:iCs/>
          <w:i/>
        </w:rPr>
        <w:t xml:space="preserve">Hakushi Bunshū</w:t>
      </w:r>
      <w:r>
        <w:t xml:space="preserve"> </w:t>
      </w:r>
      <w:r>
        <w:t xml:space="preserve">kara no Sore o Chūshin ni shite</w:t>
      </w:r>
      <w:r>
        <w:t xml:space="preserve">”</w:t>
      </w:r>
      <w:r>
        <w:t xml:space="preserve"> </w:t>
      </w:r>
      <w:r>
        <w:t xml:space="preserve">(Tang Dynasty Colloquial Compounds Found in the Three-Volume</w:t>
      </w:r>
      <w:r>
        <w:t xml:space="preserve"> </w:t>
      </w:r>
      <w:r>
        <w:rPr>
          <w:iCs/>
          <w:i/>
        </w:rPr>
        <w:t xml:space="preserve">Iroha Jiruishō</w:t>
      </w:r>
      <w:r>
        <w:t xml:space="preserve">: Focusing on Those from the</w:t>
      </w:r>
      <w:r>
        <w:t xml:space="preserve"> </w:t>
      </w:r>
      <w:r>
        <w:rPr>
          <w:iCs/>
          <w:i/>
        </w:rPr>
        <w:t xml:space="preserve">Báishì Wénjí</w:t>
      </w:r>
      <w:r>
        <w:t xml:space="preserve">).</w:t>
      </w:r>
      <w:r>
        <w:t xml:space="preserve"> </w:t>
      </w:r>
      <w:r>
        <w:rPr>
          <w:iCs/>
          <w:i/>
        </w:rPr>
        <w:t xml:space="preserve">Jinbun Kagaku Kenkyū</w:t>
      </w:r>
      <w:r>
        <w:t xml:space="preserve"> </w:t>
      </w:r>
      <w:r>
        <w:t xml:space="preserve">125 (2009): 101–140.</w:t>
      </w:r>
    </w:p>
    <w:p>
      <w:pPr>
        <w:numPr>
          <w:ilvl w:val="0"/>
          <w:numId w:val="1007"/>
        </w:numPr>
        <w:pStyle w:val="Compact"/>
      </w:pPr>
      <w:r>
        <w:rPr>
          <w:bCs/>
          <w:b/>
        </w:rPr>
        <w:t xml:space="preserve">Hagihara, Yoshio (2019)</w:t>
      </w:r>
    </w:p>
    <w:p>
      <w:pPr>
        <w:numPr>
          <w:ilvl w:val="1"/>
          <w:numId w:val="1012"/>
        </w:numPr>
        <w:pStyle w:val="Compact"/>
      </w:pPr>
      <w:r>
        <w:t xml:space="preserve">Hagihara, Yoshio.</w:t>
      </w:r>
      <w:r>
        <w:t xml:space="preserve"> </w:t>
      </w:r>
      <w:r>
        <w:t xml:space="preserve">“</w:t>
      </w:r>
      <w:r>
        <w:t xml:space="preserve">Kanchi-in bon</w:t>
      </w:r>
      <w:r>
        <w:t xml:space="preserve"> </w:t>
      </w:r>
      <w:r>
        <w:rPr>
          <w:iCs/>
          <w:i/>
        </w:rPr>
        <w:t xml:space="preserve">Ruiju Myōgishō</w:t>
      </w:r>
      <w:r>
        <w:t xml:space="preserve"> </w:t>
      </w:r>
      <w:r>
        <w:t xml:space="preserve">Wakun Goi kara Kaimamita Kotoba no Unkō</w:t>
      </w:r>
      <w:r>
        <w:t xml:space="preserve">”</w:t>
      </w:r>
      <w:r>
        <w:t xml:space="preserve"> </w:t>
      </w:r>
      <w:r>
        <w:t xml:space="preserve">(Glimpses of Language Use Seen from the Wakun Vocabulary of the Kanchi-in Manuscript</w:t>
      </w:r>
      <w:r>
        <w:t xml:space="preserve"> </w:t>
      </w:r>
      <w:r>
        <w:rPr>
          <w:iCs/>
          <w:i/>
        </w:rPr>
        <w:t xml:space="preserve">Ruiju Myōgishō</w:t>
      </w:r>
      <w:r>
        <w:t xml:space="preserve">).</w:t>
      </w:r>
      <w:r>
        <w:t xml:space="preserve"> </w:t>
      </w:r>
      <w:r>
        <w:rPr>
          <w:iCs/>
          <w:i/>
        </w:rPr>
        <w:t xml:space="preserve">Komazawa Nihon Bunka</w:t>
      </w:r>
      <w:r>
        <w:t xml:space="preserve"> </w:t>
      </w:r>
      <w:r>
        <w:t xml:space="preserve">13 (2019): 1–69.</w:t>
      </w:r>
    </w:p>
    <w:p>
      <w:pPr>
        <w:numPr>
          <w:ilvl w:val="0"/>
          <w:numId w:val="1007"/>
        </w:numPr>
        <w:pStyle w:val="Compact"/>
      </w:pPr>
      <w:r>
        <w:rPr>
          <w:bCs/>
          <w:b/>
        </w:rPr>
        <w:t xml:space="preserve">Hara, Takashi, and Yamamoto Hideto (1983)</w:t>
      </w:r>
    </w:p>
    <w:p>
      <w:pPr>
        <w:numPr>
          <w:ilvl w:val="1"/>
          <w:numId w:val="1013"/>
        </w:numPr>
        <w:pStyle w:val="Compact"/>
      </w:pPr>
      <w:r>
        <w:t xml:space="preserve">Hara, Takashi, and Yamamoto Hideto.</w:t>
      </w:r>
      <w:r>
        <w:t xml:space="preserve"> </w:t>
      </w:r>
      <w:r>
        <w:t xml:space="preserve">“</w:t>
      </w:r>
      <w:r>
        <w:t xml:space="preserve">Zushoryōbon</w:t>
      </w:r>
      <w:r>
        <w:t xml:space="preserve"> </w:t>
      </w:r>
      <w:r>
        <w:rPr>
          <w:iCs/>
          <w:i/>
        </w:rPr>
        <w:t xml:space="preserve">Ruiju Myōgishō</w:t>
      </w:r>
      <w:r>
        <w:t xml:space="preserve"> </w:t>
      </w:r>
      <w:r>
        <w:t xml:space="preserve">ni okeru</w:t>
      </w:r>
      <w:r>
        <w:t xml:space="preserve"> </w:t>
      </w:r>
      <w:r>
        <w:rPr>
          <w:iCs/>
          <w:i/>
        </w:rPr>
        <w:t xml:space="preserve">Gen’ō Issaikyō Ongi</w:t>
      </w:r>
      <w:r>
        <w:t xml:space="preserve"> </w:t>
      </w:r>
      <w:r>
        <w:t xml:space="preserve">In’yō no Taido ni tsuite</w:t>
      </w:r>
      <w:r>
        <w:t xml:space="preserve">”</w:t>
      </w:r>
      <w:r>
        <w:t xml:space="preserve"> </w:t>
      </w:r>
      <w:r>
        <w:t xml:space="preserve">(On the Approach to Citing</w:t>
      </w:r>
      <w:r>
        <w:t xml:space="preserve"> </w:t>
      </w:r>
      <w:r>
        <w:rPr>
          <w:iCs/>
          <w:i/>
        </w:rPr>
        <w:t xml:space="preserve">Xuán Yìng Yīqièjīng Yīnyì</w:t>
      </w:r>
      <w:r>
        <w:t xml:space="preserve"> </w:t>
      </w:r>
      <w:r>
        <w:t xml:space="preserve">in the Zushoryōbon</w:t>
      </w:r>
      <w:r>
        <w:t xml:space="preserve"> </w:t>
      </w:r>
      <w:r>
        <w:rPr>
          <w:iCs/>
          <w:i/>
        </w:rPr>
        <w:t xml:space="preserve">Ruiju Myōgishō</w:t>
      </w:r>
      <w:r>
        <w:t xml:space="preserve">).</w:t>
      </w:r>
      <w:r>
        <w:t xml:space="preserve"> </w:t>
      </w:r>
      <w:r>
        <w:rPr>
          <w:iCs/>
          <w:i/>
        </w:rPr>
        <w:t xml:space="preserve">Kamakura Jidaigo Kenkyū</w:t>
      </w:r>
      <w:r>
        <w:t xml:space="preserve">, no. 6 (1983): 124–179.</w:t>
      </w:r>
    </w:p>
    <w:p>
      <w:pPr>
        <w:numPr>
          <w:ilvl w:val="0"/>
          <w:numId w:val="1007"/>
        </w:numPr>
        <w:pStyle w:val="Compact"/>
      </w:pPr>
      <w:r>
        <w:rPr>
          <w:bCs/>
          <w:b/>
        </w:rPr>
        <w:t xml:space="preserve">Ikeda, Shōju (1991)</w:t>
      </w:r>
    </w:p>
    <w:p>
      <w:pPr>
        <w:numPr>
          <w:ilvl w:val="1"/>
          <w:numId w:val="1014"/>
        </w:numPr>
        <w:pStyle w:val="Compact"/>
      </w:pPr>
      <w:r>
        <w:t xml:space="preserve">Ikeda, Shōju.</w:t>
      </w:r>
      <w:r>
        <w:t xml:space="preserve"> </w:t>
      </w:r>
      <w:r>
        <w:t xml:space="preserve">“</w:t>
      </w:r>
      <w:r>
        <w:t xml:space="preserve">Zushoryōbon</w:t>
      </w:r>
      <w:r>
        <w:t xml:space="preserve"> </w:t>
      </w:r>
      <w:r>
        <w:rPr>
          <w:iCs/>
          <w:i/>
        </w:rPr>
        <w:t xml:space="preserve">Ruiju Myōgishō</w:t>
      </w:r>
      <w:r>
        <w:t xml:space="preserve"> </w:t>
      </w:r>
      <w:r>
        <w:t xml:space="preserve">to</w:t>
      </w:r>
      <w:r>
        <w:t xml:space="preserve"> </w:t>
      </w:r>
      <w:r>
        <w:rPr>
          <w:iCs/>
          <w:i/>
        </w:rPr>
        <w:t xml:space="preserve">Gen’ō Ongi</w:t>
      </w:r>
      <w:r>
        <w:t xml:space="preserve"> </w:t>
      </w:r>
      <w:r>
        <w:t xml:space="preserve">to no Kankei ni tsuite</w:t>
      </w:r>
      <w:r>
        <w:t xml:space="preserve">”</w:t>
      </w:r>
      <w:r>
        <w:t xml:space="preserve"> </w:t>
      </w:r>
      <w:r>
        <w:t xml:space="preserve">(On the Relationship Between the Zushoryōbon</w:t>
      </w:r>
      <w:r>
        <w:t xml:space="preserve"> </w:t>
      </w:r>
      <w:r>
        <w:rPr>
          <w:iCs/>
          <w:i/>
        </w:rPr>
        <w:t xml:space="preserve">Ruiju Myōgishō</w:t>
      </w:r>
      <w:r>
        <w:t xml:space="preserve"> </w:t>
      </w:r>
      <w:r>
        <w:t xml:space="preserve">and the</w:t>
      </w:r>
      <w:r>
        <w:t xml:space="preserve"> </w:t>
      </w:r>
      <w:r>
        <w:rPr>
          <w:iCs/>
          <w:i/>
        </w:rPr>
        <w:t xml:space="preserve">Xuán Yìng Yīnyì</w:t>
      </w:r>
      <w:r>
        <w:t xml:space="preserve"> </w:t>
      </w:r>
      <w:r>
        <w:t xml:space="preserve">[Xuan Ying’s Phonetic and Semantic Glosses]).</w:t>
      </w:r>
      <w:r>
        <w:t xml:space="preserve"> </w:t>
      </w:r>
      <w:r>
        <w:rPr>
          <w:iCs/>
          <w:i/>
        </w:rPr>
        <w:t xml:space="preserve">Kokugo Kokubun Kenkyū</w:t>
      </w:r>
      <w:r>
        <w:t xml:space="preserve"> </w:t>
      </w:r>
      <w:r>
        <w:t xml:space="preserve">88 (1991): 15–32.</w:t>
      </w:r>
    </w:p>
    <w:p>
      <w:pPr>
        <w:numPr>
          <w:ilvl w:val="0"/>
          <w:numId w:val="1007"/>
        </w:numPr>
        <w:pStyle w:val="Compact"/>
      </w:pPr>
      <w:r>
        <w:rPr>
          <w:bCs/>
          <w:b/>
        </w:rPr>
        <w:t xml:space="preserve">Ikeda, Shōju (1993)</w:t>
      </w:r>
    </w:p>
    <w:p>
      <w:pPr>
        <w:numPr>
          <w:ilvl w:val="1"/>
          <w:numId w:val="1015"/>
        </w:numPr>
        <w:pStyle w:val="Compact"/>
      </w:pPr>
      <w:r>
        <w:t xml:space="preserve">Ikeda, Shōju.</w:t>
      </w:r>
      <w:r>
        <w:t xml:space="preserve"> </w:t>
      </w:r>
      <w:r>
        <w:t xml:space="preserve">“</w:t>
      </w:r>
      <w:r>
        <w:t xml:space="preserve">Zushoryōbon</w:t>
      </w:r>
      <w:r>
        <w:t xml:space="preserve"> </w:t>
      </w:r>
      <w:r>
        <w:rPr>
          <w:iCs/>
          <w:i/>
        </w:rPr>
        <w:t xml:space="preserve">Ruiju Myōgishō</w:t>
      </w:r>
      <w:r>
        <w:t xml:space="preserve"> </w:t>
      </w:r>
      <w:r>
        <w:t xml:space="preserve">no Tanji Jishoteki Seikaku</w:t>
      </w:r>
      <w:r>
        <w:t xml:space="preserve">”</w:t>
      </w:r>
      <w:r>
        <w:t xml:space="preserve"> </w:t>
      </w:r>
      <w:r>
        <w:t xml:space="preserve">(The Single-Character Dictionary-like Nature of the Zushoryōbon</w:t>
      </w:r>
      <w:r>
        <w:t xml:space="preserve"> </w:t>
      </w:r>
      <w:r>
        <w:rPr>
          <w:iCs/>
          <w:i/>
        </w:rPr>
        <w:t xml:space="preserve">Ruiju Myōgishō</w:t>
      </w:r>
      <w:r>
        <w:t xml:space="preserve">).</w:t>
      </w:r>
      <w:r>
        <w:t xml:space="preserve"> </w:t>
      </w:r>
      <w:r>
        <w:rPr>
          <w:iCs/>
          <w:i/>
        </w:rPr>
        <w:t xml:space="preserve">Kokugo Kokubun Kenkyū</w:t>
      </w:r>
      <w:r>
        <w:t xml:space="preserve"> </w:t>
      </w:r>
      <w:r>
        <w:t xml:space="preserve">94 (1993): 1–14.</w:t>
      </w:r>
    </w:p>
    <w:p>
      <w:pPr>
        <w:numPr>
          <w:ilvl w:val="0"/>
          <w:numId w:val="1007"/>
        </w:numPr>
        <w:pStyle w:val="Compact"/>
      </w:pPr>
      <w:r>
        <w:rPr>
          <w:bCs/>
          <w:b/>
        </w:rPr>
        <w:t xml:space="preserve">Ikeda, Shōju (1995)</w:t>
      </w:r>
    </w:p>
    <w:p>
      <w:pPr>
        <w:numPr>
          <w:ilvl w:val="1"/>
          <w:numId w:val="1016"/>
        </w:numPr>
        <w:pStyle w:val="Compact"/>
      </w:pPr>
      <w:r>
        <w:t xml:space="preserve">Ikeda, Shōju.</w:t>
      </w:r>
      <w:r>
        <w:t xml:space="preserve"> </w:t>
      </w:r>
      <w:r>
        <w:t xml:space="preserve">“</w:t>
      </w:r>
      <w:r>
        <w:t xml:space="preserve">Zushoryōbon</w:t>
      </w:r>
      <w:r>
        <w:t xml:space="preserve"> </w:t>
      </w:r>
      <w:r>
        <w:rPr>
          <w:iCs/>
          <w:i/>
        </w:rPr>
        <w:t xml:space="preserve">Ruiju Myōgishō</w:t>
      </w:r>
      <w:r>
        <w:t xml:space="preserve"> </w:t>
      </w:r>
      <w:r>
        <w:t xml:space="preserve">to</w:t>
      </w:r>
      <w:r>
        <w:t xml:space="preserve"> </w:t>
      </w:r>
      <w:r>
        <w:rPr>
          <w:iCs/>
          <w:i/>
        </w:rPr>
        <w:t xml:space="preserve">Ruionketsu</w:t>
      </w:r>
      <w:r>
        <w:t xml:space="preserve">”</w:t>
      </w:r>
      <w:r>
        <w:t xml:space="preserve"> </w:t>
      </w:r>
      <w:r>
        <w:t xml:space="preserve">(The Zushoryōbon</w:t>
      </w:r>
      <w:r>
        <w:t xml:space="preserve"> </w:t>
      </w:r>
      <w:r>
        <w:rPr>
          <w:iCs/>
          <w:i/>
        </w:rPr>
        <w:t xml:space="preserve">Ruiju Myōgishō</w:t>
      </w:r>
      <w:r>
        <w:t xml:space="preserve"> </w:t>
      </w:r>
      <w:r>
        <w:t xml:space="preserve">and the</w:t>
      </w:r>
      <w:r>
        <w:t xml:space="preserve"> </w:t>
      </w:r>
      <w:r>
        <w:rPr>
          <w:iCs/>
          <w:i/>
        </w:rPr>
        <w:t xml:space="preserve">Lèi Yīn Jué</w:t>
      </w:r>
      <w:r>
        <w:t xml:space="preserve">).</w:t>
      </w:r>
      <w:r>
        <w:t xml:space="preserve"> </w:t>
      </w:r>
      <w:r>
        <w:rPr>
          <w:iCs/>
          <w:i/>
        </w:rPr>
        <w:t xml:space="preserve">Kuntengo to Kunten Shiryō</w:t>
      </w:r>
      <w:r>
        <w:t xml:space="preserve"> </w:t>
      </w:r>
      <w:r>
        <w:t xml:space="preserve">96 (1995): 26–37.</w:t>
      </w:r>
    </w:p>
    <w:p>
      <w:pPr>
        <w:numPr>
          <w:ilvl w:val="0"/>
          <w:numId w:val="1007"/>
        </w:numPr>
        <w:pStyle w:val="Compact"/>
      </w:pPr>
      <w:r>
        <w:rPr>
          <w:bCs/>
          <w:b/>
        </w:rPr>
        <w:t xml:space="preserve">Ikeda, Shōju et al. (2020)</w:t>
      </w:r>
    </w:p>
    <w:p>
      <w:pPr>
        <w:numPr>
          <w:ilvl w:val="1"/>
          <w:numId w:val="1017"/>
        </w:numPr>
        <w:pStyle w:val="Compact"/>
      </w:pPr>
      <w:r>
        <w:t xml:space="preserve">Ikeda, Shōju, Liú Guānwěi, Jung Munho, Zhāng Xīnfāng, and Lǐ Yuán.</w:t>
      </w:r>
      <w:r>
        <w:t xml:space="preserve"> </w:t>
      </w:r>
      <w:r>
        <w:t xml:space="preserve">“</w:t>
      </w:r>
      <w:r>
        <w:t xml:space="preserve">Kanchi-in bon</w:t>
      </w:r>
      <w:r>
        <w:t xml:space="preserve"> </w:t>
      </w:r>
      <w:r>
        <w:rPr>
          <w:iCs/>
          <w:i/>
        </w:rPr>
        <w:t xml:space="preserve">Ruiju Myōgishō</w:t>
      </w:r>
      <w:r>
        <w:t xml:space="preserve"> </w:t>
      </w:r>
      <w:r>
        <w:t xml:space="preserve">Zenbun Tekisuto Dētabēsu: Sono Kōchiku Hōhō to Keishutsu Kōmokusu-tō no Keiryō</w:t>
      </w:r>
      <w:r>
        <w:t xml:space="preserve">”</w:t>
      </w:r>
      <w:r>
        <w:t xml:space="preserve"> </w:t>
      </w:r>
      <w:r>
        <w:t xml:space="preserve">(A Full-Text Database of the Kanchi-in Manuscript</w:t>
      </w:r>
      <w:r>
        <w:t xml:space="preserve"> </w:t>
      </w:r>
      <w:r>
        <w:rPr>
          <w:iCs/>
          <w:i/>
        </w:rPr>
        <w:t xml:space="preserve">Ruiju Myōgishō</w:t>
      </w:r>
      <w:r>
        <w:t xml:space="preserve">: Its Construction Method and Quantitative Measurement of Headwords, etc.).</w:t>
      </w:r>
      <w:r>
        <w:t xml:space="preserve"> </w:t>
      </w:r>
      <w:r>
        <w:rPr>
          <w:iCs/>
          <w:i/>
        </w:rPr>
        <w:t xml:space="preserve">Kuntengo to Kunten Shiryō</w:t>
      </w:r>
      <w:r>
        <w:t xml:space="preserve"> </w:t>
      </w:r>
      <w:r>
        <w:t xml:space="preserve">144 (2020): 105–129.</w:t>
      </w:r>
    </w:p>
    <w:p>
      <w:pPr>
        <w:numPr>
          <w:ilvl w:val="0"/>
          <w:numId w:val="1007"/>
        </w:numPr>
        <w:pStyle w:val="Compact"/>
      </w:pPr>
      <w:r>
        <w:rPr>
          <w:bCs/>
          <w:b/>
        </w:rPr>
        <w:t xml:space="preserve">Ikeda, Shōju et al. (2022)</w:t>
      </w:r>
    </w:p>
    <w:p>
      <w:pPr>
        <w:numPr>
          <w:ilvl w:val="1"/>
          <w:numId w:val="1018"/>
        </w:numPr>
        <w:pStyle w:val="Compact"/>
      </w:pPr>
      <w:r>
        <w:t xml:space="preserve">Ikeda, Shōju, Lǐ Yuán, Liú Guānwěi, and Jung Munho.</w:t>
      </w:r>
      <w:r>
        <w:t xml:space="preserve"> </w:t>
      </w:r>
      <w:r>
        <w:t xml:space="preserve">“</w:t>
      </w:r>
      <w:r>
        <w:t xml:space="preserve">GlyphWiki ni yoru Kanchi-in bon</w:t>
      </w:r>
      <w:r>
        <w:t xml:space="preserve"> </w:t>
      </w:r>
      <w:r>
        <w:rPr>
          <w:iCs/>
          <w:i/>
        </w:rPr>
        <w:t xml:space="preserve">Ruiju Myōgishō</w:t>
      </w:r>
      <w:r>
        <w:t xml:space="preserve"> </w:t>
      </w:r>
      <w:r>
        <w:t xml:space="preserve">Jikei no Saigen to sono Kaizen</w:t>
      </w:r>
      <w:r>
        <w:t xml:space="preserve">”</w:t>
      </w:r>
      <w:r>
        <w:t xml:space="preserve"> </w:t>
      </w:r>
      <w:r>
        <w:t xml:space="preserve">(Reproduction and Improvement of Character Forms in the Kanchi-in Manuscript</w:t>
      </w:r>
      <w:r>
        <w:t xml:space="preserve"> </w:t>
      </w:r>
      <w:r>
        <w:rPr>
          <w:iCs/>
          <w:i/>
        </w:rPr>
        <w:t xml:space="preserve">Ruiju Myōgishō</w:t>
      </w:r>
      <w:r>
        <w:t xml:space="preserve"> </w:t>
      </w:r>
      <w:r>
        <w:t xml:space="preserve">Using GlyphWiki).</w:t>
      </w:r>
      <w:r>
        <w:t xml:space="preserve"> </w:t>
      </w:r>
      <w:r>
        <w:rPr>
          <w:iCs/>
          <w:i/>
        </w:rPr>
        <w:t xml:space="preserve">Jinmonkon 2022 Ronbunshū</w:t>
      </w:r>
      <w:r>
        <w:t xml:space="preserve"> </w:t>
      </w:r>
      <w:r>
        <w:t xml:space="preserve">(JINMONCOM 2022 Proceedings) (2022): 103–110.</w:t>
      </w:r>
    </w:p>
    <w:p>
      <w:pPr>
        <w:numPr>
          <w:ilvl w:val="0"/>
          <w:numId w:val="1007"/>
        </w:numPr>
        <w:pStyle w:val="Compact"/>
      </w:pPr>
      <w:r>
        <w:rPr>
          <w:bCs/>
          <w:b/>
        </w:rPr>
        <w:t xml:space="preserve">Imanishi, Hiroko (1976)</w:t>
      </w:r>
    </w:p>
    <w:p>
      <w:pPr>
        <w:numPr>
          <w:ilvl w:val="1"/>
          <w:numId w:val="1019"/>
        </w:numPr>
        <w:pStyle w:val="Compact"/>
      </w:pPr>
      <w:r>
        <w:t xml:space="preserve">Imanishi, Hiroko.</w:t>
      </w:r>
      <w:r>
        <w:t xml:space="preserve"> </w:t>
      </w:r>
      <w:r>
        <w:t xml:space="preserve">“</w:t>
      </w:r>
      <w:r>
        <w:rPr>
          <w:iCs/>
          <w:i/>
        </w:rPr>
        <w:t xml:space="preserve">Ruiju Myōgishō</w:t>
      </w:r>
      <w:r>
        <w:t xml:space="preserve">: Wakun no Hairetsu</w:t>
      </w:r>
      <w:r>
        <w:t xml:space="preserve">”</w:t>
      </w:r>
      <w:r>
        <w:t xml:space="preserve"> </w:t>
      </w:r>
      <w:r>
        <w:t xml:space="preserve">(Arrangement of</w:t>
      </w:r>
      <w:r>
        <w:t xml:space="preserve"> </w:t>
      </w:r>
      <w:r>
        <w:rPr>
          <w:iCs/>
          <w:i/>
        </w:rPr>
        <w:t xml:space="preserve">Wakun</w:t>
      </w:r>
      <w:r>
        <w:t xml:space="preserve"> </w:t>
      </w:r>
      <w:r>
        <w:t xml:space="preserve">in the</w:t>
      </w:r>
      <w:r>
        <w:t xml:space="preserve"> </w:t>
      </w:r>
      <w:r>
        <w:rPr>
          <w:iCs/>
          <w:i/>
        </w:rPr>
        <w:t xml:space="preserve">Ruiju Myōgishō</w:t>
      </w:r>
      <w:r>
        <w:t xml:space="preserve">).</w:t>
      </w:r>
      <w:r>
        <w:t xml:space="preserve"> </w:t>
      </w:r>
      <w:r>
        <w:rPr>
          <w:iCs/>
          <w:i/>
        </w:rPr>
        <w:t xml:space="preserve">Kuntengo to Kunten Shiryō</w:t>
      </w:r>
      <w:r>
        <w:t xml:space="preserve">, no. 57 (1976): 61–86.</w:t>
      </w:r>
    </w:p>
    <w:p>
      <w:pPr>
        <w:numPr>
          <w:ilvl w:val="0"/>
          <w:numId w:val="1007"/>
        </w:numPr>
        <w:pStyle w:val="Compact"/>
      </w:pPr>
      <w:r>
        <w:rPr>
          <w:bCs/>
          <w:b/>
        </w:rPr>
        <w:t xml:space="preserve">Inukai, Morimasa (1977)</w:t>
      </w:r>
    </w:p>
    <w:p>
      <w:pPr>
        <w:numPr>
          <w:ilvl w:val="1"/>
          <w:numId w:val="1020"/>
        </w:numPr>
        <w:pStyle w:val="Compact"/>
      </w:pPr>
      <w:r>
        <w:t xml:space="preserve">Inukai, Morimasa.</w:t>
      </w:r>
      <w:r>
        <w:t xml:space="preserve"> </w:t>
      </w:r>
      <w:r>
        <w:t xml:space="preserve">“</w:t>
      </w:r>
      <w:r>
        <w:rPr>
          <w:iCs/>
          <w:i/>
        </w:rPr>
        <w:t xml:space="preserve">Ruiju Myōgishō</w:t>
      </w:r>
      <w:r>
        <w:t xml:space="preserve">: Kanchi-in bon to Renjō-in bon to no</w:t>
      </w:r>
      <w:r>
        <w:t xml:space="preserve"> </w:t>
      </w:r>
      <w:r>
        <w:t xml:space="preserve">‘</w:t>
      </w:r>
      <w:r>
        <w:t xml:space="preserve">Zatsu</w:t>
      </w:r>
      <w:r>
        <w:t xml:space="preserve">’</w:t>
      </w:r>
      <w:r>
        <w:t xml:space="preserve"> </w:t>
      </w:r>
      <w:r>
        <w:t xml:space="preserve">Bu no Hikaku Taishō (Jō)</w:t>
      </w:r>
      <w:r>
        <w:t xml:space="preserve">”</w:t>
      </w:r>
      <w:r>
        <w:t xml:space="preserve"> </w:t>
      </w:r>
      <w:r>
        <w:t xml:space="preserve">(A Comparative Study of the</w:t>
      </w:r>
      <w:r>
        <w:t xml:space="preserve"> </w:t>
      </w:r>
      <w:r>
        <w:t xml:space="preserve">‘</w:t>
      </w:r>
      <w:r>
        <w:t xml:space="preserve">Miscellaneous</w:t>
      </w:r>
      <w:r>
        <w:t xml:space="preserve">’</w:t>
      </w:r>
      <w:r>
        <w:t xml:space="preserve"> </w:t>
      </w:r>
      <w:r>
        <w:t xml:space="preserve">Section of the</w:t>
      </w:r>
      <w:r>
        <w:t xml:space="preserve"> </w:t>
      </w:r>
      <w:r>
        <w:rPr>
          <w:iCs/>
          <w:i/>
        </w:rPr>
        <w:t xml:space="preserve">Ruiju Myōgishō</w:t>
      </w:r>
      <w:r>
        <w:t xml:space="preserve">: Kanchi-in and Renjō-in Manuscripts (Part 1)).</w:t>
      </w:r>
      <w:r>
        <w:t xml:space="preserve"> </w:t>
      </w:r>
      <w:r>
        <w:rPr>
          <w:iCs/>
          <w:i/>
        </w:rPr>
        <w:t xml:space="preserve">Sugiyama Jogakuen Daigaku Kenkyū Ronshū</w:t>
      </w:r>
      <w:r>
        <w:t xml:space="preserve"> </w:t>
      </w:r>
      <w:r>
        <w:t xml:space="preserve">(</w:t>
      </w:r>
      <w:r>
        <w:rPr>
          <w:iCs/>
          <w:i/>
        </w:rPr>
        <w:t xml:space="preserve">Journal of Sugiyama Jogakuen University</w:t>
      </w:r>
      <w:r>
        <w:t xml:space="preserve">) 8, no. 2 (1977): 109–128.</w:t>
      </w:r>
    </w:p>
    <w:p>
      <w:pPr>
        <w:numPr>
          <w:ilvl w:val="0"/>
          <w:numId w:val="1007"/>
        </w:numPr>
        <w:pStyle w:val="Compact"/>
      </w:pPr>
      <w:r>
        <w:rPr>
          <w:bCs/>
          <w:b/>
        </w:rPr>
        <w:t xml:space="preserve">Inukai, Morimasa (1978)</w:t>
      </w:r>
    </w:p>
    <w:p>
      <w:pPr>
        <w:numPr>
          <w:ilvl w:val="1"/>
          <w:numId w:val="1021"/>
        </w:numPr>
        <w:pStyle w:val="Compact"/>
      </w:pPr>
      <w:r>
        <w:t xml:space="preserve">Inukai, Morimasa.</w:t>
      </w:r>
      <w:r>
        <w:t xml:space="preserve"> </w:t>
      </w:r>
      <w:r>
        <w:t xml:space="preserve">“</w:t>
      </w:r>
      <w:r>
        <w:rPr>
          <w:iCs/>
          <w:i/>
        </w:rPr>
        <w:t xml:space="preserve">Ruiju Myōgishō</w:t>
      </w:r>
      <w:r>
        <w:t xml:space="preserve">: Kanchi-in bon to Renjō-in bon to no</w:t>
      </w:r>
      <w:r>
        <w:t xml:space="preserve"> </w:t>
      </w:r>
      <w:r>
        <w:t xml:space="preserve">‘</w:t>
      </w:r>
      <w:r>
        <w:t xml:space="preserve">Zatsu</w:t>
      </w:r>
      <w:r>
        <w:t xml:space="preserve">’</w:t>
      </w:r>
      <w:r>
        <w:t xml:space="preserve"> </w:t>
      </w:r>
      <w:r>
        <w:t xml:space="preserve">Bu no Hikaku Taishō (Chū)</w:t>
      </w:r>
      <w:r>
        <w:t xml:space="preserve">”</w:t>
      </w:r>
      <w:r>
        <w:t xml:space="preserve"> </w:t>
      </w:r>
      <w:r>
        <w:t xml:space="preserve">(A Comparative Study of the</w:t>
      </w:r>
      <w:r>
        <w:t xml:space="preserve"> </w:t>
      </w:r>
      <w:r>
        <w:t xml:space="preserve">‘</w:t>
      </w:r>
      <w:r>
        <w:t xml:space="preserve">Miscellaneous</w:t>
      </w:r>
      <w:r>
        <w:t xml:space="preserve">’</w:t>
      </w:r>
      <w:r>
        <w:t xml:space="preserve"> </w:t>
      </w:r>
      <w:r>
        <w:t xml:space="preserve">Section of the</w:t>
      </w:r>
      <w:r>
        <w:t xml:space="preserve"> </w:t>
      </w:r>
      <w:r>
        <w:rPr>
          <w:iCs/>
          <w:i/>
        </w:rPr>
        <w:t xml:space="preserve">Ruiju Myōgishō</w:t>
      </w:r>
      <w:r>
        <w:t xml:space="preserve">: Kanchi-in and Renjō-in Manuscripts (Part 2)).</w:t>
      </w:r>
      <w:r>
        <w:t xml:space="preserve"> </w:t>
      </w:r>
      <w:r>
        <w:rPr>
          <w:iCs/>
          <w:i/>
        </w:rPr>
        <w:t xml:space="preserve">Sugiyama Jogakuen Daigaku Kenkyū Ronshū</w:t>
      </w:r>
      <w:r>
        <w:t xml:space="preserve"> </w:t>
      </w:r>
      <w:r>
        <w:t xml:space="preserve">(</w:t>
      </w:r>
      <w:r>
        <w:rPr>
          <w:iCs/>
          <w:i/>
        </w:rPr>
        <w:t xml:space="preserve">Journal of Sugiyama Jogakuen University</w:t>
      </w:r>
      <w:r>
        <w:t xml:space="preserve">) 9, no. 2 (1978): 69–85.</w:t>
      </w:r>
    </w:p>
    <w:p>
      <w:pPr>
        <w:numPr>
          <w:ilvl w:val="0"/>
          <w:numId w:val="1007"/>
        </w:numPr>
        <w:pStyle w:val="Compact"/>
      </w:pPr>
      <w:r>
        <w:rPr>
          <w:bCs/>
          <w:b/>
        </w:rPr>
        <w:t xml:space="preserve">Inukai, Morimasa (1981)</w:t>
      </w:r>
    </w:p>
    <w:p>
      <w:pPr>
        <w:numPr>
          <w:ilvl w:val="1"/>
          <w:numId w:val="1022"/>
        </w:numPr>
        <w:pStyle w:val="Compact"/>
      </w:pPr>
      <w:r>
        <w:t xml:space="preserve">Inukai, Morimasa.</w:t>
      </w:r>
      <w:r>
        <w:t xml:space="preserve"> </w:t>
      </w:r>
      <w:r>
        <w:t xml:space="preserve">“</w:t>
      </w:r>
      <w:r>
        <w:rPr>
          <w:iCs/>
          <w:i/>
        </w:rPr>
        <w:t xml:space="preserve">Ruiju Myōgishō</w:t>
      </w:r>
      <w:r>
        <w:t xml:space="preserve">: Kanchi-in bon to Renjō-in bon to no</w:t>
      </w:r>
      <w:r>
        <w:t xml:space="preserve"> </w:t>
      </w:r>
      <w:r>
        <w:t xml:space="preserve">‘</w:t>
      </w:r>
      <w:r>
        <w:t xml:space="preserve">Zatsu</w:t>
      </w:r>
      <w:r>
        <w:t xml:space="preserve">’</w:t>
      </w:r>
      <w:r>
        <w:t xml:space="preserve"> </w:t>
      </w:r>
      <w:r>
        <w:t xml:space="preserve">Bu no Hikaku Taishō (Ge)</w:t>
      </w:r>
      <w:r>
        <w:t xml:space="preserve">”</w:t>
      </w:r>
      <w:r>
        <w:t xml:space="preserve"> </w:t>
      </w:r>
      <w:r>
        <w:t xml:space="preserve">(A Comparative Study of the</w:t>
      </w:r>
      <w:r>
        <w:t xml:space="preserve"> </w:t>
      </w:r>
      <w:r>
        <w:t xml:space="preserve">‘</w:t>
      </w:r>
      <w:r>
        <w:t xml:space="preserve">Miscellaneous</w:t>
      </w:r>
      <w:r>
        <w:t xml:space="preserve">’</w:t>
      </w:r>
      <w:r>
        <w:t xml:space="preserve"> </w:t>
      </w:r>
      <w:r>
        <w:t xml:space="preserve">Section of the</w:t>
      </w:r>
      <w:r>
        <w:t xml:space="preserve"> </w:t>
      </w:r>
      <w:r>
        <w:rPr>
          <w:iCs/>
          <w:i/>
        </w:rPr>
        <w:t xml:space="preserve">Ruiju Myōgishō</w:t>
      </w:r>
      <w:r>
        <w:t xml:space="preserve">: Kanchi-in and Renjō-in Manuscripts (Part 3)).</w:t>
      </w:r>
      <w:r>
        <w:t xml:space="preserve"> </w:t>
      </w:r>
      <w:r>
        <w:rPr>
          <w:iCs/>
          <w:i/>
        </w:rPr>
        <w:t xml:space="preserve">Sugiyama Jogakuen Daigaku Kenkyū Ronshū</w:t>
      </w:r>
      <w:r>
        <w:t xml:space="preserve"> </w:t>
      </w:r>
      <w:r>
        <w:t xml:space="preserve">(</w:t>
      </w:r>
      <w:r>
        <w:rPr>
          <w:iCs/>
          <w:i/>
        </w:rPr>
        <w:t xml:space="preserve">Journal of Sugiyama Jogakuen University</w:t>
      </w:r>
      <w:r>
        <w:t xml:space="preserve">) 13, no. 2 (1981): 41–50.</w:t>
      </w:r>
    </w:p>
    <w:p>
      <w:pPr>
        <w:numPr>
          <w:ilvl w:val="0"/>
          <w:numId w:val="1007"/>
        </w:numPr>
        <w:pStyle w:val="Compact"/>
      </w:pPr>
      <w:r>
        <w:rPr>
          <w:bCs/>
          <w:b/>
        </w:rPr>
        <w:t xml:space="preserve">Ishii, Yukio (1993)</w:t>
      </w:r>
    </w:p>
    <w:p>
      <w:pPr>
        <w:numPr>
          <w:ilvl w:val="1"/>
          <w:numId w:val="1023"/>
        </w:numPr>
        <w:pStyle w:val="Compact"/>
      </w:pPr>
      <w:r>
        <w:t xml:space="preserve">Ishii, Yukio.</w:t>
      </w:r>
      <w:r>
        <w:t xml:space="preserve"> </w:t>
      </w:r>
      <w:r>
        <w:t xml:space="preserve">“</w:t>
      </w:r>
      <w:r>
        <w:t xml:space="preserve">‘</w:t>
      </w:r>
      <w:r>
        <w:t xml:space="preserve">Shichijō Jisho</w:t>
      </w:r>
      <w:r>
        <w:t xml:space="preserve">’</w:t>
      </w:r>
      <w:r>
        <w:t xml:space="preserve"> </w:t>
      </w:r>
      <w:r>
        <w:t xml:space="preserve">kō</w:t>
      </w:r>
      <w:r>
        <w:t xml:space="preserve">”</w:t>
      </w:r>
      <w:r>
        <w:t xml:space="preserve"> </w:t>
      </w:r>
      <w:r>
        <w:t xml:space="preserve">(A Study of the</w:t>
      </w:r>
      <w:r>
        <w:t xml:space="preserve"> </w:t>
      </w:r>
      <w:r>
        <w:t xml:space="preserve">“</w:t>
      </w:r>
      <w:r>
        <w:t xml:space="preserve">Shichijō Jisho</w:t>
      </w:r>
      <w:r>
        <w:t xml:space="preserve">”</w:t>
      </w:r>
      <w:r>
        <w:t xml:space="preserve">).</w:t>
      </w:r>
      <w:r>
        <w:t xml:space="preserve"> </w:t>
      </w:r>
      <w:r>
        <w:rPr>
          <w:iCs/>
          <w:i/>
        </w:rPr>
        <w:t xml:space="preserve">Gogaku Bungaku</w:t>
      </w:r>
      <w:r>
        <w:t xml:space="preserve"> </w:t>
      </w:r>
      <w:r>
        <w:t xml:space="preserve">(Hokkaidō Kyōiku Daigaku Gogaku Bungakkai), no. 31 (1993): 15–22.</w:t>
      </w:r>
    </w:p>
    <w:p>
      <w:pPr>
        <w:numPr>
          <w:ilvl w:val="0"/>
          <w:numId w:val="1007"/>
        </w:numPr>
        <w:pStyle w:val="Compact"/>
      </w:pPr>
      <w:r>
        <w:rPr>
          <w:bCs/>
          <w:b/>
        </w:rPr>
        <w:t xml:space="preserve">Katō, Kōji (2017)</w:t>
      </w:r>
    </w:p>
    <w:p>
      <w:pPr>
        <w:numPr>
          <w:ilvl w:val="1"/>
          <w:numId w:val="1024"/>
        </w:numPr>
        <w:pStyle w:val="Compact"/>
      </w:pPr>
      <w:r>
        <w:t xml:space="preserve">Katō, Kōji.</w:t>
      </w:r>
      <w:r>
        <w:t xml:space="preserve"> </w:t>
      </w:r>
      <w:r>
        <w:t xml:space="preserve">“</w:t>
      </w:r>
      <w:r>
        <w:t xml:space="preserve">Kanchi-in bon</w:t>
      </w:r>
      <w:r>
        <w:t xml:space="preserve"> </w:t>
      </w:r>
      <w:r>
        <w:rPr>
          <w:iCs/>
          <w:i/>
        </w:rPr>
        <w:t xml:space="preserve">Ruiju Myōgishō</w:t>
      </w:r>
      <w:r>
        <w:t xml:space="preserve"> </w:t>
      </w:r>
      <w:r>
        <w:t xml:space="preserve">no Jinji Wakun</w:t>
      </w:r>
      <w:r>
        <w:t xml:space="preserve"> </w:t>
      </w:r>
      <w:r>
        <w:rPr>
          <w:iCs/>
          <w:i/>
        </w:rPr>
        <w:t xml:space="preserve">Ware</w:t>
      </w:r>
      <w:r>
        <w:t xml:space="preserve"> </w:t>
      </w:r>
      <w:r>
        <w:t xml:space="preserve">to Sōji Wakun</w:t>
      </w:r>
      <w:r>
        <w:t xml:space="preserve"> </w:t>
      </w:r>
      <w:r>
        <w:rPr>
          <w:iCs/>
          <w:i/>
        </w:rPr>
        <w:t xml:space="preserve">Yawaragu</w:t>
      </w:r>
      <w:r>
        <w:t xml:space="preserve"> </w:t>
      </w:r>
      <w:r>
        <w:t xml:space="preserve">/</w:t>
      </w:r>
      <w:r>
        <w:t xml:space="preserve"> </w:t>
      </w:r>
      <w:r>
        <w:rPr>
          <w:iCs/>
          <w:i/>
        </w:rPr>
        <w:t xml:space="preserve">Nengoro</w:t>
      </w:r>
      <w:r>
        <w:t xml:space="preserve"> </w:t>
      </w:r>
      <w:r>
        <w:t xml:space="preserve">oyobi Sōji no Seiritsu ni tsuite</w:t>
      </w:r>
      <w:r>
        <w:t xml:space="preserve">”</w:t>
      </w:r>
      <w:r>
        <w:t xml:space="preserve"> </w:t>
      </w:r>
      <w:r>
        <w:t xml:space="preserve">(On the Wakun</w:t>
      </w:r>
      <w:r>
        <w:t xml:space="preserve"> </w:t>
      </w:r>
      <w:r>
        <w:rPr>
          <w:iCs/>
          <w:i/>
        </w:rPr>
        <w:t xml:space="preserve">Ware</w:t>
      </w:r>
      <w:r>
        <w:t xml:space="preserve"> </w:t>
      </w:r>
      <w:r>
        <w:t xml:space="preserve">for the Character 人, the Wakun</w:t>
      </w:r>
      <w:r>
        <w:t xml:space="preserve"> </w:t>
      </w:r>
      <w:r>
        <w:rPr>
          <w:iCs/>
          <w:i/>
        </w:rPr>
        <w:t xml:space="preserve">Yawaragu</w:t>
      </w:r>
      <w:r>
        <w:t xml:space="preserve"> </w:t>
      </w:r>
      <w:r>
        <w:t xml:space="preserve">/</w:t>
      </w:r>
      <w:r>
        <w:t xml:space="preserve"> </w:t>
      </w:r>
      <w:r>
        <w:rPr>
          <w:iCs/>
          <w:i/>
        </w:rPr>
        <w:t xml:space="preserve">Nengoro</w:t>
      </w:r>
      <w:r>
        <w:t xml:space="preserve"> </w:t>
      </w:r>
      <w:r>
        <w:t xml:space="preserve">for the Character 僧, and the Formation of the Character 僧 in the Kanchi-in Manuscript</w:t>
      </w:r>
      <w:r>
        <w:t xml:space="preserve"> </w:t>
      </w:r>
      <w:r>
        <w:rPr>
          <w:iCs/>
          <w:i/>
        </w:rPr>
        <w:t xml:space="preserve">Ruiju Myōgishō</w:t>
      </w:r>
      <w:r>
        <w:t xml:space="preserve">).</w:t>
      </w:r>
      <w:r>
        <w:t xml:space="preserve"> </w:t>
      </w:r>
      <w:r>
        <w:rPr>
          <w:iCs/>
          <w:i/>
        </w:rPr>
        <w:t xml:space="preserve">Tsuru Bunka Daigaku Kenkyū Kiyō</w:t>
      </w:r>
      <w:r>
        <w:t xml:space="preserve">, no. 85 (2017): 45–58.</w:t>
      </w:r>
    </w:p>
    <w:p>
      <w:pPr>
        <w:numPr>
          <w:ilvl w:val="0"/>
          <w:numId w:val="1007"/>
        </w:numPr>
        <w:pStyle w:val="Compact"/>
      </w:pPr>
      <w:r>
        <w:rPr>
          <w:bCs/>
          <w:b/>
        </w:rPr>
        <w:t xml:space="preserve">Kazama, Rikizō (1979)</w:t>
      </w:r>
    </w:p>
    <w:p>
      <w:pPr>
        <w:numPr>
          <w:ilvl w:val="1"/>
          <w:numId w:val="1025"/>
        </w:numPr>
        <w:pStyle w:val="Compact"/>
      </w:pPr>
      <w:r>
        <w:t xml:space="preserve">Kazama, Rikizō.</w:t>
      </w:r>
      <w:r>
        <w:t xml:space="preserve"> </w:t>
      </w:r>
      <w:r>
        <w:t xml:space="preserve">“</w:t>
      </w:r>
      <w:r>
        <w:rPr>
          <w:iCs/>
          <w:i/>
        </w:rPr>
        <w:t xml:space="preserve">Ruiju Myōgishō</w:t>
      </w:r>
      <w:r>
        <w:t xml:space="preserve"> </w:t>
      </w:r>
      <w:r>
        <w:t xml:space="preserve">no</w:t>
      </w:r>
      <w:r>
        <w:t xml:space="preserve"> </w:t>
      </w:r>
      <w:r>
        <w:rPr>
          <w:iCs/>
          <w:i/>
        </w:rPr>
        <w:t xml:space="preserve">Monzen</w:t>
      </w:r>
      <w:r>
        <w:t xml:space="preserve"> </w:t>
      </w:r>
      <w:r>
        <w:t xml:space="preserve">Yomi</w:t>
      </w:r>
      <w:r>
        <w:t xml:space="preserve">”</w:t>
      </w:r>
      <w:r>
        <w:t xml:space="preserve"> </w:t>
      </w:r>
      <w:r>
        <w:t xml:space="preserve">(Readings from the</w:t>
      </w:r>
      <w:r>
        <w:t xml:space="preserve"> </w:t>
      </w:r>
      <w:r>
        <w:rPr>
          <w:iCs/>
          <w:i/>
        </w:rPr>
        <w:t xml:space="preserve">Wén Xuǎn</w:t>
      </w:r>
      <w:r>
        <w:t xml:space="preserve"> </w:t>
      </w:r>
      <w:r>
        <w:t xml:space="preserve">in the</w:t>
      </w:r>
      <w:r>
        <w:t xml:space="preserve"> </w:t>
      </w:r>
      <w:r>
        <w:rPr>
          <w:iCs/>
          <w:i/>
        </w:rPr>
        <w:t xml:space="preserve">Ruiju Myōgishō</w:t>
      </w:r>
      <w:r>
        <w:t xml:space="preserve">).</w:t>
      </w:r>
      <w:r>
        <w:t xml:space="preserve"> </w:t>
      </w:r>
      <w:r>
        <w:rPr>
          <w:iCs/>
          <w:i/>
        </w:rPr>
        <w:t xml:space="preserve">Kōnan Daigaku Kiyō: Bungakuhen</w:t>
      </w:r>
      <w:r>
        <w:t xml:space="preserve"> </w:t>
      </w:r>
      <w:r>
        <w:t xml:space="preserve">(</w:t>
      </w:r>
      <w:r>
        <w:rPr>
          <w:iCs/>
          <w:i/>
        </w:rPr>
        <w:t xml:space="preserve">The Journal of Konan University: Faculty of Letters</w:t>
      </w:r>
      <w:r>
        <w:t xml:space="preserve">), no. 36 (1979): 8–35.</w:t>
      </w:r>
    </w:p>
    <w:p>
      <w:pPr>
        <w:numPr>
          <w:ilvl w:val="0"/>
          <w:numId w:val="1007"/>
        </w:numPr>
        <w:pStyle w:val="Compact"/>
      </w:pPr>
      <w:r>
        <w:rPr>
          <w:bCs/>
          <w:b/>
        </w:rPr>
        <w:t xml:space="preserve">Kindaichi, Haruhiko (1944)</w:t>
      </w:r>
    </w:p>
    <w:p>
      <w:pPr>
        <w:numPr>
          <w:ilvl w:val="1"/>
          <w:numId w:val="1026"/>
        </w:numPr>
        <w:pStyle w:val="Compact"/>
      </w:pPr>
      <w:r>
        <w:t xml:space="preserve">Kindaichi, Haruhiko.</w:t>
      </w:r>
      <w:r>
        <w:t xml:space="preserve"> </w:t>
      </w:r>
      <w:r>
        <w:t xml:space="preserve">“</w:t>
      </w:r>
      <w:r>
        <w:t xml:space="preserve">Ruiju Myōgishō Wakun ni Hodokosaretaru Seifu ni Tsuite</w:t>
      </w:r>
      <w:r>
        <w:t xml:space="preserve">”</w:t>
      </w:r>
      <w:r>
        <w:t xml:space="preserve"> </w:t>
      </w:r>
      <w:r>
        <w:t xml:space="preserve">(On the Tone Marks Applied to</w:t>
      </w:r>
      <w:r>
        <w:t xml:space="preserve"> </w:t>
      </w:r>
      <w:r>
        <w:rPr>
          <w:iCs/>
          <w:i/>
        </w:rPr>
        <w:t xml:space="preserve">Wakun</w:t>
      </w:r>
      <w:r>
        <w:t xml:space="preserve"> </w:t>
      </w:r>
      <w:r>
        <w:t xml:space="preserve">in the</w:t>
      </w:r>
      <w:r>
        <w:t xml:space="preserve"> </w:t>
      </w:r>
      <w:r>
        <w:rPr>
          <w:iCs/>
          <w:i/>
        </w:rPr>
        <w:t xml:space="preserve">Ruiju Myōgishō</w:t>
      </w:r>
      <w:r>
        <w:t xml:space="preserve">). In</w:t>
      </w:r>
      <w:r>
        <w:t xml:space="preserve"> </w:t>
      </w:r>
      <w:r>
        <w:rPr>
          <w:iCs/>
          <w:i/>
        </w:rPr>
        <w:t xml:space="preserve">Hashimoto Hakushi Kanreki Kinen Kokugogaku Ronshū</w:t>
      </w:r>
      <w:r>
        <w:t xml:space="preserve"> </w:t>
      </w:r>
      <w:r>
        <w:t xml:space="preserve">(Collection of Linguistics Papers Commemorating Dr. Hashimoto’s 60th Birthday), 183–218. Tokyo: Iwanami Shoten, 1944.</w:t>
      </w:r>
    </w:p>
    <w:p>
      <w:pPr>
        <w:numPr>
          <w:ilvl w:val="0"/>
          <w:numId w:val="1007"/>
        </w:numPr>
        <w:pStyle w:val="Compact"/>
      </w:pPr>
      <w:r>
        <w:rPr>
          <w:bCs/>
          <w:b/>
        </w:rPr>
        <w:t xml:space="preserve">Kobayashi, Kyōji (1992)</w:t>
      </w:r>
    </w:p>
    <w:p>
      <w:pPr>
        <w:numPr>
          <w:ilvl w:val="1"/>
          <w:numId w:val="1027"/>
        </w:numPr>
        <w:pStyle w:val="Compact"/>
      </w:pPr>
      <w:r>
        <w:t xml:space="preserve">Kobayashi, Kyōji.</w:t>
      </w:r>
      <w:r>
        <w:t xml:space="preserve"> </w:t>
      </w:r>
      <w:r>
        <w:t xml:space="preserve">“</w:t>
      </w:r>
      <w:r>
        <w:rPr>
          <w:iCs/>
          <w:i/>
        </w:rPr>
        <w:t xml:space="preserve">Ruiju Myōgishō</w:t>
      </w:r>
      <w:r>
        <w:t xml:space="preserve"> </w:t>
      </w:r>
      <w:r>
        <w:t xml:space="preserve">Shohon no Kanachū no Kisai Ichi ni tsuite</w:t>
      </w:r>
      <w:r>
        <w:t xml:space="preserve">”</w:t>
      </w:r>
      <w:r>
        <w:t xml:space="preserve"> </w:t>
      </w:r>
      <w:r>
        <w:t xml:space="preserve">(On the Positions of Kana Annotations in Various Manuscripts of the</w:t>
      </w:r>
      <w:r>
        <w:t xml:space="preserve"> </w:t>
      </w:r>
      <w:r>
        <w:rPr>
          <w:iCs/>
          <w:i/>
        </w:rPr>
        <w:t xml:space="preserve">Ruiju Myōgishō</w:t>
      </w:r>
      <w:r>
        <w:t xml:space="preserve">).</w:t>
      </w:r>
      <w:r>
        <w:t xml:space="preserve"> </w:t>
      </w:r>
      <w:r>
        <w:rPr>
          <w:iCs/>
          <w:i/>
        </w:rPr>
        <w:t xml:space="preserve">Kuntengo to Kunten Shiryō</w:t>
      </w:r>
      <w:r>
        <w:t xml:space="preserve">, no. 89 (1992): 1–12.</w:t>
      </w:r>
    </w:p>
    <w:p>
      <w:pPr>
        <w:numPr>
          <w:ilvl w:val="0"/>
          <w:numId w:val="1007"/>
        </w:numPr>
        <w:pStyle w:val="Compact"/>
      </w:pPr>
      <w:r>
        <w:rPr>
          <w:bCs/>
          <w:b/>
        </w:rPr>
        <w:t xml:space="preserve">Kobayashi, Kyōji (2000)</w:t>
      </w:r>
    </w:p>
    <w:p>
      <w:pPr>
        <w:numPr>
          <w:ilvl w:val="1"/>
          <w:numId w:val="1028"/>
        </w:numPr>
        <w:pStyle w:val="Compact"/>
      </w:pPr>
      <w:r>
        <w:t xml:space="preserve">Kobayashi, Kyōji.</w:t>
      </w:r>
      <w:r>
        <w:t xml:space="preserve"> </w:t>
      </w:r>
      <w:r>
        <w:t xml:space="preserve">“</w:t>
      </w:r>
      <w:r>
        <w:t xml:space="preserve">Sainnenji bon</w:t>
      </w:r>
      <w:r>
        <w:t xml:space="preserve"> </w:t>
      </w:r>
      <w:r>
        <w:rPr>
          <w:iCs/>
          <w:i/>
        </w:rPr>
        <w:t xml:space="preserve">Ruiju Myōgishō</w:t>
      </w:r>
      <w:r>
        <w:t xml:space="preserve"> </w:t>
      </w:r>
      <w:r>
        <w:t xml:space="preserve">ni okeru Zōho to Datsurō: Kanchi-in bon kara Mita Kōmoku no Umu ni tsuite</w:t>
      </w:r>
      <w:r>
        <w:t xml:space="preserve">”</w:t>
      </w:r>
      <w:r>
        <w:t xml:space="preserve"> </w:t>
      </w:r>
      <w:r>
        <w:t xml:space="preserve">(Additions and Omissions in the Sainnenji Manuscript</w:t>
      </w:r>
      <w:r>
        <w:t xml:space="preserve"> </w:t>
      </w:r>
      <w:r>
        <w:rPr>
          <w:iCs/>
          <w:i/>
        </w:rPr>
        <w:t xml:space="preserve">Ruiju Myōgishō</w:t>
      </w:r>
      <w:r>
        <w:t xml:space="preserve">: Regarding the Presence or Absence of Entries Compared to the Kanchi-in Manuscript).</w:t>
      </w:r>
      <w:r>
        <w:t xml:space="preserve"> </w:t>
      </w:r>
      <w:r>
        <w:rPr>
          <w:iCs/>
          <w:i/>
        </w:rPr>
        <w:t xml:space="preserve">Tsurumi Daigaku Bukkyō Bunka Kenkyūjo Kiyō</w:t>
      </w:r>
      <w:r>
        <w:t xml:space="preserve"> </w:t>
      </w:r>
      <w:r>
        <w:t xml:space="preserve">5 (2000): 47–66.</w:t>
      </w:r>
    </w:p>
    <w:p>
      <w:pPr>
        <w:numPr>
          <w:ilvl w:val="0"/>
          <w:numId w:val="1007"/>
        </w:numPr>
        <w:pStyle w:val="Compact"/>
      </w:pPr>
      <w:r>
        <w:rPr>
          <w:bCs/>
          <w:b/>
        </w:rPr>
        <w:t xml:space="preserve">Kobayashi, Kyōji (2016)</w:t>
      </w:r>
    </w:p>
    <w:p>
      <w:pPr>
        <w:numPr>
          <w:ilvl w:val="1"/>
          <w:numId w:val="1029"/>
        </w:numPr>
        <w:pStyle w:val="Compact"/>
      </w:pPr>
      <w:r>
        <w:t xml:space="preserve">Kobayashi, Kyōji.</w:t>
      </w:r>
      <w:r>
        <w:t xml:space="preserve"> </w:t>
      </w:r>
      <w:r>
        <w:t xml:space="preserve">“</w:t>
      </w:r>
      <w:r>
        <w:t xml:space="preserve">Sainnenji bon</w:t>
      </w:r>
      <w:r>
        <w:t xml:space="preserve"> </w:t>
      </w:r>
      <w:r>
        <w:rPr>
          <w:iCs/>
          <w:i/>
        </w:rPr>
        <w:t xml:space="preserve">Ruiju Myōgishō</w:t>
      </w:r>
      <w:r>
        <w:t xml:space="preserve"> </w:t>
      </w:r>
      <w:r>
        <w:t xml:space="preserve">ni okeru Zōho to Datsurō: Ihon Chūki no Umu ni tsuite (11)</w:t>
      </w:r>
      <w:r>
        <w:t xml:space="preserve">”</w:t>
      </w:r>
      <w:r>
        <w:t xml:space="preserve"> </w:t>
      </w:r>
      <w:r>
        <w:t xml:space="preserve">(Additions and Omissions in the Sainnenji Manuscript</w:t>
      </w:r>
      <w:r>
        <w:t xml:space="preserve"> </w:t>
      </w:r>
      <w:r>
        <w:rPr>
          <w:iCs/>
          <w:i/>
        </w:rPr>
        <w:t xml:space="preserve">Ruiju Myōgishō</w:t>
      </w:r>
      <w:r>
        <w:t xml:space="preserve">: Regarding the Presence or Absence of Variant Manuscript Annotations (11)).</w:t>
      </w:r>
      <w:r>
        <w:t xml:space="preserve"> </w:t>
      </w:r>
      <w:r>
        <w:rPr>
          <w:iCs/>
          <w:i/>
        </w:rPr>
        <w:t xml:space="preserve">Tsurumi Daigaku Kiyō. Dai 4 Bu, Jinbun / Shakai / Shizen Kagaku hen</w:t>
      </w:r>
      <w:r>
        <w:t xml:space="preserve">, no. 53 (2016): 120–121.</w:t>
      </w:r>
    </w:p>
    <w:p>
      <w:pPr>
        <w:numPr>
          <w:ilvl w:val="0"/>
          <w:numId w:val="1007"/>
        </w:numPr>
        <w:pStyle w:val="Compact"/>
      </w:pPr>
      <w:r>
        <w:rPr>
          <w:bCs/>
          <w:b/>
        </w:rPr>
        <w:t xml:space="preserve">Kobayashi, Kyōji (2020)</w:t>
      </w:r>
    </w:p>
    <w:p>
      <w:pPr>
        <w:numPr>
          <w:ilvl w:val="1"/>
          <w:numId w:val="1030"/>
        </w:numPr>
        <w:pStyle w:val="Compact"/>
      </w:pPr>
      <w:r>
        <w:t xml:space="preserve">Kobayashi, Kyōji.</w:t>
      </w:r>
      <w:r>
        <w:t xml:space="preserve"> </w:t>
      </w:r>
      <w:r>
        <w:t xml:space="preserve">“</w:t>
      </w:r>
      <w:r>
        <w:t xml:space="preserve">Kanchi-in bon</w:t>
      </w:r>
      <w:r>
        <w:t xml:space="preserve"> </w:t>
      </w:r>
      <w:r>
        <w:rPr>
          <w:iCs/>
          <w:i/>
        </w:rPr>
        <w:t xml:space="preserve">Ruiju Myōgishō</w:t>
      </w:r>
      <w:r>
        <w:t xml:space="preserve"> </w:t>
      </w:r>
      <w:r>
        <w:t xml:space="preserve">no Hissha A ni tsuite</w:t>
      </w:r>
      <w:r>
        <w:t xml:space="preserve">”</w:t>
      </w:r>
      <w:r>
        <w:t xml:space="preserve"> </w:t>
      </w:r>
      <w:r>
        <w:t xml:space="preserve">(On Scribe A of the Kanchi-in Manuscript</w:t>
      </w:r>
      <w:r>
        <w:t xml:space="preserve"> </w:t>
      </w:r>
      <w:r>
        <w:rPr>
          <w:iCs/>
          <w:i/>
        </w:rPr>
        <w:t xml:space="preserve">Ruiju Myōgishō</w:t>
      </w:r>
      <w:r>
        <w:t xml:space="preserve">).</w:t>
      </w:r>
      <w:r>
        <w:t xml:space="preserve"> </w:t>
      </w:r>
      <w:r>
        <w:rPr>
          <w:iCs/>
          <w:i/>
        </w:rPr>
        <w:t xml:space="preserve">Kuntengo to Kunten Shiryō</w:t>
      </w:r>
      <w:r>
        <w:t xml:space="preserve"> </w:t>
      </w:r>
      <w:r>
        <w:t xml:space="preserve">144 (2020): 48–81.</w:t>
      </w:r>
    </w:p>
    <w:p>
      <w:pPr>
        <w:numPr>
          <w:ilvl w:val="0"/>
          <w:numId w:val="1007"/>
        </w:numPr>
        <w:pStyle w:val="Compact"/>
      </w:pPr>
      <w:r>
        <w:rPr>
          <w:bCs/>
          <w:b/>
        </w:rPr>
        <w:t xml:space="preserve">Komatsu, Hideo (1971)</w:t>
      </w:r>
    </w:p>
    <w:p>
      <w:pPr>
        <w:numPr>
          <w:ilvl w:val="1"/>
          <w:numId w:val="1031"/>
        </w:numPr>
        <w:pStyle w:val="Compact"/>
      </w:pPr>
      <w:r>
        <w:t xml:space="preserve">Komatsu, Hideo.</w:t>
      </w:r>
      <w:r>
        <w:t xml:space="preserve"> </w:t>
      </w:r>
      <w:r>
        <w:rPr>
          <w:iCs/>
          <w:i/>
        </w:rPr>
        <w:t xml:space="preserve">Nihon Seichōshi Ronkō</w:t>
      </w:r>
      <w:r>
        <w:t xml:space="preserve"> </w:t>
      </w:r>
      <w:r>
        <w:t xml:space="preserve">(Studies in the History of Japanese Accent). Tokyo: Kazama Shobō, 1971.</w:t>
      </w:r>
    </w:p>
    <w:p>
      <w:pPr>
        <w:numPr>
          <w:ilvl w:val="0"/>
          <w:numId w:val="1007"/>
        </w:numPr>
        <w:pStyle w:val="Compact"/>
      </w:pPr>
      <w:r>
        <w:rPr>
          <w:bCs/>
          <w:b/>
        </w:rPr>
        <w:t xml:space="preserve">Kōno, Toshihiro (1992)</w:t>
      </w:r>
    </w:p>
    <w:p>
      <w:pPr>
        <w:numPr>
          <w:ilvl w:val="1"/>
          <w:numId w:val="1032"/>
        </w:numPr>
        <w:pStyle w:val="Compact"/>
      </w:pPr>
      <w:r>
        <w:t xml:space="preserve">Kōno, Toshihiro.</w:t>
      </w:r>
      <w:r>
        <w:t xml:space="preserve"> </w:t>
      </w:r>
      <w:r>
        <w:t xml:space="preserve">“</w:t>
      </w:r>
      <w:r>
        <w:t xml:space="preserve">Kanchi-in bon</w:t>
      </w:r>
      <w:r>
        <w:t xml:space="preserve"> </w:t>
      </w:r>
      <w:r>
        <w:rPr>
          <w:iCs/>
          <w:i/>
        </w:rPr>
        <w:t xml:space="preserve">Ruiju Myōgishō</w:t>
      </w:r>
      <w:r>
        <w:t xml:space="preserve"> </w:t>
      </w:r>
      <w:r>
        <w:t xml:space="preserve">Shoin no</w:t>
      </w:r>
      <w:r>
        <w:t xml:space="preserve"> </w:t>
      </w:r>
      <w:r>
        <w:rPr>
          <w:iCs/>
          <w:i/>
        </w:rPr>
        <w:t xml:space="preserve">Honzō Wamyō</w:t>
      </w:r>
      <w:r>
        <w:t xml:space="preserve"> </w:t>
      </w:r>
      <w:r>
        <w:t xml:space="preserve">ni tsuite</w:t>
      </w:r>
      <w:r>
        <w:t xml:space="preserve">”</w:t>
      </w:r>
      <w:r>
        <w:t xml:space="preserve"> </w:t>
      </w:r>
      <w:r>
        <w:t xml:space="preserve">(On the</w:t>
      </w:r>
      <w:r>
        <w:t xml:space="preserve"> </w:t>
      </w:r>
      <w:r>
        <w:rPr>
          <w:iCs/>
          <w:i/>
        </w:rPr>
        <w:t xml:space="preserve">Honzō Wamyō</w:t>
      </w:r>
      <w:r>
        <w:t xml:space="preserve"> </w:t>
      </w:r>
      <w:r>
        <w:t xml:space="preserve">Cited in the Kanchi-in Manuscript of the</w:t>
      </w:r>
      <w:r>
        <w:t xml:space="preserve"> </w:t>
      </w:r>
      <w:r>
        <w:rPr>
          <w:iCs/>
          <w:i/>
        </w:rPr>
        <w:t xml:space="preserve">Ruiju Myōgishō</w:t>
      </w:r>
      <w:r>
        <w:t xml:space="preserve">). In</w:t>
      </w:r>
      <w:r>
        <w:t xml:space="preserve"> </w:t>
      </w:r>
      <w:r>
        <w:rPr>
          <w:iCs/>
          <w:i/>
        </w:rPr>
        <w:t xml:space="preserve">Nihongo Ronkyū 2: Koten Nihongo to Jisho</w:t>
      </w:r>
      <w:r>
        <w:t xml:space="preserve"> </w:t>
      </w:r>
      <w:r>
        <w:t xml:space="preserve">(Japanese Language Research 2: Classical Japanese and Dictionaries), edited by Tajima Ikudō and Niwa Kazuya,</w:t>
      </w:r>
      <w:r>
        <w:t xml:space="preserve"> </w:t>
      </w:r>
      <w:r>
        <w:rPr>
          <w:iCs/>
          <w:i/>
        </w:rPr>
        <w:t xml:space="preserve">Kenkyū Sōsho</w:t>
      </w:r>
      <w:r>
        <w:t xml:space="preserve"> </w:t>
      </w:r>
      <w:r>
        <w:t xml:space="preserve">(Research Series) 121, 69–85. Osaka: Izumi Shoin, 1992.</w:t>
      </w:r>
    </w:p>
    <w:p>
      <w:pPr>
        <w:numPr>
          <w:ilvl w:val="0"/>
          <w:numId w:val="1007"/>
        </w:numPr>
        <w:pStyle w:val="Compact"/>
      </w:pPr>
      <w:r>
        <w:rPr>
          <w:bCs/>
          <w:b/>
        </w:rPr>
        <w:t xml:space="preserve">Kurashima, Tokihisa (2005)</w:t>
      </w:r>
    </w:p>
    <w:p>
      <w:pPr>
        <w:numPr>
          <w:ilvl w:val="1"/>
          <w:numId w:val="1033"/>
        </w:numPr>
        <w:pStyle w:val="Compact"/>
      </w:pPr>
      <w:r>
        <w:t xml:space="preserve">Kurashima, Tokihisa.</w:t>
      </w:r>
      <w:r>
        <w:t xml:space="preserve"> </w:t>
      </w:r>
      <w:r>
        <w:t xml:space="preserve">“</w:t>
      </w:r>
      <w:r>
        <w:t xml:space="preserve">Hōbodai-in bon</w:t>
      </w:r>
      <w:r>
        <w:t xml:space="preserve"> </w:t>
      </w:r>
      <w:r>
        <w:rPr>
          <w:iCs/>
          <w:i/>
        </w:rPr>
        <w:t xml:space="preserve">Ruiju Myōgishō</w:t>
      </w:r>
      <w:r>
        <w:t xml:space="preserve"> </w:t>
      </w:r>
      <w:r>
        <w:t xml:space="preserve">ni tsuite: Zokkō</w:t>
      </w:r>
      <w:r>
        <w:t xml:space="preserve">”</w:t>
      </w:r>
      <w:r>
        <w:t xml:space="preserve"> </w:t>
      </w:r>
      <w:r>
        <w:t xml:space="preserve">(On the Hōbodai-in Manuscript</w:t>
      </w:r>
      <w:r>
        <w:t xml:space="preserve"> </w:t>
      </w:r>
      <w:r>
        <w:rPr>
          <w:iCs/>
          <w:i/>
        </w:rPr>
        <w:t xml:space="preserve">Ruiju Myōgishō</w:t>
      </w:r>
      <w:r>
        <w:t xml:space="preserve">: Continued).</w:t>
      </w:r>
      <w:r>
        <w:t xml:space="preserve"> </w:t>
      </w:r>
      <w:r>
        <w:rPr>
          <w:iCs/>
          <w:i/>
        </w:rPr>
        <w:t xml:space="preserve">Kokubungaku Tōsa</w:t>
      </w:r>
      <w:r>
        <w:t xml:space="preserve"> </w:t>
      </w:r>
      <w:r>
        <w:t xml:space="preserve">17 (2005): 115–125.</w:t>
      </w:r>
    </w:p>
    <w:p>
      <w:pPr>
        <w:numPr>
          <w:ilvl w:val="0"/>
          <w:numId w:val="1007"/>
        </w:numPr>
        <w:pStyle w:val="Compact"/>
      </w:pPr>
      <w:r>
        <w:rPr>
          <w:bCs/>
          <w:b/>
        </w:rPr>
        <w:t xml:space="preserve">Kusakawa, Noboru (2000)</w:t>
      </w:r>
    </w:p>
    <w:p>
      <w:pPr>
        <w:numPr>
          <w:ilvl w:val="1"/>
          <w:numId w:val="1034"/>
        </w:numPr>
        <w:pStyle w:val="Compact"/>
      </w:pPr>
      <w:r>
        <w:t xml:space="preserve">Kusakawa, Noboru.</w:t>
      </w:r>
      <w:r>
        <w:t xml:space="preserve"> </w:t>
      </w:r>
      <w:r>
        <w:rPr>
          <w:iCs/>
          <w:i/>
        </w:rPr>
        <w:t xml:space="preserve">Gohon Taishō Ruiju Myōgishō Wakun Shūsei</w:t>
      </w:r>
      <w:r>
        <w:t xml:space="preserve"> </w:t>
      </w:r>
      <w:r>
        <w:t xml:space="preserve">(Collected Japanese Readings from Five Versions of the</w:t>
      </w:r>
      <w:r>
        <w:t xml:space="preserve"> </w:t>
      </w:r>
      <w:r>
        <w:rPr>
          <w:iCs/>
          <w:i/>
        </w:rPr>
        <w:t xml:space="preserve">Ruiju Myōgishō</w:t>
      </w:r>
      <w:r>
        <w:t xml:space="preserve">). Tokyo: Kyūko Shoin, 2000.</w:t>
      </w:r>
    </w:p>
    <w:p>
      <w:pPr>
        <w:numPr>
          <w:ilvl w:val="0"/>
          <w:numId w:val="1007"/>
        </w:numPr>
        <w:pStyle w:val="Compact"/>
      </w:pPr>
      <w:r>
        <w:rPr>
          <w:bCs/>
          <w:b/>
        </w:rPr>
        <w:t xml:space="preserve">Miyazawa, Toshimasa (1973)</w:t>
      </w:r>
    </w:p>
    <w:p>
      <w:pPr>
        <w:numPr>
          <w:ilvl w:val="1"/>
          <w:numId w:val="1035"/>
        </w:numPr>
        <w:pStyle w:val="Compact"/>
      </w:pPr>
      <w:r>
        <w:t xml:space="preserve">Miyazawa, Toshimasa.</w:t>
      </w:r>
      <w:r>
        <w:t xml:space="preserve"> </w:t>
      </w:r>
      <w:r>
        <w:t xml:space="preserve">“</w:t>
      </w:r>
      <w:r>
        <w:t xml:space="preserve">Zushoryōbon</w:t>
      </w:r>
      <w:r>
        <w:t xml:space="preserve"> </w:t>
      </w:r>
      <w:r>
        <w:rPr>
          <w:iCs/>
          <w:i/>
        </w:rPr>
        <w:t xml:space="preserve">Ruiju Myōgishō</w:t>
      </w:r>
      <w:r>
        <w:t xml:space="preserve"> </w:t>
      </w:r>
      <w:r>
        <w:t xml:space="preserve">ni mieru</w:t>
      </w:r>
      <w:r>
        <w:t xml:space="preserve"> </w:t>
      </w:r>
      <w:r>
        <w:rPr>
          <w:iCs/>
          <w:i/>
        </w:rPr>
        <w:t xml:space="preserve">Tenrei Banshō Meigi</w:t>
      </w:r>
      <w:r>
        <w:t xml:space="preserve"> </w:t>
      </w:r>
      <w:r>
        <w:t xml:space="preserve">ni tsuite</w:t>
      </w:r>
      <w:r>
        <w:t xml:space="preserve">”</w:t>
      </w:r>
      <w:r>
        <w:t xml:space="preserve"> </w:t>
      </w:r>
      <w:r>
        <w:t xml:space="preserve">(On the</w:t>
      </w:r>
      <w:r>
        <w:t xml:space="preserve"> </w:t>
      </w:r>
      <w:r>
        <w:rPr>
          <w:iCs/>
          <w:i/>
        </w:rPr>
        <w:t xml:space="preserve">Tenrei Banshō Meigi</w:t>
      </w:r>
      <w:r>
        <w:t xml:space="preserve"> </w:t>
      </w:r>
      <w:r>
        <w:t xml:space="preserve">as Seen in the Zushoryōbon</w:t>
      </w:r>
      <w:r>
        <w:t xml:space="preserve"> </w:t>
      </w:r>
      <w:r>
        <w:rPr>
          <w:iCs/>
          <w:i/>
        </w:rPr>
        <w:t xml:space="preserve">Ruiju Myōgishō</w:t>
      </w:r>
      <w:r>
        <w:t xml:space="preserve">).</w:t>
      </w:r>
      <w:r>
        <w:t xml:space="preserve"> </w:t>
      </w:r>
      <w:r>
        <w:rPr>
          <w:iCs/>
          <w:i/>
        </w:rPr>
        <w:t xml:space="preserve">Kuntengo to Kunten Shiryō</w:t>
      </w:r>
      <w:r>
        <w:t xml:space="preserve"> </w:t>
      </w:r>
      <w:r>
        <w:t xml:space="preserve">52 (1973): 1–30.</w:t>
      </w:r>
    </w:p>
    <w:p>
      <w:pPr>
        <w:numPr>
          <w:ilvl w:val="0"/>
          <w:numId w:val="1007"/>
        </w:numPr>
        <w:pStyle w:val="Compact"/>
      </w:pPr>
      <w:r>
        <w:rPr>
          <w:bCs/>
          <w:b/>
        </w:rPr>
        <w:t xml:space="preserve">Miyazawa, Toshimasa (1986)</w:t>
      </w:r>
    </w:p>
    <w:p>
      <w:pPr>
        <w:numPr>
          <w:ilvl w:val="1"/>
          <w:numId w:val="1036"/>
        </w:numPr>
        <w:pStyle w:val="Compact"/>
      </w:pPr>
      <w:r>
        <w:t xml:space="preserve">Miyazawa, Toshimasa.</w:t>
      </w:r>
      <w:r>
        <w:t xml:space="preserve"> </w:t>
      </w:r>
      <w:r>
        <w:t xml:space="preserve">“</w:t>
      </w:r>
      <w:r>
        <w:t xml:space="preserve">Zushoryōbon</w:t>
      </w:r>
      <w:r>
        <w:t xml:space="preserve"> </w:t>
      </w:r>
      <w:r>
        <w:rPr>
          <w:iCs/>
          <w:i/>
        </w:rPr>
        <w:t xml:space="preserve">Ruiju Myōgishō</w:t>
      </w:r>
      <w:r>
        <w:t xml:space="preserve"> </w:t>
      </w:r>
      <w:r>
        <w:t xml:space="preserve">to</w:t>
      </w:r>
      <w:r>
        <w:t xml:space="preserve"> </w:t>
      </w:r>
      <w:r>
        <w:rPr>
          <w:iCs/>
          <w:i/>
        </w:rPr>
        <w:t xml:space="preserve">Wamyō Ruijushō</w:t>
      </w:r>
      <w:r>
        <w:t xml:space="preserve">”</w:t>
      </w:r>
      <w:r>
        <w:t xml:space="preserve"> </w:t>
      </w:r>
      <w:r>
        <w:t xml:space="preserve">(The Zushoryōbon</w:t>
      </w:r>
      <w:r>
        <w:t xml:space="preserve"> </w:t>
      </w:r>
      <w:r>
        <w:rPr>
          <w:iCs/>
          <w:i/>
        </w:rPr>
        <w:t xml:space="preserve">Ruiju Myōgishō</w:t>
      </w:r>
      <w:r>
        <w:t xml:space="preserve"> </w:t>
      </w:r>
      <w:r>
        <w:t xml:space="preserve">and the</w:t>
      </w:r>
      <w:r>
        <w:t xml:space="preserve"> </w:t>
      </w:r>
      <w:r>
        <w:rPr>
          <w:iCs/>
          <w:i/>
        </w:rPr>
        <w:t xml:space="preserve">Wamyō Ruijushō</w:t>
      </w:r>
      <w:r>
        <w:t xml:space="preserve">). In</w:t>
      </w:r>
      <w:r>
        <w:t xml:space="preserve"> </w:t>
      </w:r>
      <w:r>
        <w:rPr>
          <w:iCs/>
          <w:i/>
        </w:rPr>
        <w:t xml:space="preserve">Matsumura Akira Kyōju Koki Kinen Kokugo Kenkyū Ronshū</w:t>
      </w:r>
      <w:r>
        <w:t xml:space="preserve"> </w:t>
      </w:r>
      <w:r>
        <w:t xml:space="preserve">(Collection of Japanese Language Studies Papers Commemorating the 70th Birthday of Professor Matsumura Akira), edited by Matsumura Akira Kyōju Koki Kinenkai (Professor Matsumura Akira 70th Birthday Commemoration Committee), 250–265. Tokyo: Meiji Shoin, 1986.</w:t>
      </w:r>
    </w:p>
    <w:p>
      <w:pPr>
        <w:numPr>
          <w:ilvl w:val="0"/>
          <w:numId w:val="1007"/>
        </w:numPr>
        <w:pStyle w:val="Compact"/>
      </w:pPr>
      <w:r>
        <w:rPr>
          <w:bCs/>
          <w:b/>
        </w:rPr>
        <w:t xml:space="preserve">Miyazawa, Toshimasa (1987)</w:t>
      </w:r>
    </w:p>
    <w:p>
      <w:pPr>
        <w:numPr>
          <w:ilvl w:val="1"/>
          <w:numId w:val="1037"/>
        </w:numPr>
        <w:pStyle w:val="Compact"/>
      </w:pPr>
      <w:r>
        <w:t xml:space="preserve">Miyazawa, Toshimasa.</w:t>
      </w:r>
      <w:r>
        <w:t xml:space="preserve"> </w:t>
      </w:r>
      <w:r>
        <w:t xml:space="preserve">“</w:t>
      </w:r>
      <w:r>
        <w:t xml:space="preserve">Zushoryōbon</w:t>
      </w:r>
      <w:r>
        <w:t xml:space="preserve"> </w:t>
      </w:r>
      <w:r>
        <w:rPr>
          <w:iCs/>
          <w:i/>
        </w:rPr>
        <w:t xml:space="preserve">Ruiju Myōgishō</w:t>
      </w:r>
      <w:r>
        <w:t xml:space="preserve"> </w:t>
      </w:r>
      <w:r>
        <w:t xml:space="preserve">to</w:t>
      </w:r>
      <w:r>
        <w:t xml:space="preserve"> </w:t>
      </w:r>
      <w:r>
        <w:rPr>
          <w:iCs/>
          <w:i/>
        </w:rPr>
        <w:t xml:space="preserve">Tenrei Banshō Meigi</w:t>
      </w:r>
      <w:r>
        <w:t xml:space="preserve">”</w:t>
      </w:r>
      <w:r>
        <w:t xml:space="preserve"> </w:t>
      </w:r>
      <w:r>
        <w:t xml:space="preserve">(The Zushoryōbon</w:t>
      </w:r>
      <w:r>
        <w:t xml:space="preserve"> </w:t>
      </w:r>
      <w:r>
        <w:rPr>
          <w:iCs/>
          <w:i/>
        </w:rPr>
        <w:t xml:space="preserve">Ruiju Myōgishō</w:t>
      </w:r>
      <w:r>
        <w:t xml:space="preserve"> </w:t>
      </w:r>
      <w:r>
        <w:t xml:space="preserve">and the</w:t>
      </w:r>
      <w:r>
        <w:t xml:space="preserve"> </w:t>
      </w:r>
      <w:r>
        <w:rPr>
          <w:iCs/>
          <w:i/>
        </w:rPr>
        <w:t xml:space="preserve">Tenrei Banshō Meigi</w:t>
      </w:r>
      <w:r>
        <w:t xml:space="preserve">).</w:t>
      </w:r>
      <w:r>
        <w:t xml:space="preserve"> </w:t>
      </w:r>
      <w:r>
        <w:rPr>
          <w:iCs/>
          <w:i/>
        </w:rPr>
        <w:t xml:space="preserve">Kuntengo to Kunten Shiryō</w:t>
      </w:r>
      <w:r>
        <w:t xml:space="preserve"> </w:t>
      </w:r>
      <w:r>
        <w:t xml:space="preserve">77 (1987): 51–69.</w:t>
      </w:r>
    </w:p>
    <w:p>
      <w:pPr>
        <w:numPr>
          <w:ilvl w:val="0"/>
          <w:numId w:val="1007"/>
        </w:numPr>
        <w:pStyle w:val="Compact"/>
      </w:pPr>
      <w:r>
        <w:rPr>
          <w:bCs/>
          <w:b/>
        </w:rPr>
        <w:t xml:space="preserve">Miyazawa, Toshimasa (1992)</w:t>
      </w:r>
    </w:p>
    <w:p>
      <w:pPr>
        <w:numPr>
          <w:ilvl w:val="1"/>
          <w:numId w:val="1038"/>
        </w:numPr>
        <w:pStyle w:val="Compact"/>
      </w:pPr>
      <w:r>
        <w:t xml:space="preserve">Miyazawa, Toshimasa.</w:t>
      </w:r>
      <w:r>
        <w:t xml:space="preserve"> </w:t>
      </w:r>
      <w:r>
        <w:t xml:space="preserve">“</w:t>
      </w:r>
      <w:r>
        <w:t xml:space="preserve">Zushoryōbon</w:t>
      </w:r>
      <w:r>
        <w:t xml:space="preserve"> </w:t>
      </w:r>
      <w:r>
        <w:rPr>
          <w:iCs/>
          <w:i/>
        </w:rPr>
        <w:t xml:space="preserve">Ruiju Myōgishō</w:t>
      </w:r>
      <w:r>
        <w:t xml:space="preserve"> </w:t>
      </w:r>
      <w:r>
        <w:t xml:space="preserve">no Chūbun no Hairetsu ni tsuite</w:t>
      </w:r>
      <w:r>
        <w:t xml:space="preserve">”</w:t>
      </w:r>
      <w:r>
        <w:t xml:space="preserve"> </w:t>
      </w:r>
      <w:r>
        <w:t xml:space="preserve">(On the Arrangement of Original Glosses [</w:t>
      </w:r>
      <w:r>
        <w:t xml:space="preserve">“</w:t>
      </w:r>
      <w:r>
        <w:t xml:space="preserve">Chūbun</w:t>
      </w:r>
      <w:r>
        <w:t xml:space="preserve">”</w:t>
      </w:r>
      <w:r>
        <w:t xml:space="preserve">] in the Zushoryōbon</w:t>
      </w:r>
      <w:r>
        <w:t xml:space="preserve"> </w:t>
      </w:r>
      <w:r>
        <w:rPr>
          <w:iCs/>
          <w:i/>
        </w:rPr>
        <w:t xml:space="preserve">Ruiju Myōgishō</w:t>
      </w:r>
      <w:r>
        <w:t xml:space="preserve">). In</w:t>
      </w:r>
      <w:r>
        <w:t xml:space="preserve"> </w:t>
      </w:r>
      <w:r>
        <w:rPr>
          <w:iCs/>
          <w:i/>
        </w:rPr>
        <w:t xml:space="preserve">Kobayashi Yoshinori Hakushi Taikan Kinen Kokugogaku Ronshū</w:t>
      </w:r>
      <w:r>
        <w:t xml:space="preserve"> </w:t>
      </w:r>
      <w:r>
        <w:t xml:space="preserve">(Collection of Japanese Linguistics Papers Commemorating the Retirement of Dr. Kobayashi Yoshinori), edited by Kobayashi Yoshinori Hakushi Taikan Kinenkai, 175–195. Tokyo: Kyūko Shoin, 1992.</w:t>
      </w:r>
    </w:p>
    <w:p>
      <w:pPr>
        <w:numPr>
          <w:ilvl w:val="0"/>
          <w:numId w:val="1007"/>
        </w:numPr>
        <w:pStyle w:val="Compact"/>
      </w:pPr>
      <w:r>
        <w:rPr>
          <w:bCs/>
          <w:b/>
        </w:rPr>
        <w:t xml:space="preserve">Mochizuki, Ikuko (1992)</w:t>
      </w:r>
    </w:p>
    <w:p>
      <w:pPr>
        <w:numPr>
          <w:ilvl w:val="1"/>
          <w:numId w:val="1039"/>
        </w:numPr>
        <w:pStyle w:val="Compact"/>
      </w:pPr>
      <w:r>
        <w:t xml:space="preserve">Mochizuki, Ikuko.</w:t>
      </w:r>
      <w:r>
        <w:t xml:space="preserve"> </w:t>
      </w:r>
      <w:r>
        <w:rPr>
          <w:iCs/>
          <w:i/>
        </w:rPr>
        <w:t xml:space="preserve">Ruiju Myōgishō no Bunkengakuteki Kenkyū</w:t>
      </w:r>
      <w:r>
        <w:t xml:space="preserve"> </w:t>
      </w:r>
      <w:r>
        <w:t xml:space="preserve">(A Philological Study of the</w:t>
      </w:r>
      <w:r>
        <w:t xml:space="preserve"> </w:t>
      </w:r>
      <w:r>
        <w:rPr>
          <w:iCs/>
          <w:i/>
        </w:rPr>
        <w:t xml:space="preserve">Ruiju Myōgishō</w:t>
      </w:r>
      <w:r>
        <w:t xml:space="preserve">). Tokyo: Kasama Shoin, 1992.</w:t>
      </w:r>
    </w:p>
    <w:p>
      <w:pPr>
        <w:numPr>
          <w:ilvl w:val="0"/>
          <w:numId w:val="1007"/>
        </w:numPr>
        <w:pStyle w:val="Compact"/>
      </w:pPr>
      <w:r>
        <w:rPr>
          <w:bCs/>
          <w:b/>
        </w:rPr>
        <w:t xml:space="preserve">Nakada, Norio (1955)</w:t>
      </w:r>
    </w:p>
    <w:p>
      <w:pPr>
        <w:numPr>
          <w:ilvl w:val="1"/>
          <w:numId w:val="1040"/>
        </w:numPr>
        <w:pStyle w:val="Compact"/>
      </w:pPr>
      <w:r>
        <w:t xml:space="preserve">Nakada, Norio.</w:t>
      </w:r>
      <w:r>
        <w:t xml:space="preserve"> </w:t>
      </w:r>
      <w:r>
        <w:t xml:space="preserve">“</w:t>
      </w:r>
      <w:r>
        <w:t xml:space="preserve">Ruiju Myōgishō Shiyōsha no Tame ni</w:t>
      </w:r>
      <w:r>
        <w:t xml:space="preserve">”</w:t>
      </w:r>
      <w:r>
        <w:t xml:space="preserve"> </w:t>
      </w:r>
      <w:r>
        <w:t xml:space="preserve">(For Users of the</w:t>
      </w:r>
      <w:r>
        <w:t xml:space="preserve"> </w:t>
      </w:r>
      <w:r>
        <w:rPr>
          <w:iCs/>
          <w:i/>
        </w:rPr>
        <w:t xml:space="preserve">Ruiju Myōgishō</w:t>
      </w:r>
      <w:r>
        <w:t xml:space="preserve">). In</w:t>
      </w:r>
      <w:r>
        <w:t xml:space="preserve"> </w:t>
      </w:r>
      <w:r>
        <w:rPr>
          <w:iCs/>
          <w:i/>
        </w:rPr>
        <w:t xml:space="preserve">Ruiju Myōgishō</w:t>
      </w:r>
      <w:r>
        <w:t xml:space="preserve">, Vol. 2:</w:t>
      </w:r>
      <w:r>
        <w:t xml:space="preserve"> </w:t>
      </w:r>
      <w:r>
        <w:rPr>
          <w:iCs/>
          <w:i/>
        </w:rPr>
        <w:t xml:space="preserve">Kana Index, Kanji Index</w:t>
      </w:r>
      <w:r>
        <w:t xml:space="preserve">, 1–41. Tokyo: Kazama Shobō, 1955.</w:t>
      </w:r>
    </w:p>
    <w:p>
      <w:pPr>
        <w:numPr>
          <w:ilvl w:val="0"/>
          <w:numId w:val="1007"/>
        </w:numPr>
        <w:pStyle w:val="Compact"/>
      </w:pPr>
      <w:r>
        <w:rPr>
          <w:bCs/>
          <w:b/>
        </w:rPr>
        <w:t xml:space="preserve">Nakamura, Munehiko (1983)</w:t>
      </w:r>
    </w:p>
    <w:p>
      <w:pPr>
        <w:numPr>
          <w:ilvl w:val="1"/>
          <w:numId w:val="1041"/>
        </w:numPr>
        <w:pStyle w:val="Compact"/>
      </w:pPr>
      <w:r>
        <w:t xml:space="preserve">Nakamura, Munehiko.</w:t>
      </w:r>
      <w:r>
        <w:t xml:space="preserve"> </w:t>
      </w:r>
      <w:r>
        <w:rPr>
          <w:iCs/>
          <w:i/>
        </w:rPr>
        <w:t xml:space="preserve">Kujōbon Monzen Kokunshū</w:t>
      </w:r>
      <w:r>
        <w:t xml:space="preserve"> </w:t>
      </w:r>
      <w:r>
        <w:t xml:space="preserve">(Old Japanese Readings in the Kujō Text of the</w:t>
      </w:r>
      <w:r>
        <w:t xml:space="preserve"> </w:t>
      </w:r>
      <w:r>
        <w:rPr>
          <w:iCs/>
          <w:i/>
        </w:rPr>
        <w:t xml:space="preserve">Wén Xuǎn</w:t>
      </w:r>
      <w:r>
        <w:t xml:space="preserve">). Tokyo: Kazama Shobō, 1983.</w:t>
      </w:r>
    </w:p>
    <w:p>
      <w:pPr>
        <w:numPr>
          <w:ilvl w:val="0"/>
          <w:numId w:val="1007"/>
        </w:numPr>
        <w:pStyle w:val="Compact"/>
      </w:pPr>
      <w:r>
        <w:rPr>
          <w:bCs/>
          <w:b/>
        </w:rPr>
        <w:t xml:space="preserve">Nishihara, Kazuyuki (1988)</w:t>
      </w:r>
    </w:p>
    <w:p>
      <w:pPr>
        <w:numPr>
          <w:ilvl w:val="1"/>
          <w:numId w:val="1042"/>
        </w:numPr>
        <w:pStyle w:val="Compact"/>
      </w:pPr>
      <w:r>
        <w:t xml:space="preserve">Nishihara, Kazuyuki.</w:t>
      </w:r>
      <w:r>
        <w:t xml:space="preserve"> </w:t>
      </w:r>
      <w:r>
        <w:t xml:space="preserve">“</w:t>
      </w:r>
      <w:r>
        <w:t xml:space="preserve">Zushoryōbon</w:t>
      </w:r>
      <w:r>
        <w:t xml:space="preserve"> </w:t>
      </w:r>
      <w:r>
        <w:rPr>
          <w:iCs/>
          <w:i/>
        </w:rPr>
        <w:t xml:space="preserve">Ruiju Myōgishō</w:t>
      </w:r>
      <w:r>
        <w:t xml:space="preserve"> </w:t>
      </w:r>
      <w:r>
        <w:t xml:space="preserve">Shoin no</w:t>
      </w:r>
      <w:r>
        <w:t xml:space="preserve"> </w:t>
      </w:r>
      <w:r>
        <w:t xml:space="preserve">‘</w:t>
      </w:r>
      <w:r>
        <w:t xml:space="preserve">Ruiun</w:t>
      </w:r>
      <w:r>
        <w:t xml:space="preserve">’</w:t>
      </w:r>
      <w:r>
        <w:t xml:space="preserve"> </w:t>
      </w:r>
      <w:r>
        <w:t xml:space="preserve">to wa Nani ka</w:t>
      </w:r>
      <w:r>
        <w:t xml:space="preserve">”</w:t>
      </w:r>
      <w:r>
        <w:t xml:space="preserve"> </w:t>
      </w:r>
      <w:r>
        <w:t xml:space="preserve">(What is the Citation Term</w:t>
      </w:r>
      <w:r>
        <w:t xml:space="preserve"> </w:t>
      </w:r>
      <w:r>
        <w:t xml:space="preserve">‘</w:t>
      </w:r>
      <w:r>
        <w:t xml:space="preserve">Ruiun</w:t>
      </w:r>
      <w:r>
        <w:t xml:space="preserve">’</w:t>
      </w:r>
      <w:r>
        <w:t xml:space="preserve"> </w:t>
      </w:r>
      <w:r>
        <w:t xml:space="preserve">— meaning</w:t>
      </w:r>
      <w:r>
        <w:t xml:space="preserve"> </w:t>
      </w:r>
      <w:r>
        <w:t xml:space="preserve">‘</w:t>
      </w:r>
      <w:r>
        <w:t xml:space="preserve">Cited in</w:t>
      </w:r>
      <w:r>
        <w:t xml:space="preserve"> </w:t>
      </w:r>
      <w:r>
        <w:rPr>
          <w:iCs/>
          <w:i/>
        </w:rPr>
        <w:t xml:space="preserve">Rui</w:t>
      </w:r>
      <w:r>
        <w:t xml:space="preserve"> </w:t>
      </w:r>
      <w:r>
        <w:t xml:space="preserve">(</w:t>
      </w:r>
      <w:r>
        <w:rPr>
          <w:iCs/>
          <w:i/>
        </w:rPr>
        <w:t xml:space="preserve">Ruionketsu</w:t>
      </w:r>
      <w:r>
        <w:t xml:space="preserve">)</w:t>
      </w:r>
      <w:r>
        <w:t xml:space="preserve">’</w:t>
      </w:r>
      <w:r>
        <w:t xml:space="preserve"> </w:t>
      </w:r>
      <w:r>
        <w:t xml:space="preserve">— Found in the Zushoryōbon</w:t>
      </w:r>
      <w:r>
        <w:t xml:space="preserve"> </w:t>
      </w:r>
      <w:r>
        <w:rPr>
          <w:iCs/>
          <w:i/>
        </w:rPr>
        <w:t xml:space="preserve">Ruiju Myōgishō</w:t>
      </w:r>
      <w:r>
        <w:t xml:space="preserve">?). In</w:t>
      </w:r>
      <w:r>
        <w:t xml:space="preserve"> </w:t>
      </w:r>
      <w:r>
        <w:rPr>
          <w:iCs/>
          <w:i/>
        </w:rPr>
        <w:t xml:space="preserve">Wakan Hikaku Bungaku Kenkyū no Shomondai</w:t>
      </w:r>
      <w:r>
        <w:t xml:space="preserve"> </w:t>
      </w:r>
      <w:r>
        <w:t xml:space="preserve">(Various Issues in the Study of Japanese and Chinese Comparative Literature), edited by Wakan Hikaku Bungakkai,</w:t>
      </w:r>
      <w:r>
        <w:t xml:space="preserve"> </w:t>
      </w:r>
      <w:r>
        <w:rPr>
          <w:iCs/>
          <w:i/>
        </w:rPr>
        <w:t xml:space="preserve">Wakan Hikaku Bungaku Sōsho</w:t>
      </w:r>
      <w:r>
        <w:t xml:space="preserve"> </w:t>
      </w:r>
      <w:r>
        <w:t xml:space="preserve">(Series on Japanese and Chinese Comparative Literature) 8, 65–81. Tokyo: Kyūko Shoin, 1988.</w:t>
      </w:r>
    </w:p>
    <w:p>
      <w:pPr>
        <w:numPr>
          <w:ilvl w:val="0"/>
          <w:numId w:val="1007"/>
        </w:numPr>
        <w:pStyle w:val="Compact"/>
      </w:pPr>
      <w:r>
        <w:rPr>
          <w:bCs/>
          <w:b/>
        </w:rPr>
        <w:t xml:space="preserve">Nishihata, Yukio (1971)</w:t>
      </w:r>
    </w:p>
    <w:p>
      <w:pPr>
        <w:numPr>
          <w:ilvl w:val="1"/>
          <w:numId w:val="1043"/>
        </w:numPr>
        <w:pStyle w:val="Compact"/>
      </w:pPr>
      <w:r>
        <w:t xml:space="preserve">Nishihata, Yukio.</w:t>
      </w:r>
      <w:r>
        <w:t xml:space="preserve"> </w:t>
      </w:r>
      <w:r>
        <w:t xml:space="preserve">“</w:t>
      </w:r>
      <w:r>
        <w:t xml:space="preserve">Ruiju Myōgishō ni okeru Gosha no Kōsatsu</w:t>
      </w:r>
      <w:r>
        <w:t xml:space="preserve">”</w:t>
      </w:r>
      <w:r>
        <w:t xml:space="preserve"> </w:t>
      </w:r>
      <w:r>
        <w:t xml:space="preserve">(A Study of Scribal Errors in the</w:t>
      </w:r>
      <w:r>
        <w:t xml:space="preserve"> </w:t>
      </w:r>
      <w:r>
        <w:rPr>
          <w:iCs/>
          <w:i/>
        </w:rPr>
        <w:t xml:space="preserve">Ruiju Myōgishō</w:t>
      </w:r>
      <w:r>
        <w:t xml:space="preserve">).</w:t>
      </w:r>
      <w:r>
        <w:t xml:space="preserve"> </w:t>
      </w:r>
      <w:r>
        <w:rPr>
          <w:iCs/>
          <w:i/>
        </w:rPr>
        <w:t xml:space="preserve">Kuntengo to Kunten Shiryō</w:t>
      </w:r>
      <w:r>
        <w:t xml:space="preserve"> </w:t>
      </w:r>
      <w:r>
        <w:t xml:space="preserve">45 (1971): 37–54.</w:t>
      </w:r>
    </w:p>
    <w:p>
      <w:pPr>
        <w:numPr>
          <w:ilvl w:val="0"/>
          <w:numId w:val="1007"/>
        </w:numPr>
        <w:pStyle w:val="Compact"/>
      </w:pPr>
      <w:r>
        <w:rPr>
          <w:bCs/>
          <w:b/>
        </w:rPr>
        <w:t xml:space="preserve">Numoto, Katsuaki (1978)</w:t>
      </w:r>
    </w:p>
    <w:p>
      <w:pPr>
        <w:numPr>
          <w:ilvl w:val="1"/>
          <w:numId w:val="1044"/>
        </w:numPr>
        <w:pStyle w:val="Compact"/>
      </w:pPr>
      <w:r>
        <w:t xml:space="preserve">Numoto, Katsuaki.</w:t>
      </w:r>
      <w:r>
        <w:t xml:space="preserve"> </w:t>
      </w:r>
      <w:r>
        <w:t xml:space="preserve">“</w:t>
      </w:r>
      <w:r>
        <w:t xml:space="preserve">Zushoryōbon</w:t>
      </w:r>
      <w:r>
        <w:t xml:space="preserve"> </w:t>
      </w:r>
      <w:r>
        <w:rPr>
          <w:iCs/>
          <w:i/>
        </w:rPr>
        <w:t xml:space="preserve">Ruiju Myōgishō</w:t>
      </w:r>
      <w:r>
        <w:t xml:space="preserve"> </w:t>
      </w:r>
      <w:r>
        <w:t xml:space="preserve">‘</w:t>
      </w:r>
      <w:r>
        <w:t xml:space="preserve">Shingō On (Waon)</w:t>
      </w:r>
      <w:r>
        <w:t xml:space="preserve">’</w:t>
      </w:r>
      <w:r>
        <w:t xml:space="preserve"> </w:t>
      </w:r>
      <w:r>
        <w:t xml:space="preserve">Ron: Zokuchō</w:t>
      </w:r>
      <w:r>
        <w:t xml:space="preserve">”</w:t>
      </w:r>
      <w:r>
        <w:t xml:space="preserve"> </w:t>
      </w:r>
      <w:r>
        <w:t xml:space="preserve">(A Supplementary Study on the</w:t>
      </w:r>
      <w:r>
        <w:t xml:space="preserve"> </w:t>
      </w:r>
      <w:r>
        <w:t xml:space="preserve">‘</w:t>
      </w:r>
      <w:r>
        <w:t xml:space="preserve">Shingō Phonetic Readings (Japanese Readings)</w:t>
      </w:r>
      <w:r>
        <w:t xml:space="preserve">’</w:t>
      </w:r>
      <w:r>
        <w:t xml:space="preserve"> </w:t>
      </w:r>
      <w:r>
        <w:t xml:space="preserve">in the Zushoryōbon</w:t>
      </w:r>
      <w:r>
        <w:t xml:space="preserve"> </w:t>
      </w:r>
      <w:r>
        <w:rPr>
          <w:iCs/>
          <w:i/>
        </w:rPr>
        <w:t xml:space="preserve">Ruiju Myōgishō</w:t>
      </w:r>
      <w:r>
        <w:t xml:space="preserve">).</w:t>
      </w:r>
      <w:r>
        <w:t xml:space="preserve"> </w:t>
      </w:r>
      <w:r>
        <w:rPr>
          <w:iCs/>
          <w:i/>
        </w:rPr>
        <w:t xml:space="preserve">Kokugo to Kokubungaku</w:t>
      </w:r>
      <w:r>
        <w:t xml:space="preserve"> </w:t>
      </w:r>
      <w:r>
        <w:t xml:space="preserve">55, no. 10 (1978): 54–68.</w:t>
      </w:r>
    </w:p>
    <w:p>
      <w:pPr>
        <w:numPr>
          <w:ilvl w:val="0"/>
          <w:numId w:val="1007"/>
        </w:numPr>
        <w:pStyle w:val="Compact"/>
      </w:pPr>
      <w:r>
        <w:rPr>
          <w:bCs/>
          <w:b/>
        </w:rPr>
        <w:t xml:space="preserve">Okada, Mareo (1944)</w:t>
      </w:r>
    </w:p>
    <w:p>
      <w:pPr>
        <w:numPr>
          <w:ilvl w:val="1"/>
          <w:numId w:val="1045"/>
        </w:numPr>
        <w:pStyle w:val="Compact"/>
      </w:pPr>
      <w:r>
        <w:t xml:space="preserve">Okada, Mareo.</w:t>
      </w:r>
      <w:r>
        <w:t xml:space="preserve"> </w:t>
      </w:r>
      <w:r>
        <w:rPr>
          <w:iCs/>
          <w:i/>
        </w:rPr>
        <w:t xml:space="preserve">Ruiju Myōgishō no Kenkyū</w:t>
      </w:r>
      <w:r>
        <w:t xml:space="preserve"> </w:t>
      </w:r>
      <w:r>
        <w:t xml:space="preserve">(Research on the</w:t>
      </w:r>
      <w:r>
        <w:t xml:space="preserve"> </w:t>
      </w:r>
      <w:r>
        <w:rPr>
          <w:iCs/>
          <w:i/>
        </w:rPr>
        <w:t xml:space="preserve">Ruiju Myōgishō</w:t>
      </w:r>
      <w:r>
        <w:t xml:space="preserve">). Kyoto: Ichijō Shobō, 1944.</w:t>
      </w:r>
    </w:p>
    <w:p>
      <w:pPr>
        <w:numPr>
          <w:ilvl w:val="0"/>
          <w:numId w:val="1007"/>
        </w:numPr>
        <w:pStyle w:val="Compact"/>
      </w:pPr>
      <w:r>
        <w:rPr>
          <w:bCs/>
          <w:b/>
        </w:rPr>
        <w:t xml:space="preserve">Ōtsuki, Makoto (2018)</w:t>
      </w:r>
    </w:p>
    <w:p>
      <w:pPr>
        <w:numPr>
          <w:ilvl w:val="1"/>
          <w:numId w:val="1046"/>
        </w:numPr>
        <w:pStyle w:val="Compact"/>
      </w:pPr>
      <w:r>
        <w:t xml:space="preserve">Ōtsuki, Makoto.</w:t>
      </w:r>
      <w:r>
        <w:t xml:space="preserve"> </w:t>
      </w:r>
      <w:r>
        <w:t xml:space="preserve">“</w:t>
      </w:r>
      <w:r>
        <w:rPr>
          <w:iCs/>
          <w:i/>
        </w:rPr>
        <w:t xml:space="preserve">Ruiju Myōgishō Kanchi-in bon</w:t>
      </w:r>
      <w:r>
        <w:t xml:space="preserve"> </w:t>
      </w:r>
      <w:r>
        <w:t xml:space="preserve">Kaidai</w:t>
      </w:r>
      <w:r>
        <w:t xml:space="preserve">”</w:t>
      </w:r>
      <w:r>
        <w:t xml:space="preserve"> </w:t>
      </w:r>
      <w:r>
        <w:t xml:space="preserve">(Bibliographical Introduction to the</w:t>
      </w:r>
      <w:r>
        <w:t xml:space="preserve"> </w:t>
      </w:r>
      <w:r>
        <w:rPr>
          <w:iCs/>
          <w:i/>
        </w:rPr>
        <w:t xml:space="preserve">Ruiju Myōgishō</w:t>
      </w:r>
      <w:r>
        <w:t xml:space="preserve">, Kanchi-in Manuscript). In</w:t>
      </w:r>
      <w:r>
        <w:t xml:space="preserve"> </w:t>
      </w:r>
      <w:r>
        <w:rPr>
          <w:iCs/>
          <w:i/>
        </w:rPr>
        <w:t xml:space="preserve">Ruiju Myōgishō Kanchi-in bon San: Sō</w:t>
      </w:r>
      <w:r>
        <w:t xml:space="preserve"> </w:t>
      </w:r>
      <w:r>
        <w:t xml:space="preserve">(</w:t>
      </w:r>
      <w:r>
        <w:rPr>
          <w:iCs/>
          <w:i/>
        </w:rPr>
        <w:t xml:space="preserve">Ruiju Myōgishō</w:t>
      </w:r>
      <w:r>
        <w:t xml:space="preserve">, Kanchi-in Manuscript, Volume 3: Monk Section), edited by Tenri Daigaku Fuzoku Tenri Toshokan (Tenri Central Library),</w:t>
      </w:r>
      <w:r>
        <w:t xml:space="preserve"> </w:t>
      </w:r>
      <w:r>
        <w:rPr>
          <w:iCs/>
          <w:i/>
        </w:rPr>
        <w:t xml:space="preserve">Shin Tenri Toshokan Zempon Sōsho</w:t>
      </w:r>
      <w:r>
        <w:t xml:space="preserve"> </w:t>
      </w:r>
      <w:r>
        <w:t xml:space="preserve">(New Tenri Library Rare Books Series) 11, 1–32. Tokyo: Yagi Shoten, 2018.</w:t>
      </w:r>
    </w:p>
    <w:p>
      <w:pPr>
        <w:numPr>
          <w:ilvl w:val="0"/>
          <w:numId w:val="1007"/>
        </w:numPr>
        <w:pStyle w:val="Compact"/>
      </w:pPr>
      <w:r>
        <w:rPr>
          <w:bCs/>
          <w:b/>
        </w:rPr>
        <w:t xml:space="preserve">Ōtsuki, Makoto (2019)</w:t>
      </w:r>
    </w:p>
    <w:p>
      <w:pPr>
        <w:numPr>
          <w:ilvl w:val="1"/>
          <w:numId w:val="1047"/>
        </w:numPr>
        <w:pStyle w:val="Compact"/>
      </w:pPr>
      <w:r>
        <w:t xml:space="preserve">Ōtsuki, Makoto.</w:t>
      </w:r>
      <w:r>
        <w:t xml:space="preserve"> </w:t>
      </w:r>
      <w:r>
        <w:rPr>
          <w:iCs/>
          <w:i/>
        </w:rPr>
        <w:t xml:space="preserve">Heian Jidai Jisho Ronkō: Jisho to Zairyō</w:t>
      </w:r>
      <w:r>
        <w:t xml:space="preserve"> </w:t>
      </w:r>
      <w:r>
        <w:t xml:space="preserve">(Studies on Heian Period Dictionaries: Dictionaries and Materials). Tokyo: Yoshikawa Kōbunkan, 2019.</w:t>
      </w:r>
    </w:p>
    <w:p>
      <w:pPr>
        <w:numPr>
          <w:ilvl w:val="0"/>
          <w:numId w:val="1007"/>
        </w:numPr>
        <w:pStyle w:val="Compact"/>
      </w:pPr>
      <w:r>
        <w:rPr>
          <w:bCs/>
          <w:b/>
        </w:rPr>
        <w:t xml:space="preserve">Sadakari, Itoku (1983)</w:t>
      </w:r>
    </w:p>
    <w:p>
      <w:pPr>
        <w:numPr>
          <w:ilvl w:val="1"/>
          <w:numId w:val="1048"/>
        </w:numPr>
        <w:pStyle w:val="Compact"/>
      </w:pPr>
      <w:r>
        <w:t xml:space="preserve">Sadakari, Itoku.</w:t>
      </w:r>
      <w:r>
        <w:t xml:space="preserve"> </w:t>
      </w:r>
      <w:r>
        <w:t xml:space="preserve">“</w:t>
      </w:r>
      <w:r>
        <w:t xml:space="preserve">Kanchi-in bon</w:t>
      </w:r>
      <w:r>
        <w:t xml:space="preserve"> </w:t>
      </w:r>
      <w:r>
        <w:rPr>
          <w:iCs/>
          <w:i/>
        </w:rPr>
        <w:t xml:space="preserve">Ruiju Myōgishō</w:t>
      </w:r>
      <w:r>
        <w:t xml:space="preserve"> </w:t>
      </w:r>
      <w:r>
        <w:t xml:space="preserve">no Keisei ni kansuru Kōsatsu: Sono 1, Jijun o meguru Mondai</w:t>
      </w:r>
      <w:r>
        <w:t xml:space="preserve">”</w:t>
      </w:r>
      <w:r>
        <w:t xml:space="preserve"> </w:t>
      </w:r>
      <w:r>
        <w:t xml:space="preserve">(A Study on the Formation of the Kanchi-in manuscript</w:t>
      </w:r>
      <w:r>
        <w:t xml:space="preserve"> </w:t>
      </w:r>
      <w:r>
        <w:rPr>
          <w:iCs/>
          <w:i/>
        </w:rPr>
        <w:t xml:space="preserve">Ruiju Myōgishō</w:t>
      </w:r>
      <w:r>
        <w:t xml:space="preserve">: Part 1, Problems Concerning Character Order). Paper presented at the 48th Meeting of the Kuntengo Gakkai (Society for Kunten Language Research), Kyoto, May 20, 1983.</w:t>
      </w:r>
    </w:p>
    <w:p>
      <w:pPr>
        <w:numPr>
          <w:ilvl w:val="0"/>
          <w:numId w:val="1007"/>
        </w:numPr>
        <w:pStyle w:val="Compact"/>
      </w:pPr>
      <w:r>
        <w:rPr>
          <w:bCs/>
          <w:b/>
        </w:rPr>
        <w:t xml:space="preserve">Sadakari, Itoku (1998)</w:t>
      </w:r>
    </w:p>
    <w:p>
      <w:pPr>
        <w:numPr>
          <w:ilvl w:val="1"/>
          <w:numId w:val="1049"/>
        </w:numPr>
        <w:pStyle w:val="Compact"/>
      </w:pPr>
      <w:r>
        <w:t xml:space="preserve">Sadakari, Itoku.</w:t>
      </w:r>
      <w:r>
        <w:t xml:space="preserve"> </w:t>
      </w:r>
      <w:r>
        <w:rPr>
          <w:iCs/>
          <w:i/>
        </w:rPr>
        <w:t xml:space="preserve">Shinsen Jikyō no Kenkyū</w:t>
      </w:r>
      <w:r>
        <w:t xml:space="preserve"> </w:t>
      </w:r>
      <w:r>
        <w:t xml:space="preserve">(A Study of the</w:t>
      </w:r>
      <w:r>
        <w:t xml:space="preserve"> </w:t>
      </w:r>
      <w:r>
        <w:rPr>
          <w:iCs/>
          <w:i/>
        </w:rPr>
        <w:t xml:space="preserve">Shinsen Jikyō</w:t>
      </w:r>
      <w:r>
        <w:t xml:space="preserve">). Tokyo: Kyūko Shoin, 1998.</w:t>
      </w:r>
    </w:p>
    <w:p>
      <w:pPr>
        <w:numPr>
          <w:ilvl w:val="0"/>
          <w:numId w:val="1007"/>
        </w:numPr>
        <w:pStyle w:val="Compact"/>
      </w:pPr>
      <w:r>
        <w:rPr>
          <w:bCs/>
          <w:b/>
        </w:rPr>
        <w:t xml:space="preserve">Sakai, Kenji (1967)</w:t>
      </w:r>
    </w:p>
    <w:p>
      <w:pPr>
        <w:numPr>
          <w:ilvl w:val="1"/>
          <w:numId w:val="1050"/>
        </w:numPr>
        <w:pStyle w:val="Compact"/>
      </w:pPr>
      <w:r>
        <w:t xml:space="preserve">Sakai, Kenji.</w:t>
      </w:r>
      <w:r>
        <w:t xml:space="preserve"> </w:t>
      </w:r>
      <w:r>
        <w:t xml:space="preserve">“</w:t>
      </w:r>
      <w:r>
        <w:t xml:space="preserve">Ruiju Myōgishō no Jijun to Bushu Hairetsu</w:t>
      </w:r>
      <w:r>
        <w:t xml:space="preserve">”</w:t>
      </w:r>
      <w:r>
        <w:t xml:space="preserve"> </w:t>
      </w:r>
      <w:r>
        <w:t xml:space="preserve">(Character Order and Radical Arrangement in the</w:t>
      </w:r>
      <w:r>
        <w:t xml:space="preserve"> </w:t>
      </w:r>
      <w:r>
        <w:rPr>
          <w:iCs/>
          <w:i/>
        </w:rPr>
        <w:t xml:space="preserve">Ruiju Myōgishō</w:t>
      </w:r>
      <w:r>
        <w:t xml:space="preserve">). In</w:t>
      </w:r>
      <w:r>
        <w:t xml:space="preserve"> </w:t>
      </w:r>
      <w:r>
        <w:rPr>
          <w:iCs/>
          <w:i/>
        </w:rPr>
        <w:t xml:space="preserve">Honpō Jishoshi Ronsō: Yamada Yoshio Tsuioku</w:t>
      </w:r>
      <w:r>
        <w:t xml:space="preserve"> </w:t>
      </w:r>
      <w:r>
        <w:t xml:space="preserve">(Collected Papers on the History of Dictionaries in Japan: In Memory of Yamada Yoshio), edited by Yamada Tadao, 191–258. Tokyo: Sanseidō, 1967.</w:t>
      </w:r>
    </w:p>
    <w:p>
      <w:pPr>
        <w:numPr>
          <w:ilvl w:val="0"/>
          <w:numId w:val="1007"/>
        </w:numPr>
        <w:pStyle w:val="Compact"/>
      </w:pPr>
      <w:r>
        <w:rPr>
          <w:bCs/>
          <w:b/>
        </w:rPr>
        <w:t xml:space="preserve">Sasaki, Isamu (1988)</w:t>
      </w:r>
    </w:p>
    <w:p>
      <w:pPr>
        <w:numPr>
          <w:ilvl w:val="1"/>
          <w:numId w:val="1051"/>
        </w:numPr>
        <w:pStyle w:val="Compact"/>
      </w:pPr>
      <w:r>
        <w:t xml:space="preserve">Sasaki, Isamu.</w:t>
      </w:r>
      <w:r>
        <w:t xml:space="preserve"> </w:t>
      </w:r>
      <w:r>
        <w:t xml:space="preserve">“</w:t>
      </w:r>
      <w:r>
        <w:t xml:space="preserve">Tenri Toshokan-zō Shōhei 7-nen Shahon</w:t>
      </w:r>
      <w:r>
        <w:t xml:space="preserve"> </w:t>
      </w:r>
      <w:r>
        <w:rPr>
          <w:iCs/>
          <w:i/>
        </w:rPr>
        <w:t xml:space="preserve">Saishōōkyō Ongi</w:t>
      </w:r>
      <w:r>
        <w:t xml:space="preserve"> </w:t>
      </w:r>
      <w:r>
        <w:t xml:space="preserve">no Seikaku:</w:t>
      </w:r>
      <w:r>
        <w:t xml:space="preserve"> </w:t>
      </w:r>
      <w:r>
        <w:rPr>
          <w:iCs/>
          <w:i/>
        </w:rPr>
        <w:t xml:space="preserve">Ruiju Myōgishō</w:t>
      </w:r>
      <w:r>
        <w:t xml:space="preserve"> </w:t>
      </w:r>
      <w:r>
        <w:t xml:space="preserve">Shohon to no Hikaku o Chūshin ni</w:t>
      </w:r>
      <w:r>
        <w:t xml:space="preserve">”</w:t>
      </w:r>
      <w:r>
        <w:t xml:space="preserve"> </w:t>
      </w:r>
      <w:r>
        <w:t xml:space="preserve">(The Nature of the 1352 Manuscript of the</w:t>
      </w:r>
      <w:r>
        <w:t xml:space="preserve"> </w:t>
      </w:r>
      <w:r>
        <w:rPr>
          <w:iCs/>
          <w:i/>
        </w:rPr>
        <w:t xml:space="preserve">Saishōōkyō Ongi</w:t>
      </w:r>
      <w:r>
        <w:t xml:space="preserve"> </w:t>
      </w:r>
      <w:r>
        <w:t xml:space="preserve">held by the Tenri Library: Focusing on Comparison with Various Manuscripts of the</w:t>
      </w:r>
      <w:r>
        <w:t xml:space="preserve"> </w:t>
      </w:r>
      <w:r>
        <w:rPr>
          <w:iCs/>
          <w:i/>
        </w:rPr>
        <w:t xml:space="preserve">Ruiju Myōgishō</w:t>
      </w:r>
      <w:r>
        <w:t xml:space="preserve">).</w:t>
      </w:r>
      <w:r>
        <w:t xml:space="preserve"> </w:t>
      </w:r>
      <w:r>
        <w:rPr>
          <w:iCs/>
          <w:i/>
        </w:rPr>
        <w:t xml:space="preserve">Kamakura Jidaigo Kenkyū</w:t>
      </w:r>
      <w:r>
        <w:t xml:space="preserve"> </w:t>
      </w:r>
      <w:r>
        <w:t xml:space="preserve">11 (1988): 261–294.</w:t>
      </w:r>
    </w:p>
    <w:p>
      <w:pPr>
        <w:numPr>
          <w:ilvl w:val="0"/>
          <w:numId w:val="1007"/>
        </w:numPr>
        <w:pStyle w:val="Compact"/>
      </w:pPr>
      <w:r>
        <w:rPr>
          <w:bCs/>
          <w:b/>
        </w:rPr>
        <w:t xml:space="preserve">Suzuki, Yūya (2020)</w:t>
      </w:r>
    </w:p>
    <w:p>
      <w:pPr>
        <w:numPr>
          <w:ilvl w:val="1"/>
          <w:numId w:val="1052"/>
        </w:numPr>
        <w:pStyle w:val="Compact"/>
      </w:pPr>
      <w:r>
        <w:t xml:space="preserve">Suzuki, Yūya.</w:t>
      </w:r>
      <w:r>
        <w:t xml:space="preserve"> </w:t>
      </w:r>
      <w:r>
        <w:t xml:space="preserve">“</w:t>
      </w:r>
      <w:r>
        <w:t xml:space="preserve">Kaihenbon</w:t>
      </w:r>
      <w:r>
        <w:t xml:space="preserve"> </w:t>
      </w:r>
      <w:r>
        <w:rPr>
          <w:iCs/>
          <w:i/>
        </w:rPr>
        <w:t xml:space="preserve">Ruiju Myōgishō</w:t>
      </w:r>
      <w:r>
        <w:t xml:space="preserve"> </w:t>
      </w:r>
      <w:r>
        <w:t xml:space="preserve">ni okeru</w:t>
      </w:r>
      <w:r>
        <w:t xml:space="preserve"> </w:t>
      </w:r>
      <w:r>
        <w:rPr>
          <w:iCs/>
          <w:i/>
        </w:rPr>
        <w:t xml:space="preserve">Waonchū</w:t>
      </w:r>
      <w:r>
        <w:t xml:space="preserve"> </w:t>
      </w:r>
      <w:r>
        <w:t xml:space="preserve">no Keishō to Zōho ni tsuite</w:t>
      </w:r>
      <w:r>
        <w:t xml:space="preserve">”</w:t>
      </w:r>
      <w:r>
        <w:t xml:space="preserve"> </w:t>
      </w:r>
      <w:r>
        <w:t xml:space="preserve">(On the Inheritance and Expansion of</w:t>
      </w:r>
      <w:r>
        <w:t xml:space="preserve"> </w:t>
      </w:r>
      <w:r>
        <w:rPr>
          <w:iCs/>
          <w:i/>
        </w:rPr>
        <w:t xml:space="preserve">Waon</w:t>
      </w:r>
      <w:r>
        <w:t xml:space="preserve"> </w:t>
      </w:r>
      <w:r>
        <w:t xml:space="preserve">Annotations in the Revised</w:t>
      </w:r>
      <w:r>
        <w:t xml:space="preserve"> </w:t>
      </w:r>
      <w:r>
        <w:rPr>
          <w:iCs/>
          <w:i/>
        </w:rPr>
        <w:t xml:space="preserve">Ruiju Myōgishō</w:t>
      </w:r>
      <w:r>
        <w:t xml:space="preserve">).</w:t>
      </w:r>
      <w:r>
        <w:t xml:space="preserve"> </w:t>
      </w:r>
      <w:r>
        <w:rPr>
          <w:iCs/>
          <w:i/>
        </w:rPr>
        <w:t xml:space="preserve">Kuntengo to Kunten Shiryō</w:t>
      </w:r>
      <w:r>
        <w:t xml:space="preserve"> </w:t>
      </w:r>
      <w:r>
        <w:t xml:space="preserve">144 (2020): 82–104.</w:t>
      </w:r>
    </w:p>
    <w:p>
      <w:pPr>
        <w:numPr>
          <w:ilvl w:val="0"/>
          <w:numId w:val="1007"/>
        </w:numPr>
        <w:pStyle w:val="Compact"/>
      </w:pPr>
      <w:r>
        <w:rPr>
          <w:bCs/>
          <w:b/>
        </w:rPr>
        <w:t xml:space="preserve">Suzuki, Yūya (2021)</w:t>
      </w:r>
    </w:p>
    <w:p>
      <w:pPr>
        <w:numPr>
          <w:ilvl w:val="1"/>
          <w:numId w:val="1053"/>
        </w:numPr>
        <w:pStyle w:val="Compact"/>
      </w:pPr>
      <w:r>
        <w:t xml:space="preserve">Suzuki, Yūya.</w:t>
      </w:r>
      <w:r>
        <w:t xml:space="preserve"> </w:t>
      </w:r>
      <w:r>
        <w:t xml:space="preserve">“</w:t>
      </w:r>
      <w:r>
        <w:t xml:space="preserve">Kaihenbon</w:t>
      </w:r>
      <w:r>
        <w:t xml:space="preserve"> </w:t>
      </w:r>
      <w:r>
        <w:rPr>
          <w:iCs/>
          <w:i/>
        </w:rPr>
        <w:t xml:space="preserve">Ruiju Myōgishō</w:t>
      </w:r>
      <w:r>
        <w:t xml:space="preserve"> </w:t>
      </w:r>
      <w:r>
        <w:t xml:space="preserve">no</w:t>
      </w:r>
      <w:r>
        <w:t xml:space="preserve"> </w:t>
      </w:r>
      <w:r>
        <w:rPr>
          <w:iCs/>
          <w:i/>
        </w:rPr>
        <w:t xml:space="preserve">Goonchū</w:t>
      </w:r>
      <w:r>
        <w:t xml:space="preserve"> </w:t>
      </w:r>
      <w:r>
        <w:t xml:space="preserve">to</w:t>
      </w:r>
      <w:r>
        <w:t xml:space="preserve"> </w:t>
      </w:r>
      <w:r>
        <w:rPr>
          <w:iCs/>
          <w:i/>
        </w:rPr>
        <w:t xml:space="preserve">Kyōtsū Sohon</w:t>
      </w:r>
      <w:r>
        <w:t xml:space="preserve"> </w:t>
      </w:r>
      <w:r>
        <w:t xml:space="preserve">ni tsuite</w:t>
      </w:r>
      <w:r>
        <w:t xml:space="preserve">”</w:t>
      </w:r>
      <w:r>
        <w:t xml:space="preserve"> </w:t>
      </w:r>
      <w:r>
        <w:t xml:space="preserve">(On the</w:t>
      </w:r>
      <w:r>
        <w:t xml:space="preserve"> </w:t>
      </w:r>
      <w:r>
        <w:rPr>
          <w:iCs/>
          <w:i/>
        </w:rPr>
        <w:t xml:space="preserve">Go’on</w:t>
      </w:r>
      <w:r>
        <w:t xml:space="preserve"> </w:t>
      </w:r>
      <w:r>
        <w:t xml:space="preserve">Annotations and the Common Ancestor Text of the Revised</w:t>
      </w:r>
      <w:r>
        <w:t xml:space="preserve"> </w:t>
      </w:r>
      <w:r>
        <w:rPr>
          <w:iCs/>
          <w:i/>
        </w:rPr>
        <w:t xml:space="preserve">Ruiju Myōgishō</w:t>
      </w:r>
      <w:r>
        <w:t xml:space="preserve">).</w:t>
      </w:r>
      <w:r>
        <w:t xml:space="preserve"> </w:t>
      </w:r>
      <w:r>
        <w:rPr>
          <w:iCs/>
          <w:i/>
        </w:rPr>
        <w:t xml:space="preserve">Kokugo Kokubun</w:t>
      </w:r>
      <w:r>
        <w:t xml:space="preserve"> </w:t>
      </w:r>
      <w:r>
        <w:t xml:space="preserve">90, no. 2 (2021): 27–57.</w:t>
      </w:r>
    </w:p>
    <w:p>
      <w:pPr>
        <w:numPr>
          <w:ilvl w:val="0"/>
          <w:numId w:val="1007"/>
        </w:numPr>
        <w:pStyle w:val="Compact"/>
      </w:pPr>
      <w:r>
        <w:rPr>
          <w:bCs/>
          <w:b/>
        </w:rPr>
        <w:t xml:space="preserve">Takase, Shōichi (1978)</w:t>
      </w:r>
    </w:p>
    <w:p>
      <w:pPr>
        <w:numPr>
          <w:ilvl w:val="1"/>
          <w:numId w:val="1054"/>
        </w:numPr>
        <w:pStyle w:val="Compact"/>
      </w:pPr>
      <w:r>
        <w:t xml:space="preserve">Takase, Shōichi.</w:t>
      </w:r>
      <w:r>
        <w:t xml:space="preserve"> </w:t>
      </w:r>
      <w:r>
        <w:t xml:space="preserve">“</w:t>
      </w:r>
      <w:r>
        <w:t xml:space="preserve">Wakun yori mita</w:t>
      </w:r>
      <w:r>
        <w:t xml:space="preserve"> </w:t>
      </w:r>
      <w:r>
        <w:t xml:space="preserve">‘</w:t>
      </w:r>
      <w:r>
        <w:rPr>
          <w:iCs/>
          <w:i/>
        </w:rPr>
        <w:t xml:space="preserve">Shinsen Jikyō</w:t>
      </w:r>
      <w:r>
        <w:t xml:space="preserve">’</w:t>
      </w:r>
      <w:r>
        <w:t xml:space="preserve"> </w:t>
      </w:r>
      <w:r>
        <w:t xml:space="preserve">to</w:t>
      </w:r>
      <w:r>
        <w:t xml:space="preserve"> </w:t>
      </w:r>
      <w:r>
        <w:t xml:space="preserve">‘</w:t>
      </w:r>
      <w:r>
        <w:rPr>
          <w:iCs/>
          <w:i/>
        </w:rPr>
        <w:t xml:space="preserve">Kanchi-in bon Ruiju Myōgishō</w:t>
      </w:r>
      <w:r>
        <w:t xml:space="preserve">’</w:t>
      </w:r>
      <w:r>
        <w:t xml:space="preserve"> </w:t>
      </w:r>
      <w:r>
        <w:t xml:space="preserve">ni tsuite</w:t>
      </w:r>
      <w:r>
        <w:t xml:space="preserve">”</w:t>
      </w:r>
      <w:r>
        <w:t xml:space="preserve"> </w:t>
      </w:r>
      <w:r>
        <w:t xml:space="preserve">(On the</w:t>
      </w:r>
      <w:r>
        <w:t xml:space="preserve"> </w:t>
      </w:r>
      <w:r>
        <w:rPr>
          <w:iCs/>
          <w:i/>
        </w:rPr>
        <w:t xml:space="preserve">Shinsen Jikyō</w:t>
      </w:r>
      <w:r>
        <w:t xml:space="preserve"> </w:t>
      </w:r>
      <w:r>
        <w:t xml:space="preserve">and the Kanchi-in bon</w:t>
      </w:r>
      <w:r>
        <w:t xml:space="preserve"> </w:t>
      </w:r>
      <w:r>
        <w:rPr>
          <w:iCs/>
          <w:i/>
        </w:rPr>
        <w:t xml:space="preserve">Ruiju Myōgishō</w:t>
      </w:r>
      <w:r>
        <w:t xml:space="preserve"> </w:t>
      </w:r>
      <w:r>
        <w:t xml:space="preserve">Viewed from their</w:t>
      </w:r>
      <w:r>
        <w:t xml:space="preserve"> </w:t>
      </w:r>
      <w:r>
        <w:rPr>
          <w:iCs/>
          <w:i/>
        </w:rPr>
        <w:t xml:space="preserve">Wakun</w:t>
      </w:r>
      <w:r>
        <w:t xml:space="preserve">).</w:t>
      </w:r>
      <w:r>
        <w:t xml:space="preserve"> </w:t>
      </w:r>
      <w:r>
        <w:rPr>
          <w:iCs/>
          <w:i/>
        </w:rPr>
        <w:t xml:space="preserve">Gobun Kenkyū</w:t>
      </w:r>
      <w:r>
        <w:t xml:space="preserve">, nos. 44/45 (1978): 103–114.</w:t>
      </w:r>
    </w:p>
    <w:p>
      <w:pPr>
        <w:numPr>
          <w:ilvl w:val="0"/>
          <w:numId w:val="1007"/>
        </w:numPr>
        <w:pStyle w:val="Compact"/>
      </w:pPr>
      <w:r>
        <w:rPr>
          <w:bCs/>
          <w:b/>
        </w:rPr>
        <w:t xml:space="preserve">Takahashi, Hiroyuki (2006)</w:t>
      </w:r>
    </w:p>
    <w:p>
      <w:pPr>
        <w:numPr>
          <w:ilvl w:val="1"/>
          <w:numId w:val="1055"/>
        </w:numPr>
        <w:pStyle w:val="Compact"/>
      </w:pPr>
      <w:r>
        <w:t xml:space="preserve">Takahashi, Hiroyuki.</w:t>
      </w:r>
      <w:r>
        <w:t xml:space="preserve"> </w:t>
      </w:r>
      <w:r>
        <w:t xml:space="preserve">“</w:t>
      </w:r>
      <w:r>
        <w:rPr>
          <w:iCs/>
          <w:i/>
        </w:rPr>
        <w:t xml:space="preserve">Zushoryōbon Ruiju Myōgishō</w:t>
      </w:r>
      <w:r>
        <w:t xml:space="preserve"> </w:t>
      </w:r>
      <w:r>
        <w:t xml:space="preserve">Shoin</w:t>
      </w:r>
      <w:r>
        <w:t xml:space="preserve"> </w:t>
      </w:r>
      <w:r>
        <w:rPr>
          <w:iCs/>
          <w:i/>
        </w:rPr>
        <w:t xml:space="preserve">Kobun Kōkyō</w:t>
      </w:r>
      <w:r>
        <w:t xml:space="preserve"> </w:t>
      </w:r>
      <w:r>
        <w:t xml:space="preserve">no Wakun ni tsuite</w:t>
      </w:r>
      <w:r>
        <w:t xml:space="preserve">”</w:t>
      </w:r>
      <w:r>
        <w:t xml:space="preserve"> </w:t>
      </w:r>
      <w:r>
        <w:t xml:space="preserve">(On the Wakun for the</w:t>
      </w:r>
      <w:r>
        <w:t xml:space="preserve"> </w:t>
      </w:r>
      <w:r>
        <w:rPr>
          <w:iCs/>
          <w:i/>
        </w:rPr>
        <w:t xml:space="preserve">Gǔwén Xiàojīng</w:t>
      </w:r>
      <w:r>
        <w:t xml:space="preserve"> </w:t>
      </w:r>
      <w:r>
        <w:t xml:space="preserve">Cited in the</w:t>
      </w:r>
      <w:r>
        <w:t xml:space="preserve"> </w:t>
      </w:r>
      <w:r>
        <w:rPr>
          <w:iCs/>
          <w:i/>
        </w:rPr>
        <w:t xml:space="preserve">Zushoryōbon Ruiju Myōgishō</w:t>
      </w:r>
      <w:r>
        <w:t xml:space="preserve">).</w:t>
      </w:r>
      <w:r>
        <w:t xml:space="preserve"> </w:t>
      </w:r>
      <w:r>
        <w:rPr>
          <w:iCs/>
          <w:i/>
        </w:rPr>
        <w:t xml:space="preserve">Kokubungaku Ronkō</w:t>
      </w:r>
      <w:r>
        <w:t xml:space="preserve"> </w:t>
      </w:r>
      <w:r>
        <w:t xml:space="preserve">(Tsuru Bunka Daigaku), no. 42 (2006): 14–21.</w:t>
      </w:r>
    </w:p>
    <w:p>
      <w:pPr>
        <w:numPr>
          <w:ilvl w:val="0"/>
          <w:numId w:val="1007"/>
        </w:numPr>
        <w:pStyle w:val="Compact"/>
      </w:pPr>
      <w:r>
        <w:rPr>
          <w:bCs/>
          <w:b/>
        </w:rPr>
        <w:t xml:space="preserve">Takahashi, Hiroyuki (2007)</w:t>
      </w:r>
    </w:p>
    <w:p>
      <w:pPr>
        <w:numPr>
          <w:ilvl w:val="1"/>
          <w:numId w:val="1056"/>
        </w:numPr>
        <w:pStyle w:val="Compact"/>
      </w:pPr>
      <w:r>
        <w:t xml:space="preserve">Takahashi, Hiroyuki.</w:t>
      </w:r>
      <w:r>
        <w:t xml:space="preserve"> </w:t>
      </w:r>
      <w:r>
        <w:t xml:space="preserve">“</w:t>
      </w:r>
      <w:r>
        <w:rPr>
          <w:iCs/>
          <w:i/>
        </w:rPr>
        <w:t xml:space="preserve">Zushoryōbon Ruiju Myōgishō</w:t>
      </w:r>
      <w:r>
        <w:t xml:space="preserve"> </w:t>
      </w:r>
      <w:r>
        <w:t xml:space="preserve">Shoin</w:t>
      </w:r>
      <w:r>
        <w:t xml:space="preserve"> </w:t>
      </w:r>
      <w:r>
        <w:rPr>
          <w:iCs/>
          <w:i/>
        </w:rPr>
        <w:t xml:space="preserve">Ganshi Kakun</w:t>
      </w:r>
      <w:r>
        <w:t xml:space="preserve"> </w:t>
      </w:r>
      <w:r>
        <w:t xml:space="preserve">no Wakun ni tsuite</w:t>
      </w:r>
      <w:r>
        <w:t xml:space="preserve">”</w:t>
      </w:r>
      <w:r>
        <w:t xml:space="preserve"> </w:t>
      </w:r>
      <w:r>
        <w:t xml:space="preserve">(On the Wakun for the</w:t>
      </w:r>
      <w:r>
        <w:t xml:space="preserve"> </w:t>
      </w:r>
      <w:r>
        <w:rPr>
          <w:iCs/>
          <w:i/>
        </w:rPr>
        <w:t xml:space="preserve">Yánshì Jiāxùn</w:t>
      </w:r>
      <w:r>
        <w:t xml:space="preserve"> </w:t>
      </w:r>
      <w:r>
        <w:t xml:space="preserve">Cited in the</w:t>
      </w:r>
      <w:r>
        <w:t xml:space="preserve"> </w:t>
      </w:r>
      <w:r>
        <w:rPr>
          <w:iCs/>
          <w:i/>
        </w:rPr>
        <w:t xml:space="preserve">Zushoryōbon Ruiju Myōgishō</w:t>
      </w:r>
      <w:r>
        <w:t xml:space="preserve">).</w:t>
      </w:r>
      <w:r>
        <w:t xml:space="preserve"> </w:t>
      </w:r>
      <w:r>
        <w:rPr>
          <w:iCs/>
          <w:i/>
        </w:rPr>
        <w:t xml:space="preserve">Kokubungaku Ronkō</w:t>
      </w:r>
      <w:r>
        <w:t xml:space="preserve"> </w:t>
      </w:r>
      <w:r>
        <w:t xml:space="preserve">(Tsuru Bunka Daigaku), no. 43 (2007): 15–26.</w:t>
      </w:r>
    </w:p>
    <w:p>
      <w:pPr>
        <w:numPr>
          <w:ilvl w:val="0"/>
          <w:numId w:val="1007"/>
        </w:numPr>
        <w:pStyle w:val="Compact"/>
      </w:pPr>
      <w:r>
        <w:rPr>
          <w:bCs/>
          <w:b/>
        </w:rPr>
        <w:t xml:space="preserve">Tamura, Natsuki (1997a)</w:t>
      </w:r>
    </w:p>
    <w:p>
      <w:pPr>
        <w:numPr>
          <w:ilvl w:val="1"/>
          <w:numId w:val="1057"/>
        </w:numPr>
        <w:pStyle w:val="Compact"/>
      </w:pPr>
      <w:r>
        <w:t xml:space="preserve">Tamura, Natsuki.</w:t>
      </w:r>
      <w:r>
        <w:t xml:space="preserve"> </w:t>
      </w:r>
      <w:r>
        <w:t xml:space="preserve">“</w:t>
      </w:r>
      <w:r>
        <w:rPr>
          <w:iCs/>
          <w:i/>
        </w:rPr>
        <w:t xml:space="preserve">Kanroku Jisho</w:t>
      </w:r>
      <w:r>
        <w:t xml:space="preserve"> </w:t>
      </w:r>
      <w:r>
        <w:t xml:space="preserve">to Kanchi-in bon</w:t>
      </w:r>
      <w:r>
        <w:t xml:space="preserve"> </w:t>
      </w:r>
      <w:r>
        <w:rPr>
          <w:iCs/>
          <w:i/>
        </w:rPr>
        <w:t xml:space="preserve">Ruiju Myōgishō</w:t>
      </w:r>
      <w:r>
        <w:t xml:space="preserve"> </w:t>
      </w:r>
      <w:r>
        <w:t xml:space="preserve">no Hikaku: Zushoryōbon</w:t>
      </w:r>
      <w:r>
        <w:t xml:space="preserve"> </w:t>
      </w:r>
      <w:r>
        <w:rPr>
          <w:iCs/>
          <w:i/>
        </w:rPr>
        <w:t xml:space="preserve">Ruiju Myōgishō</w:t>
      </w:r>
      <w:r>
        <w:t xml:space="preserve"> </w:t>
      </w:r>
      <w:r>
        <w:t xml:space="preserve">o Kaizai to shite</w:t>
      </w:r>
      <w:r>
        <w:t xml:space="preserve">”</w:t>
      </w:r>
      <w:r>
        <w:t xml:space="preserve"> </w:t>
      </w:r>
      <w:r>
        <w:t xml:space="preserve">(A Comparison of the</w:t>
      </w:r>
      <w:r>
        <w:t xml:space="preserve"> </w:t>
      </w:r>
      <w:r>
        <w:rPr>
          <w:iCs/>
          <w:i/>
        </w:rPr>
        <w:t xml:space="preserve">Gānlù Zìshū</w:t>
      </w:r>
      <w:r>
        <w:t xml:space="preserve"> </w:t>
      </w:r>
      <w:r>
        <w:t xml:space="preserve">and the Kanchi-in Manuscript</w:t>
      </w:r>
      <w:r>
        <w:t xml:space="preserve"> </w:t>
      </w:r>
      <w:r>
        <w:rPr>
          <w:iCs/>
          <w:i/>
        </w:rPr>
        <w:t xml:space="preserve">Ruiju Myōgishō</w:t>
      </w:r>
      <w:r>
        <w:t xml:space="preserve">: With the Zushoryōbon</w:t>
      </w:r>
      <w:r>
        <w:t xml:space="preserve"> </w:t>
      </w:r>
      <w:r>
        <w:rPr>
          <w:iCs/>
          <w:i/>
        </w:rPr>
        <w:t xml:space="preserve">Ruiju Myōgishō</w:t>
      </w:r>
      <w:r>
        <w:t xml:space="preserve"> </w:t>
      </w:r>
      <w:r>
        <w:t xml:space="preserve">as an Intermediary).</w:t>
      </w:r>
      <w:r>
        <w:t xml:space="preserve"> </w:t>
      </w:r>
      <w:r>
        <w:rPr>
          <w:iCs/>
          <w:i/>
        </w:rPr>
        <w:t xml:space="preserve">Kokugogaku Kenkyū to Shiryō</w:t>
      </w:r>
      <w:r>
        <w:t xml:space="preserve"> </w:t>
      </w:r>
      <w:r>
        <w:t xml:space="preserve">21 (1997): 1–12.</w:t>
      </w:r>
    </w:p>
    <w:p>
      <w:pPr>
        <w:numPr>
          <w:ilvl w:val="0"/>
          <w:numId w:val="1007"/>
        </w:numPr>
        <w:pStyle w:val="Compact"/>
      </w:pPr>
      <w:r>
        <w:rPr>
          <w:bCs/>
          <w:b/>
        </w:rPr>
        <w:t xml:space="preserve">Tamura, Natsuki (1997b)</w:t>
      </w:r>
    </w:p>
    <w:p>
      <w:pPr>
        <w:numPr>
          <w:ilvl w:val="1"/>
          <w:numId w:val="1058"/>
        </w:numPr>
        <w:pStyle w:val="Compact"/>
      </w:pPr>
      <w:r>
        <w:t xml:space="preserve">Tamura, Natsuki.</w:t>
      </w:r>
      <w:r>
        <w:t xml:space="preserve"> </w:t>
      </w:r>
      <w:r>
        <w:t xml:space="preserve">“</w:t>
      </w:r>
      <w:r>
        <w:t xml:space="preserve">Kanchi-in bon</w:t>
      </w:r>
      <w:r>
        <w:t xml:space="preserve"> </w:t>
      </w:r>
      <w:r>
        <w:rPr>
          <w:iCs/>
          <w:i/>
        </w:rPr>
        <w:t xml:space="preserve">Ruiju Myōgishō</w:t>
      </w:r>
      <w:r>
        <w:t xml:space="preserve"> </w:t>
      </w:r>
      <w:r>
        <w:t xml:space="preserve">to</w:t>
      </w:r>
      <w:r>
        <w:t xml:space="preserve"> </w:t>
      </w:r>
      <w:r>
        <w:rPr>
          <w:iCs/>
          <w:i/>
        </w:rPr>
        <w:t xml:space="preserve">Ryūgan Shukan</w:t>
      </w:r>
      <w:r>
        <w:t xml:space="preserve"> </w:t>
      </w:r>
      <w:r>
        <w:t xml:space="preserve">no Seiji / Itaīji no Kisai no Hikaku</w:t>
      </w:r>
      <w:r>
        <w:t xml:space="preserve">”</w:t>
      </w:r>
      <w:r>
        <w:t xml:space="preserve"> </w:t>
      </w:r>
      <w:r>
        <w:t xml:space="preserve">(A Comparison of the Descriptions of Standard and Variant Characters in the Kanchi-in Manuscript</w:t>
      </w:r>
      <w:r>
        <w:t xml:space="preserve"> </w:t>
      </w:r>
      <w:r>
        <w:rPr>
          <w:iCs/>
          <w:i/>
        </w:rPr>
        <w:t xml:space="preserve">Ruiju Myōgishō</w:t>
      </w:r>
      <w:r>
        <w:t xml:space="preserve"> </w:t>
      </w:r>
      <w:r>
        <w:t xml:space="preserve">and the</w:t>
      </w:r>
      <w:r>
        <w:t xml:space="preserve"> </w:t>
      </w:r>
      <w:r>
        <w:rPr>
          <w:iCs/>
          <w:i/>
        </w:rPr>
        <w:t xml:space="preserve">Lóngkān Shǒujiàn</w:t>
      </w:r>
      <w:r>
        <w:t xml:space="preserve">).</w:t>
      </w:r>
      <w:r>
        <w:t xml:space="preserve"> </w:t>
      </w:r>
      <w:r>
        <w:rPr>
          <w:iCs/>
          <w:i/>
        </w:rPr>
        <w:t xml:space="preserve">Kamakura Jidaigo Kenkyū</w:t>
      </w:r>
      <w:r>
        <w:t xml:space="preserve"> </w:t>
      </w:r>
      <w:r>
        <w:t xml:space="preserve">20 (1997): 145–165.</w:t>
      </w:r>
    </w:p>
    <w:p>
      <w:pPr>
        <w:numPr>
          <w:ilvl w:val="0"/>
          <w:numId w:val="1007"/>
        </w:numPr>
        <w:pStyle w:val="Compact"/>
      </w:pPr>
      <w:r>
        <w:rPr>
          <w:bCs/>
          <w:b/>
        </w:rPr>
        <w:t xml:space="preserve">Tamura, Natsuki (1998a)</w:t>
      </w:r>
    </w:p>
    <w:p>
      <w:pPr>
        <w:numPr>
          <w:ilvl w:val="1"/>
          <w:numId w:val="1059"/>
        </w:numPr>
        <w:pStyle w:val="Compact"/>
      </w:pPr>
      <w:r>
        <w:t xml:space="preserve">Tamura, Natsuki.</w:t>
      </w:r>
      <w:r>
        <w:t xml:space="preserve"> </w:t>
      </w:r>
      <w:r>
        <w:t xml:space="preserve">“</w:t>
      </w:r>
      <w:r>
        <w:rPr>
          <w:iCs/>
          <w:i/>
        </w:rPr>
        <w:t xml:space="preserve">Kanroku Jisho</w:t>
      </w:r>
      <w:r>
        <w:t xml:space="preserve"> </w:t>
      </w:r>
      <w:r>
        <w:t xml:space="preserve">to Kanchi-in bon</w:t>
      </w:r>
      <w:r>
        <w:t xml:space="preserve"> </w:t>
      </w:r>
      <w:r>
        <w:rPr>
          <w:iCs/>
          <w:i/>
        </w:rPr>
        <w:t xml:space="preserve">Ruiju Myōgishō</w:t>
      </w:r>
      <w:r>
        <w:t xml:space="preserve"> </w:t>
      </w:r>
      <w:r>
        <w:t xml:space="preserve">no Seiji / Itaīji no Hikaku</w:t>
      </w:r>
      <w:r>
        <w:t xml:space="preserve">”</w:t>
      </w:r>
      <w:r>
        <w:t xml:space="preserve"> </w:t>
      </w:r>
      <w:r>
        <w:t xml:space="preserve">(A Comparison of the Standard and Variant Characters in the</w:t>
      </w:r>
      <w:r>
        <w:t xml:space="preserve"> </w:t>
      </w:r>
      <w:r>
        <w:rPr>
          <w:iCs/>
          <w:i/>
        </w:rPr>
        <w:t xml:space="preserve">Gānlù Zìshū</w:t>
      </w:r>
      <w:r>
        <w:t xml:space="preserve"> </w:t>
      </w:r>
      <w:r>
        <w:t xml:space="preserve">and the Kanchi-in Manuscript</w:t>
      </w:r>
      <w:r>
        <w:t xml:space="preserve"> </w:t>
      </w:r>
      <w:r>
        <w:rPr>
          <w:iCs/>
          <w:i/>
        </w:rPr>
        <w:t xml:space="preserve">Ruiju Myōgishō</w:t>
      </w:r>
      <w:r>
        <w:t xml:space="preserve">).</w:t>
      </w:r>
      <w:r>
        <w:t xml:space="preserve"> </w:t>
      </w:r>
      <w:r>
        <w:rPr>
          <w:iCs/>
          <w:i/>
        </w:rPr>
        <w:t xml:space="preserve">Kokubungaku Kenkyū</w:t>
      </w:r>
      <w:r>
        <w:t xml:space="preserve"> </w:t>
      </w:r>
      <w:r>
        <w:t xml:space="preserve">125 (1998): 81–90.</w:t>
      </w:r>
    </w:p>
    <w:p>
      <w:pPr>
        <w:numPr>
          <w:ilvl w:val="0"/>
          <w:numId w:val="1007"/>
        </w:numPr>
        <w:pStyle w:val="Compact"/>
      </w:pPr>
      <w:r>
        <w:rPr>
          <w:bCs/>
          <w:b/>
        </w:rPr>
        <w:t xml:space="preserve">Tamura, Natsuki (1998b)</w:t>
      </w:r>
    </w:p>
    <w:p>
      <w:pPr>
        <w:numPr>
          <w:ilvl w:val="1"/>
          <w:numId w:val="1060"/>
        </w:numPr>
        <w:pStyle w:val="Compact"/>
      </w:pPr>
      <w:r>
        <w:t xml:space="preserve">Tamura, Natsuki.</w:t>
      </w:r>
      <w:r>
        <w:t xml:space="preserve"> </w:t>
      </w:r>
      <w:r>
        <w:t xml:space="preserve">“</w:t>
      </w:r>
      <w:r>
        <w:t xml:space="preserve">Kanchi-in bon</w:t>
      </w:r>
      <w:r>
        <w:t xml:space="preserve"> </w:t>
      </w:r>
      <w:r>
        <w:rPr>
          <w:iCs/>
          <w:i/>
        </w:rPr>
        <w:t xml:space="preserve">Ruiju Myōgishō</w:t>
      </w:r>
      <w:r>
        <w:t xml:space="preserve"> </w:t>
      </w:r>
      <w:r>
        <w:t xml:space="preserve">to</w:t>
      </w:r>
      <w:r>
        <w:t xml:space="preserve"> </w:t>
      </w:r>
      <w:r>
        <w:rPr>
          <w:iCs/>
          <w:i/>
        </w:rPr>
        <w:t xml:space="preserve">Ryūgan Shukan</w:t>
      </w:r>
      <w:r>
        <w:t xml:space="preserve"> </w:t>
      </w:r>
      <w:r>
        <w:t xml:space="preserve">ni okeru Kanji Jitai no Kisai no Hikaku: Itaīji ga Renzoku shite Shirusareru Keishiki ni tsuite</w:t>
      </w:r>
      <w:r>
        <w:t xml:space="preserve">”</w:t>
      </w:r>
      <w:r>
        <w:t xml:space="preserve"> </w:t>
      </w:r>
      <w:r>
        <w:t xml:space="preserve">(A Comparison of the Descriptions of Kanji Forms in the Kanchi-in Manuscript</w:t>
      </w:r>
      <w:r>
        <w:t xml:space="preserve"> </w:t>
      </w:r>
      <w:r>
        <w:rPr>
          <w:iCs/>
          <w:i/>
        </w:rPr>
        <w:t xml:space="preserve">Ruiju Myōgishō</w:t>
      </w:r>
      <w:r>
        <w:t xml:space="preserve"> </w:t>
      </w:r>
      <w:r>
        <w:t xml:space="preserve">and the</w:t>
      </w:r>
      <w:r>
        <w:t xml:space="preserve"> </w:t>
      </w:r>
      <w:r>
        <w:rPr>
          <w:iCs/>
          <w:i/>
        </w:rPr>
        <w:t xml:space="preserve">Lóngkān Shǒujiàn</w:t>
      </w:r>
      <w:r>
        <w:t xml:space="preserve">: On the Format Where Variant Characters are Recorded Consecutively).</w:t>
      </w:r>
      <w:r>
        <w:t xml:space="preserve"> </w:t>
      </w:r>
      <w:r>
        <w:rPr>
          <w:iCs/>
          <w:i/>
        </w:rPr>
        <w:t xml:space="preserve">Waseda Nihongo Kenkyū</w:t>
      </w:r>
      <w:r>
        <w:t xml:space="preserve"> </w:t>
      </w:r>
      <w:r>
        <w:t xml:space="preserve">6 (1998): 1–12.</w:t>
      </w:r>
    </w:p>
    <w:p>
      <w:pPr>
        <w:numPr>
          <w:ilvl w:val="0"/>
          <w:numId w:val="1007"/>
        </w:numPr>
        <w:pStyle w:val="Compact"/>
      </w:pPr>
      <w:r>
        <w:rPr>
          <w:bCs/>
          <w:b/>
        </w:rPr>
        <w:t xml:space="preserve">Tamura, Natsuki (1999)</w:t>
      </w:r>
    </w:p>
    <w:p>
      <w:pPr>
        <w:numPr>
          <w:ilvl w:val="1"/>
          <w:numId w:val="1061"/>
        </w:numPr>
        <w:pStyle w:val="Compact"/>
      </w:pPr>
      <w:r>
        <w:t xml:space="preserve">Tamura, Natsuki.</w:t>
      </w:r>
      <w:r>
        <w:t xml:space="preserve"> </w:t>
      </w:r>
      <w:r>
        <w:t xml:space="preserve">“</w:t>
      </w:r>
      <w:r>
        <w:t xml:space="preserve">Kanchi-in bon</w:t>
      </w:r>
      <w:r>
        <w:t xml:space="preserve"> </w:t>
      </w:r>
      <w:r>
        <w:rPr>
          <w:iCs/>
          <w:i/>
        </w:rPr>
        <w:t xml:space="preserve">Ruiju Myōgishō</w:t>
      </w:r>
      <w:r>
        <w:t xml:space="preserve"> </w:t>
      </w:r>
      <w:r>
        <w:t xml:space="preserve">ni okeru Jukugo ni Mochīrareru Kanji Jitai ni tsuite</w:t>
      </w:r>
      <w:r>
        <w:t xml:space="preserve">”</w:t>
      </w:r>
      <w:r>
        <w:t xml:space="preserve"> </w:t>
      </w:r>
      <w:r>
        <w:t xml:space="preserve">(On the Kanji Forms Used in Compounds in the Kanchi-in Manuscript</w:t>
      </w:r>
      <w:r>
        <w:t xml:space="preserve"> </w:t>
      </w:r>
      <w:r>
        <w:rPr>
          <w:iCs/>
          <w:i/>
        </w:rPr>
        <w:t xml:space="preserve">Ruiju Myōgishō</w:t>
      </w:r>
      <w:r>
        <w:t xml:space="preserve">).</w:t>
      </w:r>
      <w:r>
        <w:t xml:space="preserve"> </w:t>
      </w:r>
      <w:r>
        <w:rPr>
          <w:iCs/>
          <w:i/>
        </w:rPr>
        <w:t xml:space="preserve">Kamakura Jidaigo Kenkyū</w:t>
      </w:r>
      <w:r>
        <w:t xml:space="preserve"> </w:t>
      </w:r>
      <w:r>
        <w:t xml:space="preserve">22 (1999): 144–163.</w:t>
      </w:r>
    </w:p>
    <w:p>
      <w:pPr>
        <w:numPr>
          <w:ilvl w:val="0"/>
          <w:numId w:val="1007"/>
        </w:numPr>
        <w:pStyle w:val="Compact"/>
      </w:pPr>
      <w:r>
        <w:rPr>
          <w:bCs/>
          <w:b/>
        </w:rPr>
        <w:t xml:space="preserve">Tamura, Natsuki (2000a)</w:t>
      </w:r>
    </w:p>
    <w:p>
      <w:pPr>
        <w:numPr>
          <w:ilvl w:val="1"/>
          <w:numId w:val="1062"/>
        </w:numPr>
        <w:pStyle w:val="Compact"/>
      </w:pPr>
      <w:r>
        <w:t xml:space="preserve">Tamura, Natsuki.</w:t>
      </w:r>
      <w:r>
        <w:t xml:space="preserve"> </w:t>
      </w:r>
      <w:r>
        <w:t xml:space="preserve">“</w:t>
      </w:r>
      <w:r>
        <w:t xml:space="preserve">Kanchi-in bon</w:t>
      </w:r>
      <w:r>
        <w:t xml:space="preserve"> </w:t>
      </w:r>
      <w:r>
        <w:rPr>
          <w:iCs/>
          <w:i/>
        </w:rPr>
        <w:t xml:space="preserve">Ruiju Myōgishō</w:t>
      </w:r>
      <w:r>
        <w:t xml:space="preserve"> </w:t>
      </w:r>
      <w:r>
        <w:t xml:space="preserve">to</w:t>
      </w:r>
      <w:r>
        <w:t xml:space="preserve"> </w:t>
      </w:r>
      <w:r>
        <w:rPr>
          <w:iCs/>
          <w:i/>
        </w:rPr>
        <w:t xml:space="preserve">Ryūgan Shukyō</w:t>
      </w:r>
      <w:r>
        <w:t xml:space="preserve"> </w:t>
      </w:r>
      <w:r>
        <w:t xml:space="preserve">no Kanji Kōmoku no Ruijisei</w:t>
      </w:r>
      <w:r>
        <w:t xml:space="preserve">”</w:t>
      </w:r>
      <w:r>
        <w:t xml:space="preserve"> </w:t>
      </w:r>
      <w:r>
        <w:t xml:space="preserve">(Similarities in Kanji Entries between the Kanchi-in Manuscript</w:t>
      </w:r>
      <w:r>
        <w:t xml:space="preserve"> </w:t>
      </w:r>
      <w:r>
        <w:rPr>
          <w:iCs/>
          <w:i/>
        </w:rPr>
        <w:t xml:space="preserve">Ruiju Myōgishō</w:t>
      </w:r>
      <w:r>
        <w:t xml:space="preserve"> </w:t>
      </w:r>
      <w:r>
        <w:t xml:space="preserve">and the</w:t>
      </w:r>
      <w:r>
        <w:t xml:space="preserve"> </w:t>
      </w:r>
      <w:r>
        <w:rPr>
          <w:iCs/>
          <w:i/>
        </w:rPr>
        <w:t xml:space="preserve">Lóngkān Shǒujìng</w:t>
      </w:r>
      <w:r>
        <w:t xml:space="preserve">).</w:t>
      </w:r>
      <w:r>
        <w:t xml:space="preserve"> </w:t>
      </w:r>
      <w:r>
        <w:rPr>
          <w:iCs/>
          <w:i/>
        </w:rPr>
        <w:t xml:space="preserve">Kuntengo to Kunten Shiryō</w:t>
      </w:r>
      <w:r>
        <w:t xml:space="preserve"> </w:t>
      </w:r>
      <w:r>
        <w:t xml:space="preserve">105 (2000): 40–52.</w:t>
      </w:r>
    </w:p>
    <w:p>
      <w:pPr>
        <w:numPr>
          <w:ilvl w:val="0"/>
          <w:numId w:val="1007"/>
        </w:numPr>
        <w:pStyle w:val="Compact"/>
      </w:pPr>
      <w:r>
        <w:rPr>
          <w:bCs/>
          <w:b/>
        </w:rPr>
        <w:t xml:space="preserve">Tamura, Natsuki (2000b)</w:t>
      </w:r>
    </w:p>
    <w:p>
      <w:pPr>
        <w:numPr>
          <w:ilvl w:val="1"/>
          <w:numId w:val="1063"/>
        </w:numPr>
        <w:pStyle w:val="Compact"/>
      </w:pPr>
      <w:r>
        <w:t xml:space="preserve">Tamura, Natsuki.</w:t>
      </w:r>
      <w:r>
        <w:t xml:space="preserve"> </w:t>
      </w:r>
      <w:r>
        <w:t xml:space="preserve">“</w:t>
      </w:r>
      <w:r>
        <w:t xml:space="preserve">Zushoryōbon</w:t>
      </w:r>
      <w:r>
        <w:t xml:space="preserve"> </w:t>
      </w:r>
      <w:r>
        <w:rPr>
          <w:iCs/>
          <w:i/>
        </w:rPr>
        <w:t xml:space="preserve">Ruiju Myōgishō</w:t>
      </w:r>
      <w:r>
        <w:t xml:space="preserve"> </w:t>
      </w:r>
      <w:r>
        <w:t xml:space="preserve">to Kanchi-in bon</w:t>
      </w:r>
      <w:r>
        <w:t xml:space="preserve"> </w:t>
      </w:r>
      <w:r>
        <w:rPr>
          <w:iCs/>
          <w:i/>
        </w:rPr>
        <w:t xml:space="preserve">Ruiju Myōgishō</w:t>
      </w:r>
      <w:r>
        <w:t xml:space="preserve"> </w:t>
      </w:r>
      <w:r>
        <w:t xml:space="preserve">no Kisai Naiyō no Hikaku: Wakun to Jitai Chūki ni Chūmoku shite</w:t>
      </w:r>
      <w:r>
        <w:t xml:space="preserve">”</w:t>
      </w:r>
      <w:r>
        <w:t xml:space="preserve"> </w:t>
      </w:r>
      <w:r>
        <w:t xml:space="preserve">(A Comparison of the Recorded Content in the Zushoryōbon</w:t>
      </w:r>
      <w:r>
        <w:t xml:space="preserve"> </w:t>
      </w:r>
      <w:r>
        <w:rPr>
          <w:iCs/>
          <w:i/>
        </w:rPr>
        <w:t xml:space="preserve">Ruiju Myōgishō</w:t>
      </w:r>
      <w:r>
        <w:t xml:space="preserve"> </w:t>
      </w:r>
      <w:r>
        <w:t xml:space="preserve">and the Kanchi-in Manuscript</w:t>
      </w:r>
      <w:r>
        <w:t xml:space="preserve"> </w:t>
      </w:r>
      <w:r>
        <w:rPr>
          <w:iCs/>
          <w:i/>
        </w:rPr>
        <w:t xml:space="preserve">Ruiju Myōgishō</w:t>
      </w:r>
      <w:r>
        <w:t xml:space="preserve">: Focusing on Wakun and Annotations on Character Form).</w:t>
      </w:r>
      <w:r>
        <w:t xml:space="preserve"> </w:t>
      </w:r>
      <w:r>
        <w:rPr>
          <w:iCs/>
          <w:i/>
        </w:rPr>
        <w:t xml:space="preserve">Kamakura Jidaigo Kenkyū</w:t>
      </w:r>
      <w:r>
        <w:t xml:space="preserve"> </w:t>
      </w:r>
      <w:r>
        <w:t xml:space="preserve">23 (2000): 691–707.</w:t>
      </w:r>
    </w:p>
    <w:p>
      <w:pPr>
        <w:numPr>
          <w:ilvl w:val="0"/>
          <w:numId w:val="1007"/>
        </w:numPr>
        <w:pStyle w:val="Compact"/>
      </w:pPr>
      <w:r>
        <w:rPr>
          <w:bCs/>
          <w:b/>
        </w:rPr>
        <w:t xml:space="preserve">Tsukishima, Hiroshi (1950)</w:t>
      </w:r>
    </w:p>
    <w:p>
      <w:pPr>
        <w:numPr>
          <w:ilvl w:val="1"/>
          <w:numId w:val="1064"/>
        </w:numPr>
        <w:pStyle w:val="Compact"/>
      </w:pPr>
      <w:r>
        <w:t xml:space="preserve">Tsukishima, Hiroshi.</w:t>
      </w:r>
      <w:r>
        <w:t xml:space="preserve"> </w:t>
      </w:r>
      <w:r>
        <w:t xml:space="preserve">“</w:t>
      </w:r>
      <w:r>
        <w:t xml:space="preserve">Ruiju Myōgishō no Wakun no Genryū ni Tsuite</w:t>
      </w:r>
      <w:r>
        <w:t xml:space="preserve">”</w:t>
      </w:r>
      <w:r>
        <w:t xml:space="preserve"> </w:t>
      </w:r>
      <w:r>
        <w:t xml:space="preserve">(On the Origins of</w:t>
      </w:r>
      <w:r>
        <w:t xml:space="preserve"> </w:t>
      </w:r>
      <w:r>
        <w:rPr>
          <w:iCs/>
          <w:i/>
        </w:rPr>
        <w:t xml:space="preserve">Wakun</w:t>
      </w:r>
      <w:r>
        <w:t xml:space="preserve"> </w:t>
      </w:r>
      <w:r>
        <w:t xml:space="preserve">in the</w:t>
      </w:r>
      <w:r>
        <w:t xml:space="preserve"> </w:t>
      </w:r>
      <w:r>
        <w:rPr>
          <w:iCs/>
          <w:i/>
        </w:rPr>
        <w:t xml:space="preserve">Ruiju Myōgishō</w:t>
      </w:r>
      <w:r>
        <w:t xml:space="preserve">).</w:t>
      </w:r>
      <w:r>
        <w:t xml:space="preserve"> </w:t>
      </w:r>
      <w:r>
        <w:rPr>
          <w:iCs/>
          <w:i/>
        </w:rPr>
        <w:t xml:space="preserve">Kokugo to Kokubungaku</w:t>
      </w:r>
      <w:r>
        <w:t xml:space="preserve"> </w:t>
      </w:r>
      <w:r>
        <w:t xml:space="preserve">27, no. 7 (1950): 42–52. (Reprinted in Tsukishima 2016).</w:t>
      </w:r>
    </w:p>
    <w:p>
      <w:pPr>
        <w:numPr>
          <w:ilvl w:val="0"/>
          <w:numId w:val="1007"/>
        </w:numPr>
        <w:pStyle w:val="Compact"/>
      </w:pPr>
      <w:r>
        <w:rPr>
          <w:bCs/>
          <w:b/>
        </w:rPr>
        <w:t xml:space="preserve">Tsukishima, Hiroshi (1959)</w:t>
      </w:r>
    </w:p>
    <w:p>
      <w:pPr>
        <w:numPr>
          <w:ilvl w:val="1"/>
          <w:numId w:val="1065"/>
        </w:numPr>
        <w:pStyle w:val="Compact"/>
      </w:pPr>
      <w:r>
        <w:t xml:space="preserve">Tsukishima, Hiroshi.</w:t>
      </w:r>
      <w:r>
        <w:t xml:space="preserve"> </w:t>
      </w:r>
      <w:r>
        <w:t xml:space="preserve">“</w:t>
      </w:r>
      <w:r>
        <w:t xml:space="preserve">Kundoku Shijō no Zushoryōbon</w:t>
      </w:r>
      <w:r>
        <w:t xml:space="preserve"> </w:t>
      </w:r>
      <w:r>
        <w:rPr>
          <w:iCs/>
          <w:i/>
        </w:rPr>
        <w:t xml:space="preserve">Ruiju Myōgishō</w:t>
      </w:r>
      <w:r>
        <w:t xml:space="preserve">”</w:t>
      </w:r>
      <w:r>
        <w:t xml:space="preserve"> </w:t>
      </w:r>
      <w:r>
        <w:t xml:space="preserve">(The Zushoryōbon</w:t>
      </w:r>
      <w:r>
        <w:t xml:space="preserve"> </w:t>
      </w:r>
      <w:r>
        <w:rPr>
          <w:iCs/>
          <w:i/>
        </w:rPr>
        <w:t xml:space="preserve">Ruiju Myōgishō</w:t>
      </w:r>
      <w:r>
        <w:t xml:space="preserve"> </w:t>
      </w:r>
      <w:r>
        <w:t xml:space="preserve">in the History of Kundoku Reading).</w:t>
      </w:r>
      <w:r>
        <w:t xml:space="preserve"> </w:t>
      </w:r>
      <w:r>
        <w:rPr>
          <w:iCs/>
          <w:i/>
        </w:rPr>
        <w:t xml:space="preserve">Kokugogaku</w:t>
      </w:r>
      <w:r>
        <w:t xml:space="preserve"> </w:t>
      </w:r>
      <w:r>
        <w:t xml:space="preserve">37 (1959): 35–53. (Reprinted in Tsukishima 1963).</w:t>
      </w:r>
    </w:p>
    <w:p>
      <w:pPr>
        <w:numPr>
          <w:ilvl w:val="0"/>
          <w:numId w:val="1007"/>
        </w:numPr>
        <w:pStyle w:val="Compact"/>
      </w:pPr>
      <w:r>
        <w:rPr>
          <w:bCs/>
          <w:b/>
        </w:rPr>
        <w:t xml:space="preserve">Tsukishima, Hiroshi (1969a)</w:t>
      </w:r>
    </w:p>
    <w:p>
      <w:pPr>
        <w:numPr>
          <w:ilvl w:val="1"/>
          <w:numId w:val="1066"/>
        </w:numPr>
        <w:pStyle w:val="Compact"/>
      </w:pPr>
      <w:r>
        <w:t xml:space="preserve">Tsukishima, Hiroshi.</w:t>
      </w:r>
      <w:r>
        <w:t xml:space="preserve"> </w:t>
      </w:r>
      <w:r>
        <w:t xml:space="preserve">“</w:t>
      </w:r>
      <w:r>
        <w:t xml:space="preserve">Kaihenbon-kei</w:t>
      </w:r>
      <w:r>
        <w:t xml:space="preserve"> </w:t>
      </w:r>
      <w:r>
        <w:rPr>
          <w:iCs/>
          <w:i/>
        </w:rPr>
        <w:t xml:space="preserve">Ruiju Myōgishō</w:t>
      </w:r>
      <w:r>
        <w:t xml:space="preserve"> </w:t>
      </w:r>
      <w:r>
        <w:t xml:space="preserve">no Seiritsu Jiki ni Tsuite</w:t>
      </w:r>
      <w:r>
        <w:t xml:space="preserve">”</w:t>
      </w:r>
      <w:r>
        <w:t xml:space="preserve"> </w:t>
      </w:r>
      <w:r>
        <w:t xml:space="preserve">(On the Formation Period of the Revised Lineage</w:t>
      </w:r>
      <w:r>
        <w:t xml:space="preserve"> </w:t>
      </w:r>
      <w:r>
        <w:rPr>
          <w:iCs/>
          <w:i/>
        </w:rPr>
        <w:t xml:space="preserve">Ruiju Myōgishō</w:t>
      </w:r>
      <w:r>
        <w:t xml:space="preserve">). In</w:t>
      </w:r>
      <w:r>
        <w:t xml:space="preserve"> </w:t>
      </w:r>
      <w:r>
        <w:rPr>
          <w:iCs/>
          <w:i/>
        </w:rPr>
        <w:t xml:space="preserve">Fukuda Yoshisuke Kyōju Taikan Kinen Ronbunshū</w:t>
      </w:r>
      <w:r>
        <w:t xml:space="preserve"> </w:t>
      </w:r>
      <w:r>
        <w:t xml:space="preserve">(Collection of Papers Commemorating the Retirement of Professor Fukuda Yoshisuke), edited by Kyūshū Daigaku Bungakubu Kokugo Kokubungaku Kenkyūshitsu Fukuda Yoshisuke Kyōju Taikan Kinen Jigyōkai (Kyushu University Faculty of Letters Japanese Language and Literature Department Professor Fukuda Yoshisuke Retirement Commemoration Committee), 249–259. Fukuoka, 1969. (Reprinted in Tsukishima 2016).</w:t>
      </w:r>
    </w:p>
    <w:p>
      <w:pPr>
        <w:numPr>
          <w:ilvl w:val="0"/>
          <w:numId w:val="1007"/>
        </w:numPr>
        <w:pStyle w:val="Compact"/>
      </w:pPr>
      <w:r>
        <w:rPr>
          <w:bCs/>
          <w:b/>
        </w:rPr>
        <w:t xml:space="preserve">Tsukishima, Hiroshi (1969b)</w:t>
      </w:r>
    </w:p>
    <w:p>
      <w:pPr>
        <w:numPr>
          <w:ilvl w:val="1"/>
          <w:numId w:val="1067"/>
        </w:numPr>
        <w:pStyle w:val="Compact"/>
      </w:pPr>
      <w:r>
        <w:t xml:space="preserve">Tsukishima, Hiroshi.</w:t>
      </w:r>
      <w:r>
        <w:t xml:space="preserve"> </w:t>
      </w:r>
      <w:r>
        <w:t xml:space="preserve">“</w:t>
      </w:r>
      <w:r>
        <w:t xml:space="preserve">Kokugo Shiryō to shite no Zushoryōbon</w:t>
      </w:r>
      <w:r>
        <w:t xml:space="preserve"> </w:t>
      </w:r>
      <w:r>
        <w:rPr>
          <w:iCs/>
          <w:i/>
        </w:rPr>
        <w:t xml:space="preserve">Ruiju Myōgishō</w:t>
      </w:r>
      <w:r>
        <w:t xml:space="preserve">”</w:t>
      </w:r>
      <w:r>
        <w:t xml:space="preserve"> </w:t>
      </w:r>
      <w:r>
        <w:t xml:space="preserve">(The Zushoryōbon</w:t>
      </w:r>
      <w:r>
        <w:t xml:space="preserve"> </w:t>
      </w:r>
      <w:r>
        <w:rPr>
          <w:iCs/>
          <w:i/>
        </w:rPr>
        <w:t xml:space="preserve">Ruiju Myōgishō</w:t>
      </w:r>
      <w:r>
        <w:t xml:space="preserve"> </w:t>
      </w:r>
      <w:r>
        <w:t xml:space="preserve">as a Japanese Language Historical Source). In</w:t>
      </w:r>
      <w:r>
        <w:t xml:space="preserve"> </w:t>
      </w:r>
      <w:r>
        <w:rPr>
          <w:iCs/>
          <w:i/>
        </w:rPr>
        <w:t xml:space="preserve">Zushoryōbon Ruiju Myōgishō</w:t>
      </w:r>
      <w:r>
        <w:t xml:space="preserve"> </w:t>
      </w:r>
      <w:r>
        <w:t xml:space="preserve">(Facsimile Edition of the Zushoryōbon</w:t>
      </w:r>
      <w:r>
        <w:t xml:space="preserve"> </w:t>
      </w:r>
      <w:r>
        <w:rPr>
          <w:iCs/>
          <w:i/>
        </w:rPr>
        <w:t xml:space="preserve">Ruiju Myōgishō</w:t>
      </w:r>
      <w:r>
        <w:t xml:space="preserve">), 29–43. Tokyo: Benseisha, 1969. (Reprinted in Tsukishima 2016).</w:t>
      </w:r>
    </w:p>
    <w:p>
      <w:pPr>
        <w:numPr>
          <w:ilvl w:val="0"/>
          <w:numId w:val="1007"/>
        </w:numPr>
        <w:pStyle w:val="Compact"/>
      </w:pPr>
      <w:r>
        <w:rPr>
          <w:bCs/>
          <w:b/>
        </w:rPr>
        <w:t xml:space="preserve">Tsukishima, Hiroshi (1973)</w:t>
      </w:r>
    </w:p>
    <w:p>
      <w:pPr>
        <w:numPr>
          <w:ilvl w:val="1"/>
          <w:numId w:val="1068"/>
        </w:numPr>
        <w:pStyle w:val="Compact"/>
      </w:pPr>
      <w:r>
        <w:t xml:space="preserve">Tsukishima, Hiroshi.</w:t>
      </w:r>
      <w:r>
        <w:t xml:space="preserve"> </w:t>
      </w:r>
      <w:r>
        <w:t xml:space="preserve">“</w:t>
      </w:r>
      <w:r>
        <w:t xml:space="preserve">Shingō</w:t>
      </w:r>
      <w:r>
        <w:t xml:space="preserve"> </w:t>
      </w:r>
      <w:r>
        <w:rPr>
          <w:iCs/>
          <w:i/>
        </w:rPr>
        <w:t xml:space="preserve">Daibannyakyō</w:t>
      </w:r>
      <w:r>
        <w:t xml:space="preserve"> </w:t>
      </w:r>
      <w:r>
        <w:t xml:space="preserve">Onkun ni Tsuite</w:t>
      </w:r>
      <w:r>
        <w:t xml:space="preserve">”</w:t>
      </w:r>
      <w:r>
        <w:t xml:space="preserve"> </w:t>
      </w:r>
      <w:r>
        <w:t xml:space="preserve">(On the</w:t>
      </w:r>
      <w:r>
        <w:t xml:space="preserve"> </w:t>
      </w:r>
      <w:r>
        <w:rPr>
          <w:iCs/>
          <w:i/>
        </w:rPr>
        <w:t xml:space="preserve">Shingō Daibannyakyō Onkun</w:t>
      </w:r>
      <w:r>
        <w:t xml:space="preserve">). In</w:t>
      </w:r>
      <w:r>
        <w:t xml:space="preserve"> </w:t>
      </w:r>
      <w:r>
        <w:rPr>
          <w:iCs/>
          <w:i/>
        </w:rPr>
        <w:t xml:space="preserve">Nagasawa Sensei Koki Kinen Toshogaku Ronshū</w:t>
      </w:r>
      <w:r>
        <w:t xml:space="preserve"> </w:t>
      </w:r>
      <w:r>
        <w:t xml:space="preserve">(Collection of Papers on Bibliology Commemorating the 70th Birthday of Professor Nagasawa), edited by Nagasawa Sensei Koki Kinen Toshogaku Ronshū Kankōkai (Publication Committee for the Collection…), 403–423. Tokyo: Sanseidō, 1973. (Reprinted in Tsukishima 2016).</w:t>
      </w:r>
    </w:p>
    <w:p>
      <w:pPr>
        <w:numPr>
          <w:ilvl w:val="0"/>
          <w:numId w:val="1007"/>
        </w:numPr>
        <w:pStyle w:val="Compact"/>
      </w:pPr>
      <w:r>
        <w:rPr>
          <w:bCs/>
          <w:b/>
        </w:rPr>
        <w:t xml:space="preserve">Tsukishima, Hiroshi (1988)</w:t>
      </w:r>
    </w:p>
    <w:p>
      <w:pPr>
        <w:numPr>
          <w:ilvl w:val="1"/>
          <w:numId w:val="1069"/>
        </w:numPr>
        <w:pStyle w:val="Compact"/>
      </w:pPr>
      <w:r>
        <w:t xml:space="preserve">Tsukishima, Hiroshi.</w:t>
      </w:r>
      <w:r>
        <w:t xml:space="preserve"> </w:t>
      </w:r>
      <w:r>
        <w:t xml:space="preserve">“</w:t>
      </w:r>
      <w:r>
        <w:t xml:space="preserve">Kaihenbon-kei</w:t>
      </w:r>
      <w:r>
        <w:t xml:space="preserve"> </w:t>
      </w:r>
      <w:r>
        <w:rPr>
          <w:iCs/>
          <w:i/>
        </w:rPr>
        <w:t xml:space="preserve">Ruiju Myōgishō</w:t>
      </w:r>
      <w:r>
        <w:t xml:space="preserve"> </w:t>
      </w:r>
      <w:r>
        <w:t xml:space="preserve">Itsubun Shōken</w:t>
      </w:r>
      <w:r>
        <w:t xml:space="preserve">”</w:t>
      </w:r>
      <w:r>
        <w:t xml:space="preserve"> </w:t>
      </w:r>
      <w:r>
        <w:t xml:space="preserve">(Brief Observations on Fragments of the Revised Lineage</w:t>
      </w:r>
      <w:r>
        <w:t xml:space="preserve"> </w:t>
      </w:r>
      <w:r>
        <w:rPr>
          <w:iCs/>
          <w:i/>
        </w:rPr>
        <w:t xml:space="preserve">Ruiju Myōgishō</w:t>
      </w:r>
      <w:r>
        <w:t xml:space="preserve">).</w:t>
      </w:r>
      <w:r>
        <w:t xml:space="preserve"> </w:t>
      </w:r>
      <w:r>
        <w:rPr>
          <w:iCs/>
          <w:i/>
        </w:rPr>
        <w:t xml:space="preserve">Kamakura Jidaigo Kenkyū</w:t>
      </w:r>
      <w:r>
        <w:t xml:space="preserve"> </w:t>
      </w:r>
      <w:r>
        <w:t xml:space="preserve">11 (1988): 5–38.</w:t>
      </w:r>
    </w:p>
    <w:p>
      <w:pPr>
        <w:numPr>
          <w:ilvl w:val="0"/>
          <w:numId w:val="1007"/>
        </w:numPr>
        <w:pStyle w:val="Compact"/>
      </w:pPr>
      <w:r>
        <w:rPr>
          <w:bCs/>
          <w:b/>
        </w:rPr>
        <w:t xml:space="preserve">Tsukishima, Hiroshi (2016)</w:t>
      </w:r>
    </w:p>
    <w:p>
      <w:pPr>
        <w:numPr>
          <w:ilvl w:val="1"/>
          <w:numId w:val="1070"/>
        </w:numPr>
        <w:pStyle w:val="Compact"/>
      </w:pPr>
      <w:r>
        <w:t xml:space="preserve">Tsukishima, Hiroshi.</w:t>
      </w:r>
      <w:r>
        <w:t xml:space="preserve"> </w:t>
      </w:r>
      <w:r>
        <w:rPr>
          <w:iCs/>
          <w:i/>
        </w:rPr>
        <w:t xml:space="preserve">Kojisho to Ongi</w:t>
      </w:r>
      <w:r>
        <w:t xml:space="preserve"> </w:t>
      </w:r>
      <w:r>
        <w:t xml:space="preserve">(Old Dictionaries and Phonetic/Semantic Glosses).</w:t>
      </w:r>
      <w:r>
        <w:t xml:space="preserve"> </w:t>
      </w:r>
      <w:r>
        <w:rPr>
          <w:iCs/>
          <w:i/>
        </w:rPr>
        <w:t xml:space="preserve">Tsukishima Hiroshi Chosakushū</w:t>
      </w:r>
      <w:r>
        <w:t xml:space="preserve"> </w:t>
      </w:r>
      <w:r>
        <w:t xml:space="preserve">(Collected Works of Tsukishima Hiroshi), vol. 3. Tokyo: Kyūko Shoin, 2016.</w:t>
      </w:r>
    </w:p>
    <w:p>
      <w:pPr>
        <w:numPr>
          <w:ilvl w:val="0"/>
          <w:numId w:val="1007"/>
        </w:numPr>
        <w:pStyle w:val="Compact"/>
      </w:pPr>
      <w:r>
        <w:rPr>
          <w:bCs/>
          <w:b/>
        </w:rPr>
        <w:t xml:space="preserve">Wada, Kei (2005)</w:t>
      </w:r>
    </w:p>
    <w:p>
      <w:pPr>
        <w:numPr>
          <w:ilvl w:val="1"/>
          <w:numId w:val="1071"/>
        </w:numPr>
        <w:pStyle w:val="Compact"/>
      </w:pPr>
      <w:r>
        <w:t xml:space="preserve">Wada, Kei.</w:t>
      </w:r>
      <w:r>
        <w:t xml:space="preserve"> </w:t>
      </w:r>
      <w:r>
        <w:t xml:space="preserve">“</w:t>
      </w:r>
      <w:r>
        <w:t xml:space="preserve">Hōbodai-in bon</w:t>
      </w:r>
      <w:r>
        <w:t xml:space="preserve"> </w:t>
      </w:r>
      <w:r>
        <w:rPr>
          <w:iCs/>
          <w:i/>
        </w:rPr>
        <w:t xml:space="preserve">Ruiju Myōgishō</w:t>
      </w:r>
      <w:r>
        <w:t xml:space="preserve"> </w:t>
      </w:r>
      <w:r>
        <w:t xml:space="preserve">to Kanchi-in bon to no Hikaku kara: Te no Bu o Chūshin ni shite</w:t>
      </w:r>
      <w:r>
        <w:t xml:space="preserve">”</w:t>
      </w:r>
      <w:r>
        <w:t xml:space="preserve"> </w:t>
      </w:r>
      <w:r>
        <w:t xml:space="preserve">(From a Comparison between the Hōbodai-in Manuscript</w:t>
      </w:r>
      <w:r>
        <w:t xml:space="preserve"> </w:t>
      </w:r>
      <w:r>
        <w:rPr>
          <w:iCs/>
          <w:i/>
        </w:rPr>
        <w:t xml:space="preserve">Ruiju Myōgishō</w:t>
      </w:r>
      <w:r>
        <w:t xml:space="preserve"> </w:t>
      </w:r>
      <w:r>
        <w:t xml:space="preserve">and the Kanchi-in Manuscript: Focusing on the Hand Radical Section).</w:t>
      </w:r>
      <w:r>
        <w:t xml:space="preserve"> </w:t>
      </w:r>
      <w:r>
        <w:rPr>
          <w:iCs/>
          <w:i/>
        </w:rPr>
        <w:t xml:space="preserve">Kokubungaku Tōsa</w:t>
      </w:r>
      <w:r>
        <w:t xml:space="preserve">, no. 17 (2005): 126–137.</w:t>
      </w:r>
    </w:p>
    <w:p>
      <w:pPr>
        <w:numPr>
          <w:ilvl w:val="0"/>
          <w:numId w:val="1007"/>
        </w:numPr>
        <w:pStyle w:val="Compact"/>
      </w:pPr>
      <w:r>
        <w:rPr>
          <w:bCs/>
          <w:b/>
        </w:rPr>
        <w:t xml:space="preserve">Wada, Kei (2006)</w:t>
      </w:r>
    </w:p>
    <w:p>
      <w:pPr>
        <w:numPr>
          <w:ilvl w:val="1"/>
          <w:numId w:val="1072"/>
        </w:numPr>
        <w:pStyle w:val="Compact"/>
      </w:pPr>
      <w:r>
        <w:t xml:space="preserve">Wada, Kei.</w:t>
      </w:r>
      <w:r>
        <w:t xml:space="preserve"> </w:t>
      </w:r>
      <w:r>
        <w:t xml:space="preserve">“</w:t>
      </w:r>
      <w:r>
        <w:t xml:space="preserve">Hōbodai-in bon</w:t>
      </w:r>
      <w:r>
        <w:t xml:space="preserve"> </w:t>
      </w:r>
      <w:r>
        <w:rPr>
          <w:iCs/>
          <w:i/>
        </w:rPr>
        <w:t xml:space="preserve">Ruiju Myōgishō</w:t>
      </w:r>
      <w:r>
        <w:t xml:space="preserve"> </w:t>
      </w:r>
      <w:r>
        <w:t xml:space="preserve">to Kanchi-in bon to no Hikaku kara: Ki no Bu o Chūshin ni shite</w:t>
      </w:r>
      <w:r>
        <w:t xml:space="preserve">”</w:t>
      </w:r>
      <w:r>
        <w:t xml:space="preserve"> </w:t>
      </w:r>
      <w:r>
        <w:t xml:space="preserve">(From a Comparison between the Hōbodai-in Manuscript</w:t>
      </w:r>
      <w:r>
        <w:t xml:space="preserve"> </w:t>
      </w:r>
      <w:r>
        <w:rPr>
          <w:iCs/>
          <w:i/>
        </w:rPr>
        <w:t xml:space="preserve">Ruiju Myōgishō</w:t>
      </w:r>
      <w:r>
        <w:t xml:space="preserve"> </w:t>
      </w:r>
      <w:r>
        <w:t xml:space="preserve">and the Kanchi-in Manuscript: Focusing on the Tree Radical Section).</w:t>
      </w:r>
      <w:r>
        <w:t xml:space="preserve"> </w:t>
      </w:r>
      <w:r>
        <w:rPr>
          <w:iCs/>
          <w:i/>
        </w:rPr>
        <w:t xml:space="preserve">Kokubungaku Tōsa</w:t>
      </w:r>
      <w:r>
        <w:t xml:space="preserve">, no. 18 (2006): 228–239.</w:t>
      </w:r>
    </w:p>
    <w:p>
      <w:pPr>
        <w:numPr>
          <w:ilvl w:val="0"/>
          <w:numId w:val="1007"/>
        </w:numPr>
        <w:pStyle w:val="Compact"/>
      </w:pPr>
      <w:r>
        <w:rPr>
          <w:bCs/>
          <w:b/>
        </w:rPr>
        <w:t xml:space="preserve">Watanabe, Minoru (1960)</w:t>
      </w:r>
    </w:p>
    <w:p>
      <w:pPr>
        <w:numPr>
          <w:ilvl w:val="1"/>
          <w:numId w:val="1073"/>
        </w:numPr>
        <w:pStyle w:val="Compact"/>
      </w:pPr>
      <w:r>
        <w:t xml:space="preserve">Watanabe, Minoru.</w:t>
      </w:r>
      <w:r>
        <w:t xml:space="preserve"> </w:t>
      </w:r>
      <w:r>
        <w:t xml:space="preserve">“</w:t>
      </w:r>
      <w:r>
        <w:t xml:space="preserve">Sainnenjibon Renjō-in bon</w:t>
      </w:r>
      <w:r>
        <w:t xml:space="preserve"> </w:t>
      </w:r>
      <w:r>
        <w:rPr>
          <w:iCs/>
          <w:i/>
        </w:rPr>
        <w:t xml:space="preserve">Ruiju Myōgishō</w:t>
      </w:r>
      <w:r>
        <w:t xml:space="preserve"> </w:t>
      </w:r>
      <w:r>
        <w:t xml:space="preserve">ni Tsuite: Kansai Daigaku Genzōhon no Shōkai o Ki ni Gen</w:t>
      </w:r>
      <w:r>
        <w:t xml:space="preserve"> </w:t>
      </w:r>
      <w:r>
        <w:rPr>
          <w:iCs/>
          <w:i/>
        </w:rPr>
        <w:t xml:space="preserve">Myōgishō</w:t>
      </w:r>
      <w:r>
        <w:t xml:space="preserve"> </w:t>
      </w:r>
      <w:r>
        <w:t xml:space="preserve">no Hensei no Suitei ni Oyobu</w:t>
      </w:r>
      <w:r>
        <w:t xml:space="preserve">”</w:t>
      </w:r>
      <w:r>
        <w:t xml:space="preserve"> </w:t>
      </w:r>
      <w:r>
        <w:t xml:space="preserve">(On the Sainnenji and Renjō-in Manuscripts of the</w:t>
      </w:r>
      <w:r>
        <w:t xml:space="preserve"> </w:t>
      </w:r>
      <w:r>
        <w:rPr>
          <w:iCs/>
          <w:i/>
        </w:rPr>
        <w:t xml:space="preserve">Ruiju Myōgishō</w:t>
      </w:r>
      <w:r>
        <w:t xml:space="preserve">: Extending to an Estimation of the Original</w:t>
      </w:r>
      <w:r>
        <w:t xml:space="preserve"> </w:t>
      </w:r>
      <w:r>
        <w:rPr>
          <w:iCs/>
          <w:i/>
        </w:rPr>
        <w:t xml:space="preserve">Myōgishō</w:t>
      </w:r>
      <w:r>
        <w:t xml:space="preserve">’s Compilation on the Occasion of Introducing the Manuscript Currently Held by Kansai University). In</w:t>
      </w:r>
      <w:r>
        <w:t xml:space="preserve"> </w:t>
      </w:r>
      <w:r>
        <w:rPr>
          <w:iCs/>
          <w:i/>
        </w:rPr>
        <w:t xml:space="preserve">Shimada Kyōju Koki Kinen Kokubungaku Ronshū</w:t>
      </w:r>
      <w:r>
        <w:t xml:space="preserve"> </w:t>
      </w:r>
      <w:r>
        <w:t xml:space="preserve">(Collection of Japanese Literature Papers Commemorating the 70th Birthday of Professor Shimada), edited by Kansai Daigaku Kokubungakkai (Kansai University Japanese Literature Society), 375–404. Suita, 1960.</w:t>
      </w:r>
    </w:p>
    <w:p>
      <w:pPr>
        <w:numPr>
          <w:ilvl w:val="0"/>
          <w:numId w:val="1007"/>
        </w:numPr>
        <w:pStyle w:val="Compact"/>
      </w:pPr>
      <w:r>
        <w:rPr>
          <w:bCs/>
          <w:b/>
        </w:rPr>
        <w:t xml:space="preserve">Watanabe, Osamu (1953)</w:t>
      </w:r>
    </w:p>
    <w:p>
      <w:pPr>
        <w:numPr>
          <w:ilvl w:val="1"/>
          <w:numId w:val="1074"/>
        </w:numPr>
        <w:pStyle w:val="Compact"/>
      </w:pPr>
      <w:r>
        <w:t xml:space="preserve">Watanabe, Osamu.</w:t>
      </w:r>
      <w:r>
        <w:t xml:space="preserve"> </w:t>
      </w:r>
      <w:r>
        <w:t xml:space="preserve">“</w:t>
      </w:r>
      <w:r>
        <w:t xml:space="preserve">Zushoryōbon</w:t>
      </w:r>
      <w:r>
        <w:t xml:space="preserve"> </w:t>
      </w:r>
      <w:r>
        <w:rPr>
          <w:iCs/>
          <w:i/>
        </w:rPr>
        <w:t xml:space="preserve">Ruiju Myōgishō</w:t>
      </w:r>
      <w:r>
        <w:t xml:space="preserve"> </w:t>
      </w:r>
      <w:r>
        <w:t xml:space="preserve">to Ishiyamadera-zō Hon</w:t>
      </w:r>
      <w:r>
        <w:t xml:space="preserve"> </w:t>
      </w:r>
      <w:r>
        <w:rPr>
          <w:iCs/>
          <w:i/>
        </w:rPr>
        <w:t xml:space="preserve">Daihannyakyō Jishō</w:t>
      </w:r>
      <w:r>
        <w:t xml:space="preserve"> </w:t>
      </w:r>
      <w:r>
        <w:t xml:space="preserve">to ni Tsuite</w:t>
      </w:r>
      <w:r>
        <w:t xml:space="preserve">”</w:t>
      </w:r>
      <w:r>
        <w:t xml:space="preserve"> </w:t>
      </w:r>
      <w:r>
        <w:t xml:space="preserve">(On the Zushoryōbon</w:t>
      </w:r>
      <w:r>
        <w:t xml:space="preserve"> </w:t>
      </w:r>
      <w:r>
        <w:rPr>
          <w:iCs/>
          <w:i/>
        </w:rPr>
        <w:t xml:space="preserve">Ruiju Myōgishō</w:t>
      </w:r>
      <w:r>
        <w:t xml:space="preserve"> </w:t>
      </w:r>
      <w:r>
        <w:t xml:space="preserve">and the Ishiyamadera Manuscript</w:t>
      </w:r>
      <w:r>
        <w:t xml:space="preserve"> </w:t>
      </w:r>
      <w:r>
        <w:rPr>
          <w:iCs/>
          <w:i/>
        </w:rPr>
        <w:t xml:space="preserve">Daihannyakyō Jishō</w:t>
      </w:r>
      <w:r>
        <w:t xml:space="preserve">).</w:t>
      </w:r>
      <w:r>
        <w:t xml:space="preserve"> </w:t>
      </w:r>
      <w:r>
        <w:rPr>
          <w:iCs/>
          <w:i/>
        </w:rPr>
        <w:t xml:space="preserve">Kokugogaku</w:t>
      </w:r>
      <w:r>
        <w:t xml:space="preserve"> </w:t>
      </w:r>
      <w:r>
        <w:t xml:space="preserve">13 (1953): 35–50.</w:t>
      </w:r>
    </w:p>
    <w:p>
      <w:pPr>
        <w:numPr>
          <w:ilvl w:val="0"/>
          <w:numId w:val="1007"/>
        </w:numPr>
        <w:pStyle w:val="Compact"/>
      </w:pPr>
      <w:r>
        <w:rPr>
          <w:bCs/>
          <w:b/>
        </w:rPr>
        <w:t xml:space="preserve">Yamada, Kenzō (1997)</w:t>
      </w:r>
    </w:p>
    <w:p>
      <w:pPr>
        <w:numPr>
          <w:ilvl w:val="1"/>
          <w:numId w:val="1075"/>
        </w:numPr>
        <w:pStyle w:val="Compact"/>
      </w:pPr>
      <w:r>
        <w:t xml:space="preserve">Yamada, Kenzō.</w:t>
      </w:r>
      <w:r>
        <w:t xml:space="preserve"> </w:t>
      </w:r>
      <w:r>
        <w:t xml:space="preserve">“</w:t>
      </w:r>
      <w:r>
        <w:rPr>
          <w:iCs/>
          <w:i/>
        </w:rPr>
        <w:t xml:space="preserve">Myōgishō</w:t>
      </w:r>
      <w:r>
        <w:t xml:space="preserve"> </w:t>
      </w:r>
      <w:r>
        <w:t xml:space="preserve">no Bushu Kensaku Shisutemu Kōchiku ni tsuite</w:t>
      </w:r>
      <w:r>
        <w:t xml:space="preserve">”</w:t>
      </w:r>
      <w:r>
        <w:t xml:space="preserve"> </w:t>
      </w:r>
      <w:r>
        <w:t xml:space="preserve">(On Building a Radical Search System for the</w:t>
      </w:r>
      <w:r>
        <w:t xml:space="preserve"> </w:t>
      </w:r>
      <w:r>
        <w:rPr>
          <w:iCs/>
          <w:i/>
        </w:rPr>
        <w:t xml:space="preserve">Myōgishō</w:t>
      </w:r>
      <w:r>
        <w:t xml:space="preserve">).</w:t>
      </w:r>
      <w:r>
        <w:t xml:space="preserve"> </w:t>
      </w:r>
      <w:r>
        <w:rPr>
          <w:iCs/>
          <w:i/>
        </w:rPr>
        <w:t xml:space="preserve">Aichi Gakuin Daigaku Kyōyōbu Kiyō</w:t>
      </w:r>
      <w:r>
        <w:t xml:space="preserve"> </w:t>
      </w:r>
      <w:r>
        <w:t xml:space="preserve">44, no. 3 (1997): 169–200.</w:t>
      </w:r>
    </w:p>
    <w:p>
      <w:pPr>
        <w:numPr>
          <w:ilvl w:val="0"/>
          <w:numId w:val="1007"/>
        </w:numPr>
        <w:pStyle w:val="Compact"/>
      </w:pPr>
      <w:r>
        <w:rPr>
          <w:bCs/>
          <w:b/>
        </w:rPr>
        <w:t xml:space="preserve">Yamada, Kenzō (2020)</w:t>
      </w:r>
    </w:p>
    <w:p>
      <w:pPr>
        <w:numPr>
          <w:ilvl w:val="1"/>
          <w:numId w:val="1076"/>
        </w:numPr>
        <w:pStyle w:val="Compact"/>
      </w:pPr>
      <w:r>
        <w:t xml:space="preserve">Yamada, Kenzō.</w:t>
      </w:r>
      <w:r>
        <w:t xml:space="preserve"> </w:t>
      </w:r>
      <w:r>
        <w:t xml:space="preserve">“</w:t>
      </w:r>
      <w:r>
        <w:t xml:space="preserve">Jisho Seikatsushi to Gengoshi: Kaihenbon-kei</w:t>
      </w:r>
      <w:r>
        <w:t xml:space="preserve"> </w:t>
      </w:r>
      <w:r>
        <w:rPr>
          <w:iCs/>
          <w:i/>
        </w:rPr>
        <w:t xml:space="preserve">Ruiju Myōgishō</w:t>
      </w:r>
      <w:r>
        <w:t xml:space="preserve"> </w:t>
      </w:r>
      <w:r>
        <w:t xml:space="preserve">Ihon Hikaku kara</w:t>
      </w:r>
      <w:r>
        <w:t xml:space="preserve">”</w:t>
      </w:r>
      <w:r>
        <w:t xml:space="preserve"> </w:t>
      </w:r>
      <w:r>
        <w:t xml:space="preserve">(Social History of Dictionaries and Language History: From a Comparison of Variant Manuscripts of the Revised</w:t>
      </w:r>
      <w:r>
        <w:t xml:space="preserve"> </w:t>
      </w:r>
      <w:r>
        <w:rPr>
          <w:iCs/>
          <w:i/>
        </w:rPr>
        <w:t xml:space="preserve">Ruiju Myōgishō</w:t>
      </w:r>
      <w:r>
        <w:t xml:space="preserve"> </w:t>
      </w:r>
      <w:r>
        <w:t xml:space="preserve">Lineage).</w:t>
      </w:r>
      <w:r>
        <w:t xml:space="preserve"> </w:t>
      </w:r>
      <w:r>
        <w:rPr>
          <w:iCs/>
          <w:i/>
        </w:rPr>
        <w:t xml:space="preserve">Kuntengo to Kunten Shiryō</w:t>
      </w:r>
      <w:r>
        <w:t xml:space="preserve"> </w:t>
      </w:r>
      <w:r>
        <w:t xml:space="preserve">144 (2020): 130–151.</w:t>
      </w:r>
    </w:p>
    <w:p>
      <w:pPr>
        <w:numPr>
          <w:ilvl w:val="0"/>
          <w:numId w:val="1007"/>
        </w:numPr>
        <w:pStyle w:val="Compact"/>
      </w:pPr>
      <w:r>
        <w:rPr>
          <w:bCs/>
          <w:b/>
        </w:rPr>
        <w:t xml:space="preserve">Yamamoto, Hideto (1985a)</w:t>
      </w:r>
    </w:p>
    <w:p>
      <w:pPr>
        <w:numPr>
          <w:ilvl w:val="1"/>
          <w:numId w:val="1077"/>
        </w:numPr>
        <w:pStyle w:val="Compact"/>
      </w:pPr>
      <w:r>
        <w:t xml:space="preserve">Yamamoto, Hideto.</w:t>
      </w:r>
      <w:r>
        <w:t xml:space="preserve"> </w:t>
      </w:r>
      <w:r>
        <w:t xml:space="preserve">“</w:t>
      </w:r>
      <w:r>
        <w:t xml:space="preserve">Kaihenbon</w:t>
      </w:r>
      <w:r>
        <w:t xml:space="preserve"> </w:t>
      </w:r>
      <w:r>
        <w:rPr>
          <w:iCs/>
          <w:i/>
        </w:rPr>
        <w:t xml:space="preserve">Ruiju Myōgishō</w:t>
      </w:r>
      <w:r>
        <w:t xml:space="preserve"> </w:t>
      </w:r>
      <w:r>
        <w:t xml:space="preserve">ni okeru</w:t>
      </w:r>
      <w:r>
        <w:t xml:space="preserve"> </w:t>
      </w:r>
      <w:r>
        <w:rPr>
          <w:iCs/>
          <w:i/>
        </w:rPr>
        <w:t xml:space="preserve">Monzen</w:t>
      </w:r>
      <w:r>
        <w:t xml:space="preserve"> </w:t>
      </w:r>
      <w:r>
        <w:t xml:space="preserve">Kun no Zōho ni tsuite</w:t>
      </w:r>
      <w:r>
        <w:t xml:space="preserve">”</w:t>
      </w:r>
      <w:r>
        <w:t xml:space="preserve"> </w:t>
      </w:r>
      <w:r>
        <w:t xml:space="preserve">(On the Augmentation of</w:t>
      </w:r>
      <w:r>
        <w:t xml:space="preserve"> </w:t>
      </w:r>
      <w:r>
        <w:rPr>
          <w:iCs/>
          <w:i/>
        </w:rPr>
        <w:t xml:space="preserve">Wén Xuǎn</w:t>
      </w:r>
      <w:r>
        <w:t xml:space="preserve"> </w:t>
      </w:r>
      <w:r>
        <w:t xml:space="preserve">Readings in the Revised Lineage</w:t>
      </w:r>
      <w:r>
        <w:t xml:space="preserve"> </w:t>
      </w:r>
      <w:r>
        <w:rPr>
          <w:iCs/>
          <w:i/>
        </w:rPr>
        <w:t xml:space="preserve">Ruiju Myōgishō</w:t>
      </w:r>
      <w:r>
        <w:t xml:space="preserve">).</w:t>
      </w:r>
      <w:r>
        <w:t xml:space="preserve"> </w:t>
      </w:r>
      <w:r>
        <w:rPr>
          <w:iCs/>
          <w:i/>
        </w:rPr>
        <w:t xml:space="preserve">Kokubungaku Kō</w:t>
      </w:r>
      <w:r>
        <w:t xml:space="preserve">, no. 105 (1985): 35–51.</w:t>
      </w:r>
    </w:p>
    <w:p>
      <w:pPr>
        <w:numPr>
          <w:ilvl w:val="0"/>
          <w:numId w:val="1007"/>
        </w:numPr>
        <w:pStyle w:val="Compact"/>
      </w:pPr>
      <w:r>
        <w:rPr>
          <w:bCs/>
          <w:b/>
        </w:rPr>
        <w:t xml:space="preserve">Yamamoto, Hideto (1985b)</w:t>
      </w:r>
    </w:p>
    <w:p>
      <w:pPr>
        <w:numPr>
          <w:ilvl w:val="1"/>
          <w:numId w:val="1078"/>
        </w:numPr>
        <w:pStyle w:val="Compact"/>
      </w:pPr>
      <w:r>
        <w:t xml:space="preserve">Yamamoto, Hideto.</w:t>
      </w:r>
      <w:r>
        <w:t xml:space="preserve"> </w:t>
      </w:r>
      <w:r>
        <w:t xml:space="preserve">“</w:t>
      </w:r>
      <w:r>
        <w:t xml:space="preserve">Renjō-in bon</w:t>
      </w:r>
      <w:r>
        <w:t xml:space="preserve"> </w:t>
      </w:r>
      <w:r>
        <w:rPr>
          <w:iCs/>
          <w:i/>
        </w:rPr>
        <w:t xml:space="preserve">Ruiju Myōgishō</w:t>
      </w:r>
      <w:r>
        <w:t xml:space="preserve"> </w:t>
      </w:r>
      <w:r>
        <w:t xml:space="preserve">no Seiritsu ni tsuite: Ishitsu na Honbun o Yūsuru Bubun no Sonzai to sono Sojō</w:t>
      </w:r>
      <w:r>
        <w:t xml:space="preserve">”</w:t>
      </w:r>
      <w:r>
        <w:t xml:space="preserve"> </w:t>
      </w:r>
      <w:r>
        <w:t xml:space="preserve">(On the Formation of the Renjō-in manuscript</w:t>
      </w:r>
      <w:r>
        <w:t xml:space="preserve"> </w:t>
      </w:r>
      <w:r>
        <w:rPr>
          <w:iCs/>
          <w:i/>
        </w:rPr>
        <w:t xml:space="preserve">Ruiju Myōgishō</w:t>
      </w:r>
      <w:r>
        <w:t xml:space="preserve">: The Existence and Origin of Sections with Heterogeneous Text).</w:t>
      </w:r>
      <w:r>
        <w:t xml:space="preserve"> </w:t>
      </w:r>
      <w:r>
        <w:rPr>
          <w:iCs/>
          <w:i/>
        </w:rPr>
        <w:t xml:space="preserve">Kamakura Jidaigo Kenkyū</w:t>
      </w:r>
      <w:r>
        <w:t xml:space="preserve"> </w:t>
      </w:r>
      <w:r>
        <w:t xml:space="preserve">8 (1985): 134–159.</w:t>
      </w:r>
    </w:p>
    <w:p>
      <w:pPr>
        <w:numPr>
          <w:ilvl w:val="0"/>
          <w:numId w:val="1007"/>
        </w:numPr>
        <w:pStyle w:val="Compact"/>
      </w:pPr>
      <w:r>
        <w:rPr>
          <w:bCs/>
          <w:b/>
        </w:rPr>
        <w:t xml:space="preserve">Yamamoto, Hideto (1988)</w:t>
      </w:r>
    </w:p>
    <w:p>
      <w:pPr>
        <w:numPr>
          <w:ilvl w:val="1"/>
          <w:numId w:val="1079"/>
        </w:numPr>
        <w:pStyle w:val="Compact"/>
      </w:pPr>
      <w:r>
        <w:t xml:space="preserve">Yamamoto, Hideto.</w:t>
      </w:r>
      <w:r>
        <w:t xml:space="preserve"> </w:t>
      </w:r>
      <w:r>
        <w:t xml:space="preserve">“</w:t>
      </w:r>
      <w:r>
        <w:rPr>
          <w:iCs/>
          <w:i/>
        </w:rPr>
        <w:t xml:space="preserve">Ruiju Myōgishō</w:t>
      </w:r>
      <w:r>
        <w:t xml:space="preserve"> </w:t>
      </w:r>
      <w:r>
        <w:t xml:space="preserve">ni okeru</w:t>
      </w:r>
      <w:r>
        <w:t xml:space="preserve"> </w:t>
      </w:r>
      <w:r>
        <w:rPr>
          <w:iCs/>
          <w:i/>
        </w:rPr>
        <w:t xml:space="preserve">Wamyō Ruijushō</w:t>
      </w:r>
      <w:r>
        <w:t xml:space="preserve"> </w:t>
      </w:r>
      <w:r>
        <w:t xml:space="preserve">o Shutten to suru Wakun no Sesshuhō ni tsuite: Gensenbon Hensan, Kaihen, Kaihengo no Zōho, no San Dankai ni Chakumoku shite</w:t>
      </w:r>
      <w:r>
        <w:t xml:space="preserve">”</w:t>
      </w:r>
      <w:r>
        <w:t xml:space="preserve"> </w:t>
      </w:r>
      <w:r>
        <w:t xml:space="preserve">(On the Method of Adopting</w:t>
      </w:r>
      <w:r>
        <w:t xml:space="preserve"> </w:t>
      </w:r>
      <w:r>
        <w:rPr>
          <w:iCs/>
          <w:i/>
        </w:rPr>
        <w:t xml:space="preserve">Wakun</w:t>
      </w:r>
      <w:r>
        <w:t xml:space="preserve"> </w:t>
      </w:r>
      <w:r>
        <w:t xml:space="preserve">Sourced from the</w:t>
      </w:r>
      <w:r>
        <w:t xml:space="preserve"> </w:t>
      </w:r>
      <w:r>
        <w:rPr>
          <w:iCs/>
          <w:i/>
        </w:rPr>
        <w:t xml:space="preserve">Wamyō Ruijushō</w:t>
      </w:r>
      <w:r>
        <w:t xml:space="preserve"> </w:t>
      </w:r>
      <w:r>
        <w:t xml:space="preserve">in the</w:t>
      </w:r>
      <w:r>
        <w:t xml:space="preserve"> </w:t>
      </w:r>
      <w:r>
        <w:rPr>
          <w:iCs/>
          <w:i/>
        </w:rPr>
        <w:t xml:space="preserve">Ruiju Myōgishō</w:t>
      </w:r>
      <w:r>
        <w:t xml:space="preserve">: Focusing on Three Stages—Original Compilation, Revision, and Post-Revision Augmentation).</w:t>
      </w:r>
      <w:r>
        <w:t xml:space="preserve"> </w:t>
      </w:r>
      <w:r>
        <w:rPr>
          <w:iCs/>
          <w:i/>
        </w:rPr>
        <w:t xml:space="preserve">Hiroshima Daigaku Bungakubu Kiyō</w:t>
      </w:r>
      <w:r>
        <w:t xml:space="preserve"> </w:t>
      </w:r>
      <w:r>
        <w:t xml:space="preserve">(Bulletin of the Faculty of Letters, Hiroshima University) 47 (1988): 1–28.</w:t>
      </w:r>
    </w:p>
    <w:p>
      <w:pPr>
        <w:numPr>
          <w:ilvl w:val="0"/>
          <w:numId w:val="1007"/>
        </w:numPr>
        <w:pStyle w:val="Compact"/>
      </w:pPr>
      <w:r>
        <w:rPr>
          <w:bCs/>
          <w:b/>
        </w:rPr>
        <w:t xml:space="preserve">Yamamoto, Hideto (1990)</w:t>
      </w:r>
    </w:p>
    <w:p>
      <w:pPr>
        <w:numPr>
          <w:ilvl w:val="1"/>
          <w:numId w:val="1080"/>
        </w:numPr>
        <w:pStyle w:val="Compact"/>
      </w:pPr>
      <w:r>
        <w:t xml:space="preserve">Yamamoto, Hideto.</w:t>
      </w:r>
      <w:r>
        <w:t xml:space="preserve"> </w:t>
      </w:r>
      <w:r>
        <w:t xml:space="preserve">“</w:t>
      </w:r>
      <w:r>
        <w:t xml:space="preserve">Zushoryōbon</w:t>
      </w:r>
      <w:r>
        <w:t xml:space="preserve"> </w:t>
      </w:r>
      <w:r>
        <w:rPr>
          <w:iCs/>
          <w:i/>
        </w:rPr>
        <w:t xml:space="preserve">Ruiju Myōgishō</w:t>
      </w:r>
      <w:r>
        <w:t xml:space="preserve"> </w:t>
      </w:r>
      <w:r>
        <w:t xml:space="preserve">ni okeru Shingō</w:t>
      </w:r>
      <w:r>
        <w:t xml:space="preserve"> </w:t>
      </w:r>
      <w:r>
        <w:rPr>
          <w:iCs/>
          <w:i/>
        </w:rPr>
        <w:t xml:space="preserve">Daibannyakyō</w:t>
      </w:r>
      <w:r>
        <w:t xml:space="preserve"> </w:t>
      </w:r>
      <w:r>
        <w:t xml:space="preserve">Onkun no In’yōhō ni tsuite: Eizan Bunko-zō</w:t>
      </w:r>
      <w:r>
        <w:t xml:space="preserve"> </w:t>
      </w:r>
      <w:r>
        <w:rPr>
          <w:iCs/>
          <w:i/>
        </w:rPr>
        <w:t xml:space="preserve">Sokushinshō</w:t>
      </w:r>
      <w:r>
        <w:t xml:space="preserve"> </w:t>
      </w:r>
      <w:r>
        <w:t xml:space="preserve">Shoin no Shingō</w:t>
      </w:r>
      <w:r>
        <w:t xml:space="preserve"> </w:t>
      </w:r>
      <w:r>
        <w:rPr>
          <w:iCs/>
          <w:i/>
        </w:rPr>
        <w:t xml:space="preserve">Daibannyakyō</w:t>
      </w:r>
      <w:r>
        <w:t xml:space="preserve"> </w:t>
      </w:r>
      <w:r>
        <w:t xml:space="preserve">Onkun to no Hikaku yori</w:t>
      </w:r>
      <w:r>
        <w:t xml:space="preserve">”</w:t>
      </w:r>
      <w:r>
        <w:t xml:space="preserve"> </w:t>
      </w:r>
      <w:r>
        <w:t xml:space="preserve">(On the Citation Method of the</w:t>
      </w:r>
      <w:r>
        <w:t xml:space="preserve"> </w:t>
      </w:r>
      <w:r>
        <w:rPr>
          <w:iCs/>
          <w:i/>
        </w:rPr>
        <w:t xml:space="preserve">Shingō Daibannyakyō Onkun</w:t>
      </w:r>
      <w:r>
        <w:t xml:space="preserve"> </w:t>
      </w:r>
      <w:r>
        <w:t xml:space="preserve">in the Zushoryōbon</w:t>
      </w:r>
      <w:r>
        <w:t xml:space="preserve"> </w:t>
      </w:r>
      <w:r>
        <w:rPr>
          <w:iCs/>
          <w:i/>
        </w:rPr>
        <w:t xml:space="preserve">Ruiju Myōgishō</w:t>
      </w:r>
      <w:r>
        <w:t xml:space="preserve">: A Comparison with the</w:t>
      </w:r>
      <w:r>
        <w:t xml:space="preserve"> </w:t>
      </w:r>
      <w:r>
        <w:rPr>
          <w:iCs/>
          <w:i/>
        </w:rPr>
        <w:t xml:space="preserve">Shingō Daibannyakyō Onkun</w:t>
      </w:r>
      <w:r>
        <w:t xml:space="preserve"> </w:t>
      </w:r>
      <w:r>
        <w:t xml:space="preserve">Cited in the</w:t>
      </w:r>
      <w:r>
        <w:t xml:space="preserve"> </w:t>
      </w:r>
      <w:r>
        <w:rPr>
          <w:iCs/>
          <w:i/>
        </w:rPr>
        <w:t xml:space="preserve">Sokushinshō</w:t>
      </w:r>
      <w:r>
        <w:t xml:space="preserve"> </w:t>
      </w:r>
      <w:r>
        <w:t xml:space="preserve">held by the Eizan Bunko).</w:t>
      </w:r>
      <w:r>
        <w:t xml:space="preserve"> </w:t>
      </w:r>
      <w:r>
        <w:rPr>
          <w:iCs/>
          <w:i/>
        </w:rPr>
        <w:t xml:space="preserve">Kuntengo to Kunten Shiryō</w:t>
      </w:r>
      <w:r>
        <w:t xml:space="preserve"> </w:t>
      </w:r>
      <w:r>
        <w:t xml:space="preserve">85 (1990): 1–29.</w:t>
      </w:r>
    </w:p>
    <w:p>
      <w:pPr>
        <w:numPr>
          <w:ilvl w:val="0"/>
          <w:numId w:val="1007"/>
        </w:numPr>
        <w:pStyle w:val="Compact"/>
      </w:pPr>
      <w:r>
        <w:rPr>
          <w:bCs/>
          <w:b/>
        </w:rPr>
        <w:t xml:space="preserve">Yamamoto, Hideto (2000)</w:t>
      </w:r>
    </w:p>
    <w:p>
      <w:pPr>
        <w:numPr>
          <w:ilvl w:val="1"/>
          <w:numId w:val="1081"/>
        </w:numPr>
        <w:pStyle w:val="Compact"/>
      </w:pPr>
      <w:r>
        <w:t xml:space="preserve">Yamamoto, Hideto.</w:t>
      </w:r>
      <w:r>
        <w:t xml:space="preserve"> </w:t>
      </w:r>
      <w:r>
        <w:t xml:space="preserve">“</w:t>
      </w:r>
      <w:r>
        <w:rPr>
          <w:iCs/>
          <w:i/>
        </w:rPr>
        <w:t xml:space="preserve">Ruiju Myōgishō</w:t>
      </w:r>
      <w:r>
        <w:t xml:space="preserve"> </w:t>
      </w:r>
      <w:r>
        <w:t xml:space="preserve">ni okeru</w:t>
      </w:r>
      <w:r>
        <w:t xml:space="preserve"> </w:t>
      </w:r>
      <w:r>
        <w:rPr>
          <w:iCs/>
          <w:i/>
        </w:rPr>
        <w:t xml:space="preserve">Shiki</w:t>
      </w:r>
      <w:r>
        <w:t xml:space="preserve"> </w:t>
      </w:r>
      <w:r>
        <w:t xml:space="preserve">no Kun no Sairoku ni tsuite: Zushoryōbon ni okeru Fusairoku no Kun o Chūshin ni</w:t>
      </w:r>
      <w:r>
        <w:t xml:space="preserve">”</w:t>
      </w:r>
      <w:r>
        <w:t xml:space="preserve"> </w:t>
      </w:r>
      <w:r>
        <w:t xml:space="preserve">(On the Recording of</w:t>
      </w:r>
      <w:r>
        <w:t xml:space="preserve"> </w:t>
      </w:r>
      <w:r>
        <w:rPr>
          <w:iCs/>
          <w:i/>
        </w:rPr>
        <w:t xml:space="preserve">Shǐjì</w:t>
      </w:r>
      <w:r>
        <w:t xml:space="preserve"> </w:t>
      </w:r>
      <w:r>
        <w:t xml:space="preserve">Readings in the</w:t>
      </w:r>
      <w:r>
        <w:t xml:space="preserve"> </w:t>
      </w:r>
      <w:r>
        <w:rPr>
          <w:iCs/>
          <w:i/>
        </w:rPr>
        <w:t xml:space="preserve">Ruiju Myōgishō</w:t>
      </w:r>
      <w:r>
        <w:t xml:space="preserve">: Focusing on Readings Not Recorded in the Zushoryōbon).</w:t>
      </w:r>
      <w:r>
        <w:t xml:space="preserve"> </w:t>
      </w:r>
      <w:r>
        <w:rPr>
          <w:iCs/>
          <w:i/>
        </w:rPr>
        <w:t xml:space="preserve">Kamakura Jidaigo Kenkyū</w:t>
      </w:r>
      <w:r>
        <w:t xml:space="preserve"> </w:t>
      </w:r>
      <w:r>
        <w:t xml:space="preserve">23 (2000): 466–491.</w:t>
      </w:r>
    </w:p>
    <w:p>
      <w:pPr>
        <w:numPr>
          <w:ilvl w:val="0"/>
          <w:numId w:val="1007"/>
        </w:numPr>
        <w:pStyle w:val="Compact"/>
      </w:pPr>
      <w:r>
        <w:rPr>
          <w:bCs/>
          <w:b/>
        </w:rPr>
        <w:t xml:space="preserve">Yamamoto, Hideto (2001)</w:t>
      </w:r>
    </w:p>
    <w:p>
      <w:pPr>
        <w:numPr>
          <w:ilvl w:val="1"/>
          <w:numId w:val="1082"/>
        </w:numPr>
        <w:pStyle w:val="Compact"/>
      </w:pPr>
      <w:r>
        <w:t xml:space="preserve">Yamamoto, Hideto.</w:t>
      </w:r>
      <w:r>
        <w:t xml:space="preserve"> </w:t>
      </w:r>
      <w:r>
        <w:t xml:space="preserve">“</w:t>
      </w:r>
      <w:r>
        <w:t xml:space="preserve">Zushoryōbon</w:t>
      </w:r>
      <w:r>
        <w:t xml:space="preserve"> </w:t>
      </w:r>
      <w:r>
        <w:rPr>
          <w:iCs/>
          <w:i/>
        </w:rPr>
        <w:t xml:space="preserve">Ruiju Myōgishō</w:t>
      </w:r>
      <w:r>
        <w:t xml:space="preserve"> </w:t>
      </w:r>
      <w:r>
        <w:t xml:space="preserve">ni okeru Shutten Muhyōji no Wakun ni tsuite: Kokuso no Kun to no Kakawari o Chūshin ni</w:t>
      </w:r>
      <w:r>
        <w:t xml:space="preserve">”</w:t>
      </w:r>
      <w:r>
        <w:t xml:space="preserve"> </w:t>
      </w:r>
      <w:r>
        <w:t xml:space="preserve">(On Wakun with No Source Indication in the Zushoryōbon</w:t>
      </w:r>
      <w:r>
        <w:t xml:space="preserve"> </w:t>
      </w:r>
      <w:r>
        <w:rPr>
          <w:iCs/>
          <w:i/>
        </w:rPr>
        <w:t xml:space="preserve">Ruiju Myōgishō</w:t>
      </w:r>
      <w:r>
        <w:t xml:space="preserve">: Focusing on the Relationship with Readings in Japanese Texts).</w:t>
      </w:r>
      <w:r>
        <w:t xml:space="preserve"> </w:t>
      </w:r>
      <w:r>
        <w:rPr>
          <w:iCs/>
          <w:i/>
        </w:rPr>
        <w:t xml:space="preserve">Kōchidai Kokubun</w:t>
      </w:r>
      <w:r>
        <w:t xml:space="preserve">, no. 32 (2001): 48–72.</w:t>
      </w:r>
    </w:p>
    <w:p>
      <w:pPr>
        <w:numPr>
          <w:ilvl w:val="0"/>
          <w:numId w:val="1007"/>
        </w:numPr>
        <w:pStyle w:val="Compact"/>
      </w:pPr>
      <w:r>
        <w:rPr>
          <w:bCs/>
          <w:b/>
        </w:rPr>
        <w:t xml:space="preserve">Yamamoto, Hideto (2003)</w:t>
      </w:r>
    </w:p>
    <w:p>
      <w:pPr>
        <w:numPr>
          <w:ilvl w:val="1"/>
          <w:numId w:val="1083"/>
        </w:numPr>
        <w:pStyle w:val="Compact"/>
      </w:pPr>
      <w:r>
        <w:t xml:space="preserve">Yamamoto, Hideto.</w:t>
      </w:r>
      <w:r>
        <w:t xml:space="preserve"> </w:t>
      </w:r>
      <w:r>
        <w:t xml:space="preserve">“</w:t>
      </w:r>
      <w:r>
        <w:t xml:space="preserve">Hōbodai-in bon</w:t>
      </w:r>
      <w:r>
        <w:t xml:space="preserve"> </w:t>
      </w:r>
      <w:r>
        <w:rPr>
          <w:iCs/>
          <w:i/>
        </w:rPr>
        <w:t xml:space="preserve">Ruiju Myōgishō</w:t>
      </w:r>
      <w:r>
        <w:t xml:space="preserve"> </w:t>
      </w:r>
      <w:r>
        <w:t xml:space="preserve">ni tsuite: Kanchi-in bon to no Hikaku yori</w:t>
      </w:r>
      <w:r>
        <w:t xml:space="preserve">”</w:t>
      </w:r>
      <w:r>
        <w:t xml:space="preserve"> </w:t>
      </w:r>
      <w:r>
        <w:t xml:space="preserve">(On the Hōbodai-in Manuscript</w:t>
      </w:r>
      <w:r>
        <w:t xml:space="preserve"> </w:t>
      </w:r>
      <w:r>
        <w:rPr>
          <w:iCs/>
          <w:i/>
        </w:rPr>
        <w:t xml:space="preserve">Ruiju Myōgishō</w:t>
      </w:r>
      <w:r>
        <w:t xml:space="preserve">: From a Comparison with the Kanchi-in Manuscript).</w:t>
      </w:r>
      <w:r>
        <w:t xml:space="preserve"> </w:t>
      </w:r>
      <w:r>
        <w:rPr>
          <w:iCs/>
          <w:i/>
        </w:rPr>
        <w:t xml:space="preserve">Kuntengo to Kunten Shiryō</w:t>
      </w:r>
      <w:r>
        <w:t xml:space="preserve"> </w:t>
      </w:r>
      <w:r>
        <w:t xml:space="preserve">111 (2003): 20–30.</w:t>
      </w:r>
    </w:p>
    <w:p>
      <w:pPr>
        <w:numPr>
          <w:ilvl w:val="0"/>
          <w:numId w:val="1007"/>
        </w:numPr>
        <w:pStyle w:val="Compact"/>
      </w:pPr>
      <w:r>
        <w:rPr>
          <w:bCs/>
          <w:b/>
        </w:rPr>
        <w:t xml:space="preserve">Yamamoto, Hideto (2011)</w:t>
      </w:r>
    </w:p>
    <w:p>
      <w:pPr>
        <w:numPr>
          <w:ilvl w:val="1"/>
          <w:numId w:val="1084"/>
        </w:numPr>
        <w:pStyle w:val="Compact"/>
      </w:pPr>
      <w:r>
        <w:t xml:space="preserve">Yamamoto, Hideto.</w:t>
      </w:r>
      <w:r>
        <w:t xml:space="preserve"> </w:t>
      </w:r>
      <w:r>
        <w:t xml:space="preserve">“</w:t>
      </w:r>
      <w:r>
        <w:t xml:space="preserve">Kaihenbon</w:t>
      </w:r>
      <w:r>
        <w:t xml:space="preserve"> </w:t>
      </w:r>
      <w:r>
        <w:rPr>
          <w:iCs/>
          <w:i/>
        </w:rPr>
        <w:t xml:space="preserve">Ruiju Myōgishō</w:t>
      </w:r>
      <w:r>
        <w:t xml:space="preserve"> </w:t>
      </w:r>
      <w:r>
        <w:t xml:space="preserve">ni okeru</w:t>
      </w:r>
      <w:r>
        <w:t xml:space="preserve"> </w:t>
      </w:r>
      <w:r>
        <w:t xml:space="preserve">‘</w:t>
      </w:r>
      <w:r>
        <w:t xml:space="preserve">Azumabito un</w:t>
      </w:r>
      <w:r>
        <w:t xml:space="preserve">’</w:t>
      </w:r>
      <w:r>
        <w:t xml:space="preserve"> </w:t>
      </w:r>
      <w:r>
        <w:t xml:space="preserve">ni tsuite (Jō):</w:t>
      </w:r>
      <w:r>
        <w:t xml:space="preserve"> </w:t>
      </w:r>
      <w:r>
        <w:rPr>
          <w:iCs/>
          <w:i/>
        </w:rPr>
        <w:t xml:space="preserve">Shinsen Jikyō</w:t>
      </w:r>
      <w:r>
        <w:t xml:space="preserve"> </w:t>
      </w:r>
      <w:r>
        <w:t xml:space="preserve">to no Kankei o Chūshin ni</w:t>
      </w:r>
      <w:r>
        <w:t xml:space="preserve">”</w:t>
      </w:r>
      <w:r>
        <w:t xml:space="preserve"> </w:t>
      </w:r>
      <w:r>
        <w:t xml:space="preserve">(On</w:t>
      </w:r>
      <w:r>
        <w:t xml:space="preserve"> </w:t>
      </w:r>
      <w:r>
        <w:t xml:space="preserve">“</w:t>
      </w:r>
      <w:r>
        <w:t xml:space="preserve">Azumabito un</w:t>
      </w:r>
      <w:r>
        <w:t xml:space="preserve">”</w:t>
      </w:r>
      <w:r>
        <w:t xml:space="preserve"> </w:t>
      </w:r>
      <w:r>
        <w:t xml:space="preserve">[Cited by Easterners/People from Eastern Japan] in the Revised</w:t>
      </w:r>
      <w:r>
        <w:t xml:space="preserve"> </w:t>
      </w:r>
      <w:r>
        <w:rPr>
          <w:iCs/>
          <w:i/>
        </w:rPr>
        <w:t xml:space="preserve">Ruiju Myōgishō</w:t>
      </w:r>
      <w:r>
        <w:t xml:space="preserve"> </w:t>
      </w:r>
      <w:r>
        <w:t xml:space="preserve">(Part 1): Focusing on the Relationship with the</w:t>
      </w:r>
      <w:r>
        <w:t xml:space="preserve"> </w:t>
      </w:r>
      <w:r>
        <w:rPr>
          <w:iCs/>
          <w:i/>
        </w:rPr>
        <w:t xml:space="preserve">Shinsen Jikyō</w:t>
      </w:r>
      <w:r>
        <w:t xml:space="preserve">). In</w:t>
      </w:r>
      <w:r>
        <w:t xml:space="preserve"> </w:t>
      </w:r>
      <w:r>
        <w:rPr>
          <w:iCs/>
          <w:i/>
        </w:rPr>
        <w:t xml:space="preserve">Kokugo Goishi no Kenkyū 30</w:t>
      </w:r>
      <w:r>
        <w:t xml:space="preserve"> </w:t>
      </w:r>
      <w:r>
        <w:t xml:space="preserve">(Research in the History of Japanese Vocabulary 30), edited by Kokugo Goishi Kenkyūkai (Society for the Historical Study of Japanese Vocabulary), 145–157. Osaka: Izumi Shoin, 2011.</w:t>
      </w:r>
    </w:p>
    <w:p>
      <w:pPr>
        <w:numPr>
          <w:ilvl w:val="0"/>
          <w:numId w:val="1007"/>
        </w:numPr>
        <w:pStyle w:val="Compact"/>
      </w:pPr>
      <w:r>
        <w:rPr>
          <w:bCs/>
          <w:b/>
        </w:rPr>
        <w:t xml:space="preserve">Yamamoto, Hideto (2012)</w:t>
      </w:r>
    </w:p>
    <w:p>
      <w:pPr>
        <w:numPr>
          <w:ilvl w:val="1"/>
          <w:numId w:val="1085"/>
        </w:numPr>
        <w:pStyle w:val="Compact"/>
      </w:pPr>
      <w:r>
        <w:t xml:space="preserve">Yamamoto, Hideto.</w:t>
      </w:r>
      <w:r>
        <w:t xml:space="preserve"> </w:t>
      </w:r>
      <w:r>
        <w:t xml:space="preserve">“</w:t>
      </w:r>
      <w:r>
        <w:t xml:space="preserve">Kaihenbon</w:t>
      </w:r>
      <w:r>
        <w:t xml:space="preserve"> </w:t>
      </w:r>
      <w:r>
        <w:rPr>
          <w:iCs/>
          <w:i/>
        </w:rPr>
        <w:t xml:space="preserve">Ruiju Myōgishō</w:t>
      </w:r>
      <w:r>
        <w:t xml:space="preserve"> </w:t>
      </w:r>
      <w:r>
        <w:t xml:space="preserve">ni okeru</w:t>
      </w:r>
      <w:r>
        <w:t xml:space="preserve"> </w:t>
      </w:r>
      <w:r>
        <w:t xml:space="preserve">‘</w:t>
      </w:r>
      <w:r>
        <w:t xml:space="preserve">Azumabito un</w:t>
      </w:r>
      <w:r>
        <w:t xml:space="preserve">’</w:t>
      </w:r>
      <w:r>
        <w:t xml:space="preserve"> </w:t>
      </w:r>
      <w:r>
        <w:t xml:space="preserve">ni tsuite (Ge): Go to shite no Seikaku / Imi no Tankyū</w:t>
      </w:r>
      <w:r>
        <w:t xml:space="preserve">”</w:t>
      </w:r>
      <w:r>
        <w:t xml:space="preserve"> </w:t>
      </w:r>
      <w:r>
        <w:t xml:space="preserve">(On</w:t>
      </w:r>
      <w:r>
        <w:t xml:space="preserve"> </w:t>
      </w:r>
      <w:r>
        <w:t xml:space="preserve">“</w:t>
      </w:r>
      <w:r>
        <w:t xml:space="preserve">Azumabito un</w:t>
      </w:r>
      <w:r>
        <w:t xml:space="preserve">”</w:t>
      </w:r>
      <w:r>
        <w:t xml:space="preserve"> </w:t>
      </w:r>
      <w:r>
        <w:t xml:space="preserve">[Cited by Easterners/People from Eastern Japan] in the Revised</w:t>
      </w:r>
      <w:r>
        <w:t xml:space="preserve"> </w:t>
      </w:r>
      <w:r>
        <w:rPr>
          <w:iCs/>
          <w:i/>
        </w:rPr>
        <w:t xml:space="preserve">Ruiju Myōgishō</w:t>
      </w:r>
      <w:r>
        <w:t xml:space="preserve"> </w:t>
      </w:r>
      <w:r>
        <w:t xml:space="preserve">(Part 2): Exploring its Nature and Meaning as Language). In</w:t>
      </w:r>
      <w:r>
        <w:t xml:space="preserve"> </w:t>
      </w:r>
      <w:r>
        <w:rPr>
          <w:iCs/>
          <w:i/>
        </w:rPr>
        <w:t xml:space="preserve">Kokugo Goishi no Kenkyū 31</w:t>
      </w:r>
      <w:r>
        <w:t xml:space="preserve"> </w:t>
      </w:r>
      <w:r>
        <w:t xml:space="preserve">(Research in the History of Japanese Vocabulary 31), edited by Kokugo Goishi Kenkyūkai (Society for the Historical Study of Japanese Vocabulary), 169–194. Osaka: Izumi Shoin, 2012.</w:t>
      </w:r>
    </w:p>
    <w:p>
      <w:pPr>
        <w:numPr>
          <w:ilvl w:val="0"/>
          <w:numId w:val="1007"/>
        </w:numPr>
        <w:pStyle w:val="Compact"/>
      </w:pPr>
      <w:r>
        <w:rPr>
          <w:bCs/>
          <w:b/>
        </w:rPr>
        <w:t xml:space="preserve">Yamamoto, Shingo (1991)</w:t>
      </w:r>
    </w:p>
    <w:p>
      <w:pPr>
        <w:numPr>
          <w:ilvl w:val="1"/>
          <w:numId w:val="1086"/>
        </w:numPr>
        <w:pStyle w:val="Compact"/>
      </w:pPr>
      <w:r>
        <w:t xml:space="preserve">Yamamoto, Shingo.</w:t>
      </w:r>
      <w:r>
        <w:t xml:space="preserve"> </w:t>
      </w:r>
      <w:r>
        <w:t xml:space="preserve">“</w:t>
      </w:r>
      <w:r>
        <w:t xml:space="preserve">Keiō Gijuku Toshokan-zō</w:t>
      </w:r>
      <w:r>
        <w:t xml:space="preserve"> </w:t>
      </w:r>
      <w:r>
        <w:rPr>
          <w:iCs/>
          <w:i/>
        </w:rPr>
        <w:t xml:space="preserve">Shōryōshū Ryakuchū</w:t>
      </w:r>
      <w:r>
        <w:t xml:space="preserve"> </w:t>
      </w:r>
      <w:r>
        <w:t xml:space="preserve">Shuttenkō:</w:t>
      </w:r>
      <w:r>
        <w:t xml:space="preserve"> </w:t>
      </w:r>
      <w:r>
        <w:rPr>
          <w:iCs/>
          <w:i/>
        </w:rPr>
        <w:t xml:space="preserve">Ruiju Myōgishō</w:t>
      </w:r>
      <w:r>
        <w:t xml:space="preserve"> </w:t>
      </w:r>
      <w:r>
        <w:t xml:space="preserve">kara no In’yō o Chūshin to shite</w:t>
      </w:r>
      <w:r>
        <w:t xml:space="preserve">”</w:t>
      </w:r>
      <w:r>
        <w:t xml:space="preserve"> </w:t>
      </w:r>
      <w:r>
        <w:t xml:space="preserve">(A Study of the Sources of the</w:t>
      </w:r>
      <w:r>
        <w:t xml:space="preserve"> </w:t>
      </w:r>
      <w:r>
        <w:rPr>
          <w:iCs/>
          <w:i/>
        </w:rPr>
        <w:t xml:space="preserve">Shōryōshū Ryakuchū</w:t>
      </w:r>
      <w:r>
        <w:t xml:space="preserve"> </w:t>
      </w:r>
      <w:r>
        <w:t xml:space="preserve">Held by the Keio University Library: Focusing on Citations from the</w:t>
      </w:r>
      <w:r>
        <w:t xml:space="preserve"> </w:t>
      </w:r>
      <w:r>
        <w:rPr>
          <w:iCs/>
          <w:i/>
        </w:rPr>
        <w:t xml:space="preserve">Ruiju Myōgishō</w:t>
      </w:r>
      <w:r>
        <w:t xml:space="preserve">).</w:t>
      </w:r>
      <w:r>
        <w:t xml:space="preserve"> </w:t>
      </w:r>
      <w:r>
        <w:rPr>
          <w:iCs/>
          <w:i/>
        </w:rPr>
        <w:t xml:space="preserve">Kamakura Jidaigo Kenkyū</w:t>
      </w:r>
      <w:r>
        <w:t xml:space="preserve"> </w:t>
      </w:r>
      <w:r>
        <w:t xml:space="preserve">14 (1991): 32–55.</w:t>
      </w:r>
    </w:p>
    <w:p>
      <w:pPr>
        <w:numPr>
          <w:ilvl w:val="0"/>
          <w:numId w:val="1007"/>
        </w:numPr>
        <w:pStyle w:val="Compact"/>
      </w:pPr>
      <w:r>
        <w:rPr>
          <w:bCs/>
          <w:b/>
        </w:rPr>
        <w:t xml:space="preserve">Yoshida, Kanehiko (1954a)</w:t>
      </w:r>
    </w:p>
    <w:p>
      <w:pPr>
        <w:numPr>
          <w:ilvl w:val="1"/>
          <w:numId w:val="1087"/>
        </w:numPr>
        <w:pStyle w:val="Compact"/>
      </w:pPr>
      <w:r>
        <w:t xml:space="preserve">Yoshida, Kanehiko.</w:t>
      </w:r>
      <w:r>
        <w:t xml:space="preserve"> </w:t>
      </w:r>
      <w:r>
        <w:t xml:space="preserve">“</w:t>
      </w:r>
      <w:r>
        <w:t xml:space="preserve">Zushoryōbon</w:t>
      </w:r>
      <w:r>
        <w:t xml:space="preserve"> </w:t>
      </w:r>
      <w:r>
        <w:rPr>
          <w:iCs/>
          <w:i/>
        </w:rPr>
        <w:t xml:space="preserve">Ruiju Myōgishō</w:t>
      </w:r>
      <w:r>
        <w:t xml:space="preserve"> </w:t>
      </w:r>
      <w:r>
        <w:t xml:space="preserve">Shuttenkō (Jō)</w:t>
      </w:r>
      <w:r>
        <w:t xml:space="preserve">”</w:t>
      </w:r>
      <w:r>
        <w:t xml:space="preserve"> </w:t>
      </w:r>
      <w:r>
        <w:t xml:space="preserve">(A Study of Sources for the Zushoryōbon</w:t>
      </w:r>
      <w:r>
        <w:t xml:space="preserve"> </w:t>
      </w:r>
      <w:r>
        <w:rPr>
          <w:iCs/>
          <w:i/>
        </w:rPr>
        <w:t xml:space="preserve">Ruiju Myōgishō</w:t>
      </w:r>
      <w:r>
        <w:t xml:space="preserve"> </w:t>
      </w:r>
      <w:r>
        <w:t xml:space="preserve">(Part 1)).</w:t>
      </w:r>
      <w:r>
        <w:t xml:space="preserve"> </w:t>
      </w:r>
      <w:r>
        <w:rPr>
          <w:iCs/>
          <w:i/>
        </w:rPr>
        <w:t xml:space="preserve">Kuntengo to Kunten Shiryō</w:t>
      </w:r>
      <w:r>
        <w:t xml:space="preserve"> </w:t>
      </w:r>
      <w:r>
        <w:t xml:space="preserve">2 (1954): 61–80. (Reprinted in Yoshida 2013).</w:t>
      </w:r>
    </w:p>
    <w:p>
      <w:pPr>
        <w:numPr>
          <w:ilvl w:val="0"/>
          <w:numId w:val="1007"/>
        </w:numPr>
        <w:pStyle w:val="Compact"/>
      </w:pPr>
      <w:r>
        <w:rPr>
          <w:bCs/>
          <w:b/>
        </w:rPr>
        <w:t xml:space="preserve">Yoshida, Kanehiko (1954b)</w:t>
      </w:r>
    </w:p>
    <w:p>
      <w:pPr>
        <w:numPr>
          <w:ilvl w:val="1"/>
          <w:numId w:val="1088"/>
        </w:numPr>
        <w:pStyle w:val="Compact"/>
      </w:pPr>
      <w:r>
        <w:t xml:space="preserve">Yoshida, Kanehiko.</w:t>
      </w:r>
      <w:r>
        <w:t xml:space="preserve"> </w:t>
      </w:r>
      <w:r>
        <w:t xml:space="preserve">“</w:t>
      </w:r>
      <w:r>
        <w:t xml:space="preserve">Zushoryōbon</w:t>
      </w:r>
      <w:r>
        <w:t xml:space="preserve"> </w:t>
      </w:r>
      <w:r>
        <w:rPr>
          <w:iCs/>
          <w:i/>
        </w:rPr>
        <w:t xml:space="preserve">Ruiju Myōgishō</w:t>
      </w:r>
      <w:r>
        <w:t xml:space="preserve"> </w:t>
      </w:r>
      <w:r>
        <w:t xml:space="preserve">Shuttenkō (Chū)</w:t>
      </w:r>
      <w:r>
        <w:t xml:space="preserve">”</w:t>
      </w:r>
      <w:r>
        <w:t xml:space="preserve"> </w:t>
      </w:r>
      <w:r>
        <w:t xml:space="preserve">(A Study of Sources for the Zushoryōbon</w:t>
      </w:r>
      <w:r>
        <w:t xml:space="preserve"> </w:t>
      </w:r>
      <w:r>
        <w:rPr>
          <w:iCs/>
          <w:i/>
        </w:rPr>
        <w:t xml:space="preserve">Ruiju Myōgishō</w:t>
      </w:r>
      <w:r>
        <w:t xml:space="preserve"> </w:t>
      </w:r>
      <w:r>
        <w:t xml:space="preserve">(Part 2)).</w:t>
      </w:r>
      <w:r>
        <w:t xml:space="preserve"> </w:t>
      </w:r>
      <w:r>
        <w:rPr>
          <w:iCs/>
          <w:i/>
        </w:rPr>
        <w:t xml:space="preserve">Kuntengo to Kunten Shiryō</w:t>
      </w:r>
      <w:r>
        <w:t xml:space="preserve"> </w:t>
      </w:r>
      <w:r>
        <w:t xml:space="preserve">3 (1954): 203–236. (Reprinted in Yoshida 2013).</w:t>
      </w:r>
    </w:p>
    <w:p>
      <w:pPr>
        <w:numPr>
          <w:ilvl w:val="0"/>
          <w:numId w:val="1007"/>
        </w:numPr>
        <w:pStyle w:val="Compact"/>
      </w:pPr>
      <w:r>
        <w:rPr>
          <w:bCs/>
          <w:b/>
        </w:rPr>
        <w:t xml:space="preserve">Yoshida, Kanehiko (1955)</w:t>
      </w:r>
    </w:p>
    <w:p>
      <w:pPr>
        <w:numPr>
          <w:ilvl w:val="1"/>
          <w:numId w:val="1089"/>
        </w:numPr>
        <w:pStyle w:val="Compact"/>
      </w:pPr>
      <w:r>
        <w:t xml:space="preserve">Yoshida, Kanehiko.</w:t>
      </w:r>
      <w:r>
        <w:t xml:space="preserve"> </w:t>
      </w:r>
      <w:r>
        <w:t xml:space="preserve">“</w:t>
      </w:r>
      <w:r>
        <w:t xml:space="preserve">Zushoryōbon</w:t>
      </w:r>
      <w:r>
        <w:t xml:space="preserve"> </w:t>
      </w:r>
      <w:r>
        <w:rPr>
          <w:iCs/>
          <w:i/>
        </w:rPr>
        <w:t xml:space="preserve">Ruiju Myōgishō</w:t>
      </w:r>
      <w:r>
        <w:t xml:space="preserve"> </w:t>
      </w:r>
      <w:r>
        <w:t xml:space="preserve">Shuttenkō (Ge Ichi)</w:t>
      </w:r>
      <w:r>
        <w:t xml:space="preserve">”</w:t>
      </w:r>
      <w:r>
        <w:t xml:space="preserve"> </w:t>
      </w:r>
      <w:r>
        <w:t xml:space="preserve">(A Study of Sources for the Zushoryōbon</w:t>
      </w:r>
      <w:r>
        <w:t xml:space="preserve"> </w:t>
      </w:r>
      <w:r>
        <w:rPr>
          <w:iCs/>
          <w:i/>
        </w:rPr>
        <w:t xml:space="preserve">Ruiju Myōgishō</w:t>
      </w:r>
      <w:r>
        <w:t xml:space="preserve"> </w:t>
      </w:r>
      <w:r>
        <w:t xml:space="preserve">(Part 3a)).</w:t>
      </w:r>
      <w:r>
        <w:t xml:space="preserve"> </w:t>
      </w:r>
      <w:r>
        <w:rPr>
          <w:iCs/>
          <w:i/>
        </w:rPr>
        <w:t xml:space="preserve">Kuntengo to Kunten Shiryō</w:t>
      </w:r>
      <w:r>
        <w:t xml:space="preserve"> </w:t>
      </w:r>
      <w:r>
        <w:t xml:space="preserve">5 (1955): 73–98. (Reprinted in Yoshida 2013).</w:t>
      </w:r>
    </w:p>
    <w:p>
      <w:pPr>
        <w:numPr>
          <w:ilvl w:val="0"/>
          <w:numId w:val="1007"/>
        </w:numPr>
        <w:pStyle w:val="Compact"/>
      </w:pPr>
      <w:r>
        <w:rPr>
          <w:bCs/>
          <w:b/>
        </w:rPr>
        <w:t xml:space="preserve">Yoshida, Kanehiko (2013)</w:t>
      </w:r>
    </w:p>
    <w:p>
      <w:pPr>
        <w:numPr>
          <w:ilvl w:val="1"/>
          <w:numId w:val="1090"/>
        </w:numPr>
        <w:pStyle w:val="Compact"/>
      </w:pPr>
      <w:r>
        <w:t xml:space="preserve">Yoshida, Kanehiko.</w:t>
      </w:r>
      <w:r>
        <w:t xml:space="preserve"> </w:t>
      </w:r>
      <w:r>
        <w:rPr>
          <w:iCs/>
          <w:i/>
        </w:rPr>
        <w:t xml:space="preserve">Kojisho to Kokugo</w:t>
      </w:r>
      <w:r>
        <w:t xml:space="preserve"> </w:t>
      </w:r>
      <w:r>
        <w:t xml:space="preserve">(Old Dictionaries and the Japanese Language). Kyoto: Rinsen Shoten, 2013.</w:t>
      </w:r>
    </w:p>
    <w:p>
      <w:pPr>
        <w:numPr>
          <w:ilvl w:val="0"/>
          <w:numId w:val="1007"/>
        </w:numPr>
        <w:pStyle w:val="Compact"/>
      </w:pPr>
      <w:r>
        <w:rPr>
          <w:bCs/>
          <w:b/>
        </w:rPr>
        <w:t xml:space="preserve">Zhāng, Xīnfāng (2017)</w:t>
      </w:r>
    </w:p>
    <w:p>
      <w:pPr>
        <w:numPr>
          <w:ilvl w:val="1"/>
          <w:numId w:val="1091"/>
        </w:numPr>
        <w:pStyle w:val="Compact"/>
      </w:pPr>
      <w:r>
        <w:t xml:space="preserve">Zhāng, Xīnfāng.</w:t>
      </w:r>
      <w:r>
        <w:t xml:space="preserve"> </w:t>
      </w:r>
      <w:r>
        <w:t xml:space="preserve">“</w:t>
      </w:r>
      <w:r>
        <w:t xml:space="preserve">‘</w:t>
      </w:r>
      <w:r>
        <w:t xml:space="preserve">Chūbun</w:t>
      </w:r>
      <w:r>
        <w:t xml:space="preserve">’</w:t>
      </w:r>
      <w:r>
        <w:t xml:space="preserve">-chū no Kanji Jitai no Kisai kara Mita Kaihenbon-kei</w:t>
      </w:r>
      <w:r>
        <w:t xml:space="preserve"> </w:t>
      </w:r>
      <w:r>
        <w:rPr>
          <w:iCs/>
          <w:i/>
        </w:rPr>
        <w:t xml:space="preserve">Ruiju Myōgishō</w:t>
      </w:r>
      <w:r>
        <w:t xml:space="preserve">”</w:t>
      </w:r>
      <w:r>
        <w:t xml:space="preserve"> </w:t>
      </w:r>
      <w:r>
        <w:t xml:space="preserve">(The Revised Manuscript Lineage</w:t>
      </w:r>
      <w:r>
        <w:t xml:space="preserve"> </w:t>
      </w:r>
      <w:r>
        <w:rPr>
          <w:iCs/>
          <w:i/>
        </w:rPr>
        <w:t xml:space="preserve">Ruiju Myōgishō</w:t>
      </w:r>
      <w:r>
        <w:t xml:space="preserve"> </w:t>
      </w:r>
      <w:r>
        <w:t xml:space="preserve">Viewed from the Descriptions of Kanji Forms in the</w:t>
      </w:r>
      <w:r>
        <w:t xml:space="preserve"> </w:t>
      </w:r>
      <w:r>
        <w:t xml:space="preserve">“</w:t>
      </w:r>
      <w:r>
        <w:t xml:space="preserve">Chūbun</w:t>
      </w:r>
      <w:r>
        <w:t xml:space="preserve">”</w:t>
      </w:r>
      <w:r>
        <w:t xml:space="preserve"> </w:t>
      </w:r>
      <w:r>
        <w:t xml:space="preserve">[Original Glosses]).</w:t>
      </w:r>
      <w:r>
        <w:t xml:space="preserve"> </w:t>
      </w:r>
      <w:r>
        <w:rPr>
          <w:iCs/>
          <w:i/>
        </w:rPr>
        <w:t xml:space="preserve">Kenkyū Ronshū</w:t>
      </w:r>
      <w:r>
        <w:t xml:space="preserve"> </w:t>
      </w:r>
      <w:r>
        <w:t xml:space="preserve">(Hokkaidō Daigaku Bungaku Kenkyūka), no. 17 (2017): 83–94.</w:t>
      </w:r>
    </w:p>
    <w:p>
      <w:pPr>
        <w:numPr>
          <w:ilvl w:val="0"/>
          <w:numId w:val="1007"/>
        </w:numPr>
        <w:pStyle w:val="Compact"/>
      </w:pPr>
      <w:r>
        <w:rPr>
          <w:bCs/>
          <w:b/>
        </w:rPr>
        <w:t xml:space="preserve">Zhāng, Xīnfāng (2018)</w:t>
      </w:r>
    </w:p>
    <w:p>
      <w:pPr>
        <w:numPr>
          <w:ilvl w:val="1"/>
          <w:numId w:val="1092"/>
        </w:numPr>
        <w:pStyle w:val="Compact"/>
      </w:pPr>
      <w:r>
        <w:t xml:space="preserve">Zhāng, Xīnfāng.</w:t>
      </w:r>
      <w:r>
        <w:t xml:space="preserve"> </w:t>
      </w:r>
      <w:r>
        <w:t xml:space="preserve">“</w:t>
      </w:r>
      <w:r>
        <w:t xml:space="preserve">Kanchi-in bon</w:t>
      </w:r>
      <w:r>
        <w:t xml:space="preserve"> </w:t>
      </w:r>
      <w:r>
        <w:rPr>
          <w:iCs/>
          <w:i/>
        </w:rPr>
        <w:t xml:space="preserve">Ruiju Myōgishō</w:t>
      </w:r>
      <w:r>
        <w:t xml:space="preserve"> </w:t>
      </w:r>
      <w:r>
        <w:t xml:space="preserve">ni okeru Shōji Jitai Chūki ni tsuite</w:t>
      </w:r>
      <w:r>
        <w:t xml:space="preserve">”</w:t>
      </w:r>
      <w:r>
        <w:t xml:space="preserve"> </w:t>
      </w:r>
      <w:r>
        <w:t xml:space="preserve">(On the Small-Character Annotations on Character Forms in the Kanchi-in Manuscript</w:t>
      </w:r>
      <w:r>
        <w:t xml:space="preserve"> </w:t>
      </w:r>
      <w:r>
        <w:rPr>
          <w:iCs/>
          <w:i/>
        </w:rPr>
        <w:t xml:space="preserve">Ruiju Myōgishō</w:t>
      </w:r>
      <w:r>
        <w:t xml:space="preserve">).</w:t>
      </w:r>
      <w:r>
        <w:t xml:space="preserve"> </w:t>
      </w:r>
      <w:r>
        <w:rPr>
          <w:iCs/>
          <w:i/>
        </w:rPr>
        <w:t xml:space="preserve">Kanji Bunka Kenkyū</w:t>
      </w:r>
      <w:r>
        <w:t xml:space="preserve"> </w:t>
      </w:r>
      <w:r>
        <w:t xml:space="preserve">9 (2018): 79–91.</w:t>
      </w:r>
    </w:p>
    <w:p>
      <w:pPr>
        <w:numPr>
          <w:ilvl w:val="0"/>
          <w:numId w:val="1007"/>
        </w:numPr>
        <w:pStyle w:val="Compact"/>
      </w:pPr>
      <w:r>
        <w:rPr>
          <w:bCs/>
          <w:b/>
        </w:rPr>
        <w:t xml:space="preserve">Zhāng, Xīnfāng (2019)</w:t>
      </w:r>
    </w:p>
    <w:p>
      <w:pPr>
        <w:numPr>
          <w:ilvl w:val="1"/>
          <w:numId w:val="1093"/>
        </w:numPr>
        <w:pStyle w:val="Compact"/>
      </w:pPr>
      <w:r>
        <w:t xml:space="preserve">Zhāng, Xīnfāng.</w:t>
      </w:r>
      <w:r>
        <w:t xml:space="preserve"> </w:t>
      </w:r>
      <w:r>
        <w:t xml:space="preserve">“</w:t>
      </w:r>
      <w:r>
        <w:t xml:space="preserve">Kaihenbon</w:t>
      </w:r>
      <w:r>
        <w:t xml:space="preserve"> </w:t>
      </w:r>
      <w:r>
        <w:rPr>
          <w:iCs/>
          <w:i/>
        </w:rPr>
        <w:t xml:space="preserve">Ruiju Myōgishō</w:t>
      </w:r>
      <w:r>
        <w:t xml:space="preserve"> </w:t>
      </w:r>
      <w:r>
        <w:t xml:space="preserve">no Keishutsu Jitai ni tsuite</w:t>
      </w:r>
      <w:r>
        <w:t xml:space="preserve">”</w:t>
      </w:r>
      <w:r>
        <w:t xml:space="preserve"> </w:t>
      </w:r>
      <w:r>
        <w:t xml:space="preserve">(On the Head Characters Presented in the Revised</w:t>
      </w:r>
      <w:r>
        <w:t xml:space="preserve"> </w:t>
      </w:r>
      <w:r>
        <w:rPr>
          <w:iCs/>
          <w:i/>
        </w:rPr>
        <w:t xml:space="preserve">Ruiju Myōgishō</w:t>
      </w:r>
      <w:r>
        <w:t xml:space="preserve">).</w:t>
      </w:r>
      <w:r>
        <w:t xml:space="preserve"> </w:t>
      </w:r>
      <w:r>
        <w:rPr>
          <w:iCs/>
          <w:i/>
        </w:rPr>
        <w:t xml:space="preserve">Kenkyū Ronshū</w:t>
      </w:r>
      <w:r>
        <w:t xml:space="preserve"> </w:t>
      </w:r>
      <w:r>
        <w:t xml:space="preserve">(Hokkaidō Daigaku Daigakuin Bungakuin), 19 (2019): 283–292.</w:t>
      </w:r>
    </w:p>
    <w:bookmarkEnd w:id="42"/>
    <w:bookmarkEnd w:id="43"/>
    <w:bookmarkEnd w:id="44"/>
    <w:bookmarkStart w:id="69" w:name="X6d21d54abb0f51a9de0d3f3e8dd6e26c325b0eb"/>
    <w:bookmarkStart w:id="68" w:name="Xb020542abbc631d394a3428009f9fd826ab8843"/>
    <w:p>
      <w:pPr>
        <w:pStyle w:val="Heading1"/>
      </w:pPr>
      <w:r>
        <w:rPr>
          <w:rStyle w:val="SectionNumber"/>
        </w:rPr>
        <w:t xml:space="preserve">2</w:t>
      </w:r>
      <w:r>
        <w:tab/>
      </w:r>
      <w:r>
        <w:t xml:space="preserve">Overview of Published Data</w:t>
      </w:r>
    </w:p>
    <w:bookmarkStart w:id="45" w:name="X0809822c967991c4af188f239ad91b25e30220d"/>
    <w:p>
      <w:pPr>
        <w:pStyle w:val="Heading2"/>
      </w:pPr>
      <w:r>
        <w:rPr>
          <w:rStyle w:val="SectionNumber"/>
        </w:rPr>
        <w:t xml:space="preserve">2.1</w:t>
      </w:r>
      <w:r>
        <w:tab/>
      </w:r>
      <w:r>
        <w:t xml:space="preserve">Introduction</w:t>
      </w:r>
    </w:p>
    <w:p>
      <w:pPr>
        <w:pStyle w:val="FirstParagraph"/>
      </w:pPr>
      <w:r>
        <w:t xml:space="preserve">This database is a full-text digitization of the Kanchi-in manuscript of the</w:t>
      </w:r>
      <w:r>
        <w:t xml:space="preserve"> </w:t>
      </w:r>
      <w:r>
        <w:rPr>
          <w:iCs/>
          <w:i/>
        </w:rPr>
        <w:t xml:space="preserve">Ruiju Myōgishō</w:t>
      </w:r>
      <w:r>
        <w:t xml:space="preserve"> </w:t>
      </w:r>
      <w:r>
        <w:t xml:space="preserve">(abbreviated as KRM), incorporating location information, textual collation, source studies, and more. It is one of the</w:t>
      </w:r>
      <w:r>
        <w:t xml:space="preserve"> </w:t>
      </w:r>
      <w:r>
        <w:rPr>
          <w:bCs/>
          <w:b/>
        </w:rPr>
        <w:t xml:space="preserve">Hanzi</w:t>
      </w:r>
      <w:r>
        <w:t xml:space="preserve"> </w:t>
      </w:r>
      <w:r>
        <w:t xml:space="preserve">dictionary databases comprising the</w:t>
      </w:r>
      <w:r>
        <w:t xml:space="preserve"> </w:t>
      </w:r>
      <w:r>
        <w:rPr>
          <w:bCs/>
          <w:b/>
        </w:rPr>
        <w:t xml:space="preserve">Integrated Database of Hanzi Dictionaries in Early Japan</w:t>
      </w:r>
      <w:r>
        <w:t xml:space="preserve"> </w:t>
      </w:r>
      <w:r>
        <w:t xml:space="preserve">(abbreviated as HDIC).</w:t>
      </w:r>
      <w:r>
        <w:t xml:space="preserve"> </w:t>
      </w:r>
      <w:r>
        <w:rPr>
          <w:bCs/>
          <w:b/>
        </w:rPr>
        <w:t xml:space="preserve">The terms</w:t>
      </w:r>
      <w:r>
        <w:rPr>
          <w:bCs/>
          <w:b/>
        </w:rPr>
        <w:t xml:space="preserve"> </w:t>
      </w:r>
      <w:r>
        <w:rPr>
          <w:bCs/>
          <w:b/>
        </w:rPr>
        <w:t xml:space="preserve">‘</w:t>
      </w:r>
      <w:r>
        <w:rPr>
          <w:bCs/>
          <w:b/>
        </w:rPr>
        <w:t xml:space="preserve">kanji</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hanzi</w:t>
      </w:r>
      <w:r>
        <w:rPr>
          <w:bCs/>
          <w:b/>
        </w:rPr>
        <w:t xml:space="preserve">’</w:t>
      </w:r>
      <w:r>
        <w:rPr>
          <w:bCs/>
          <w:b/>
        </w:rPr>
        <w:t xml:space="preserve"> </w:t>
      </w:r>
      <w:r>
        <w:rPr>
          <w:bCs/>
          <w:b/>
        </w:rPr>
        <w:t xml:space="preserve">are explained later.</w:t>
      </w:r>
    </w:p>
    <w:p>
      <w:pPr>
        <w:pStyle w:val="BodyText"/>
      </w:pPr>
      <w:r>
        <w:t xml:space="preserve">The Kanchi-in manuscript of the</w:t>
      </w:r>
      <w:r>
        <w:t xml:space="preserve"> </w:t>
      </w:r>
      <w:r>
        <w:rPr>
          <w:iCs/>
          <w:i/>
        </w:rPr>
        <w:t xml:space="preserve">Ruiju Myōgishō</w:t>
      </w:r>
      <w:r>
        <w:t xml:space="preserve"> </w:t>
      </w:r>
      <w:r>
        <w:t xml:space="preserve">is a</w:t>
      </w:r>
      <w:r>
        <w:t xml:space="preserve"> </w:t>
      </w:r>
      <w:r>
        <w:rPr>
          <w:bCs/>
          <w:b/>
        </w:rPr>
        <w:t xml:space="preserve">Hanzi (Chinese character)</w:t>
      </w:r>
      <w:r>
        <w:t xml:space="preserve"> </w:t>
      </w:r>
      <w:r>
        <w:t xml:space="preserve">dictionary compiled in the twelfth century by a Shingon Buddhist monk. It has long been regarded as an important resource for research in Japanese historical linguistics due to its extensive collection of:</w:t>
      </w:r>
    </w:p>
    <w:p>
      <w:pPr>
        <w:numPr>
          <w:ilvl w:val="0"/>
          <w:numId w:val="1094"/>
        </w:numPr>
        <w:pStyle w:val="Compact"/>
      </w:pP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that indicate accent (often with</w:t>
      </w:r>
      <w:r>
        <w:t xml:space="preserve"> </w:t>
      </w:r>
      <w:r>
        <w:rPr>
          <w:rStyle w:val="VerbatimChar"/>
          <w:bCs/>
          <w:b/>
        </w:rPr>
        <w:t xml:space="preserve">Tone marks</w:t>
      </w:r>
      <w:r>
        <w:t xml:space="preserve">),</w:t>
      </w:r>
    </w:p>
    <w:p>
      <w:pPr>
        <w:numPr>
          <w:ilvl w:val="0"/>
          <w:numId w:val="1094"/>
        </w:numPr>
        <w:pStyle w:val="Compact"/>
      </w:pPr>
      <w:r>
        <w:t xml:space="preserve">detailed</w:t>
      </w:r>
      <w:r>
        <w:t xml:space="preserve"> </w:t>
      </w:r>
      <w:r>
        <w:rPr>
          <w:rStyle w:val="VerbatimChar"/>
          <w:bCs/>
          <w:b/>
        </w:rPr>
        <w:t xml:space="preserve">Phonetic Glosses</w:t>
      </w:r>
      <w:r>
        <w:t xml:space="preserve"> </w:t>
      </w:r>
      <w:r>
        <w:t xml:space="preserve">on the pronunciation of</w:t>
      </w:r>
      <w:r>
        <w:t xml:space="preserve"> </w:t>
      </w:r>
      <w:r>
        <w:rPr>
          <w:bCs/>
          <w:b/>
        </w:rPr>
        <w:t xml:space="preserve">Hanzi (Chinese characters)</w:t>
      </w:r>
      <w:r>
        <w:t xml:space="preserve">, and</w:t>
      </w:r>
    </w:p>
    <w:p>
      <w:pPr>
        <w:numPr>
          <w:ilvl w:val="0"/>
          <w:numId w:val="1094"/>
        </w:numPr>
        <w:pStyle w:val="Compact"/>
      </w:pPr>
      <w:r>
        <w:t xml:space="preserve">comprehensive</w:t>
      </w:r>
      <w:r>
        <w:t xml:space="preserve"> </w:t>
      </w:r>
      <w:r>
        <w:rPr>
          <w:rStyle w:val="VerbatimChar"/>
          <w:bCs/>
          <w:b/>
        </w:rPr>
        <w:t xml:space="preserve">Notes on Character Form</w:t>
      </w:r>
      <w:r>
        <w:t xml:space="preserve">, including information on</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w:t>
      </w:r>
    </w:p>
    <w:p>
      <w:pPr>
        <w:pStyle w:val="FirstParagraph"/>
      </w:pPr>
      <w:r>
        <w:t xml:space="preserve">Furthermore, its annotations written in literary Chinese—which include</w:t>
      </w:r>
      <w:r>
        <w:t xml:space="preserve"> </w:t>
      </w:r>
      <w:r>
        <w:rPr>
          <w:rStyle w:val="VerbatimChar"/>
          <w:bCs/>
          <w:b/>
        </w:rPr>
        <w:t xml:space="preserve">fanqie</w:t>
      </w:r>
      <w:r>
        <w:rPr>
          <w:bCs/>
          <w:b/>
        </w:rPr>
        <w:t xml:space="preserve"> </w:t>
      </w:r>
      <w:r>
        <w:rPr>
          <w:bCs/>
          <w:b/>
        </w:rPr>
        <w:t xml:space="preserve">spellings</w:t>
      </w:r>
      <w:r>
        <w:t xml:space="preserve">,</w:t>
      </w:r>
      <w:r>
        <w:t xml:space="preserve"> </w:t>
      </w:r>
      <w:r>
        <w:rPr>
          <w:rStyle w:val="VerbatimChar"/>
          <w:bCs/>
          <w:b/>
        </w:rPr>
        <w:t xml:space="preserve">Semantic Glosses in Chinese</w:t>
      </w:r>
      <w:r>
        <w:t xml:space="preserve"> </w:t>
      </w:r>
      <w:r>
        <w:t xml:space="preserve">(explaining meanings), and</w:t>
      </w:r>
      <w:r>
        <w:t xml:space="preserve"> </w:t>
      </w:r>
      <w:r>
        <w:rPr>
          <w:rStyle w:val="VerbatimChar"/>
          <w:bCs/>
          <w:b/>
        </w:rPr>
        <w:t xml:space="preserve">Notes on Character Form</w:t>
      </w:r>
      <w:r>
        <w:t xml:space="preserve"> </w:t>
      </w:r>
      <w:r>
        <w:t xml:space="preserve">(detailing glyph forms)—have also garnered attention as valuable materials for the study of Chinese linguistics.</w:t>
      </w:r>
    </w:p>
    <w:p>
      <w:pPr>
        <w:pStyle w:val="BodyText"/>
      </w:pPr>
      <w:r>
        <w:t xml:space="preserve">It was first published in March 2022, and in March 2025, a revised edition with specification changes and detailed explanations will be released.</w:t>
      </w:r>
    </w:p>
    <w:bookmarkEnd w:id="45"/>
    <w:bookmarkStart w:id="46" w:name="Xa50dedc25d605b8fa60905cc725b333eb36e021"/>
    <w:p>
      <w:pPr>
        <w:pStyle w:val="Heading2"/>
      </w:pPr>
      <w:r>
        <w:rPr>
          <w:rStyle w:val="SectionNumber"/>
        </w:rPr>
        <w:t xml:space="preserve">2.2</w:t>
      </w:r>
      <w:r>
        <w:tab/>
      </w:r>
      <w:r>
        <w:t xml:space="preserve">Kanji and Hanzi</w:t>
      </w:r>
    </w:p>
    <w:p>
      <w:pPr>
        <w:pStyle w:val="FirstParagraph"/>
      </w:pPr>
      <w:r>
        <w:t xml:space="preserve">To bridge the gap between</w:t>
      </w:r>
      <w:r>
        <w:t xml:space="preserve"> </w:t>
      </w:r>
      <w:r>
        <w:t xml:space="preserve">‘</w:t>
      </w:r>
      <w:r>
        <w:t xml:space="preserve">Kanji</w:t>
      </w:r>
      <w:r>
        <w:t xml:space="preserve">’</w:t>
      </w:r>
      <w:r>
        <w:t xml:space="preserve"> </w:t>
      </w:r>
      <w:r>
        <w:t xml:space="preserve">and</w:t>
      </w:r>
      <w:r>
        <w:t xml:space="preserve"> </w:t>
      </w:r>
      <w:r>
        <w:t xml:space="preserve">‘</w:t>
      </w:r>
      <w:r>
        <w:t xml:space="preserve">Hanzi,</w:t>
      </w:r>
      <w:r>
        <w:t xml:space="preserve">’</w:t>
      </w:r>
      <w:r>
        <w:t xml:space="preserve"> </w:t>
      </w:r>
      <w:r>
        <w:t xml:space="preserve">and to facilitate international academic discourse, the following supplementary explanation may be useful:</w:t>
      </w:r>
    </w:p>
    <w:p>
      <w:pPr>
        <w:pStyle w:val="BodyText"/>
      </w:pPr>
      <w:r>
        <w:t xml:space="preserve">Dictionaries of Chinese characters compiled in Japan during the Heian period are invaluable resources not only for the study of Japanese linguistics but also for the study of Chinese linguistics. To promote international accessibility, we propose using the term</w:t>
      </w:r>
      <w:r>
        <w:t xml:space="preserve"> </w:t>
      </w:r>
      <w:r>
        <w:t xml:space="preserve">‘</w:t>
      </w:r>
      <w:r>
        <w:t xml:space="preserve">Hanzi.</w:t>
      </w:r>
      <w:r>
        <w:t xml:space="preserve">’</w:t>
      </w:r>
      <w:r>
        <w:t xml:space="preserve"> </w:t>
      </w:r>
      <w:r>
        <w:t xml:space="preserve">Researchers specializing in Japanese studies may, without any issue, read this term as</w:t>
      </w:r>
      <w:r>
        <w:t xml:space="preserve"> </w:t>
      </w:r>
      <w:r>
        <w:t xml:space="preserve">‘</w:t>
      </w:r>
      <w:r>
        <w:t xml:space="preserve">Kanji.</w:t>
      </w:r>
      <w:r>
        <w:t xml:space="preserve">’</w:t>
      </w:r>
      <w:r>
        <w:t xml:space="preserve"> </w:t>
      </w:r>
      <w:r>
        <w:t xml:space="preserve">This approach aims to respect the linguistic diversity and academic traditions of both fields, while encouraging broader scholarly exchange.</w:t>
      </w:r>
    </w:p>
    <w:p>
      <w:pPr>
        <w:pStyle w:val="BodyText"/>
      </w:pPr>
      <w:r>
        <w:t xml:space="preserve">This explanation aims to provide clarity and respect for both terminologies, ensuring that researchers from different backgrounds can engage with the material without linguistic barriers.</w:t>
      </w:r>
    </w:p>
    <w:p>
      <w:pPr>
        <w:pStyle w:val="BodyText"/>
      </w:pPr>
      <w:r>
        <w:t xml:space="preserve">For these reasons,</w:t>
      </w:r>
      <w:r>
        <w:t xml:space="preserve"> </w:t>
      </w:r>
      <w:r>
        <w:t xml:space="preserve">‘</w:t>
      </w:r>
      <w:r>
        <w:t xml:space="preserve">hanzi</w:t>
      </w:r>
      <w:r>
        <w:t xml:space="preserve">’</w:t>
      </w:r>
      <w:r>
        <w:t xml:space="preserve"> </w:t>
      </w:r>
      <w:r>
        <w:t xml:space="preserve">is used for the column names of the public data, while</w:t>
      </w:r>
      <w:r>
        <w:t xml:space="preserve"> </w:t>
      </w:r>
      <w:r>
        <w:t xml:space="preserve">‘</w:t>
      </w:r>
      <w:r>
        <w:t xml:space="preserve">kanji</w:t>
      </w:r>
      <w:r>
        <w:t xml:space="preserve">’</w:t>
      </w:r>
      <w:r>
        <w:t xml:space="preserve"> </w:t>
      </w:r>
      <w:r>
        <w:t xml:space="preserve">is used in the explanatory text.</w:t>
      </w:r>
    </w:p>
    <w:bookmarkEnd w:id="46"/>
    <w:bookmarkStart w:id="56" w:name="Xb79b9464bf8924cc028b0b2a76fdad1fd6033c3"/>
    <w:p>
      <w:pPr>
        <w:pStyle w:val="Heading2"/>
      </w:pPr>
      <w:r>
        <w:rPr>
          <w:rStyle w:val="SectionNumber"/>
        </w:rPr>
        <w:t xml:space="preserve">2.3</w:t>
      </w:r>
      <w:r>
        <w:tab/>
      </w:r>
      <w:r>
        <w:t xml:space="preserve">List of Data Files</w:t>
      </w:r>
    </w:p>
    <w:p>
      <w:pPr>
        <w:pStyle w:val="FirstParagraph"/>
      </w:pPr>
      <w:r>
        <w:t xml:space="preserve">The data for the Kanchi-in manuscript of the</w:t>
      </w:r>
      <w:r>
        <w:t xml:space="preserve"> </w:t>
      </w:r>
      <w:r>
        <w:rPr>
          <w:iCs/>
          <w:i/>
        </w:rPr>
        <w:t xml:space="preserve">Ruiju Myōgishō</w:t>
      </w:r>
      <w:r>
        <w:t xml:space="preserve">, available at</w:t>
      </w:r>
      <w:r>
        <w:t xml:space="preserve"> </w:t>
      </w:r>
      <w:hyperlink r:id="rId24">
        <w:r>
          <w:rPr>
            <w:rStyle w:val="Hyperlink"/>
          </w:rPr>
          <w:t xml:space="preserve">https://github.com/shikeda/krm</w:t>
        </w:r>
      </w:hyperlink>
      <w:r>
        <w:t xml:space="preserve">, is as follows. This list includes some files that are currently under preparation for public release.</w:t>
      </w:r>
    </w:p>
    <w:p>
      <w:pPr>
        <w:numPr>
          <w:ilvl w:val="0"/>
          <w:numId w:val="1095"/>
        </w:numPr>
        <w:pStyle w:val="Compact"/>
      </w:pPr>
      <w:hyperlink r:id="rId47">
        <w:r>
          <w:rPr>
            <w:rStyle w:val="Hyperlink"/>
            <w:bCs/>
            <w:b/>
          </w:rPr>
          <w:t xml:space="preserve">krm_main</w:t>
        </w:r>
      </w:hyperlink>
      <w:r>
        <w:t xml:space="preserve">: Basic data. Includes information on</w:t>
      </w:r>
      <w:r>
        <w:t xml:space="preserve"> </w:t>
      </w:r>
      <w:r>
        <w:rPr>
          <w:rStyle w:val="VerbatimChar"/>
          <w:bCs/>
          <w:b/>
        </w:rPr>
        <w:t xml:space="preserve">Headwords</w:t>
      </w:r>
      <w:r>
        <w:t xml:space="preserve">, the full text of</w:t>
      </w:r>
      <w:r>
        <w:t xml:space="preserve"> </w:t>
      </w:r>
      <w:r>
        <w:rPr>
          <w:rStyle w:val="VerbatimChar"/>
          <w:bCs/>
          <w:b/>
        </w:rPr>
        <w:t xml:space="preserve">Definition (Original Glosses)</w:t>
      </w:r>
      <w:r>
        <w:t xml:space="preserve">, locations, etc. TSV and JSON files are available.</w:t>
      </w:r>
    </w:p>
    <w:p>
      <w:pPr>
        <w:numPr>
          <w:ilvl w:val="0"/>
          <w:numId w:val="1095"/>
        </w:numPr>
        <w:pStyle w:val="Compact"/>
      </w:pPr>
      <w:hyperlink r:id="rId48">
        <w:r>
          <w:rPr>
            <w:rStyle w:val="Hyperlink"/>
            <w:bCs/>
            <w:b/>
          </w:rPr>
          <w:t xml:space="preserve">krm_notes</w:t>
        </w:r>
      </w:hyperlink>
      <w:r>
        <w:t xml:space="preserve">: Data for the</w:t>
      </w:r>
      <w:r>
        <w:t xml:space="preserve"> </w:t>
      </w:r>
      <w:r>
        <w:rPr>
          <w:rStyle w:val="VerbatimChar"/>
          <w:bCs/>
          <w:b/>
        </w:rPr>
        <w:t xml:space="preserve">Compiler's Remarks</w:t>
      </w:r>
      <w:r>
        <w:t xml:space="preserve">. This comprises analyses of</w:t>
      </w:r>
      <w:r>
        <w:t xml:space="preserve"> </w:t>
      </w:r>
      <w:r>
        <w:rPr>
          <w:rStyle w:val="VerbatimChar"/>
          <w:bCs/>
          <w:b/>
        </w:rPr>
        <w:t xml:space="preserve">Headwords</w:t>
      </w:r>
      <w:r>
        <w:t xml:space="preserve">,</w:t>
      </w:r>
      <w:r>
        <w:t xml:space="preserve"> </w:t>
      </w:r>
      <w:r>
        <w:rPr>
          <w:rStyle w:val="VerbatimChar"/>
          <w:bCs/>
          <w:b/>
        </w:rPr>
        <w:t xml:space="preserve">Notes on Character Form</w:t>
      </w:r>
      <w:r>
        <w:t xml:space="preserve">,</w:t>
      </w:r>
      <w:r>
        <w:t xml:space="preserve"> </w:t>
      </w:r>
      <w:r>
        <w:rPr>
          <w:rStyle w:val="VerbatimChar"/>
          <w:bCs/>
          <w:b/>
        </w:rPr>
        <w:t xml:space="preserve">Phonetic Glosses</w:t>
      </w:r>
      <w:r>
        <w:t xml:space="preserve">,</w:t>
      </w:r>
      <w:r>
        <w:t xml:space="preserve"> </w:t>
      </w:r>
      <w:r>
        <w:rPr>
          <w:rStyle w:val="VerbatimChar"/>
          <w:bCs/>
          <w:b/>
        </w:rPr>
        <w:t xml:space="preserve">Semantic Glosses in Chinese</w:t>
      </w:r>
      <w:r>
        <w:t xml:space="preserve">,</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and</w:t>
      </w:r>
      <w:r>
        <w:t xml:space="preserve"> </w:t>
      </w:r>
      <w:r>
        <w:rPr>
          <w:bCs/>
          <w:b/>
        </w:rPr>
        <w:t xml:space="preserve">Other</w:t>
      </w:r>
      <w:r>
        <w:t xml:space="preserve"> </w:t>
      </w:r>
      <w:r>
        <w:t xml:space="preserve">elements from the</w:t>
      </w:r>
      <w:r>
        <w:t xml:space="preserve"> </w:t>
      </w:r>
      <w:r>
        <w:rPr>
          <w:iCs/>
          <w:i/>
        </w:rPr>
        <w:t xml:space="preserve">Myōgishō</w:t>
      </w:r>
      <w:r>
        <w:t xml:space="preserve">, including results of textual collation and source investigation. TSV and JSON files are available.</w:t>
      </w:r>
    </w:p>
    <w:p>
      <w:pPr>
        <w:numPr>
          <w:ilvl w:val="0"/>
          <w:numId w:val="1095"/>
        </w:numPr>
        <w:pStyle w:val="Compact"/>
      </w:pPr>
      <w:hyperlink r:id="rId49">
        <w:r>
          <w:rPr>
            <w:rStyle w:val="Hyperlink"/>
            <w:bCs/>
            <w:b/>
          </w:rPr>
          <w:t xml:space="preserve">krm_headword_chars</w:t>
        </w:r>
      </w:hyperlink>
      <w:r>
        <w:t xml:space="preserve">: Detailed information about all</w:t>
      </w:r>
      <w:r>
        <w:t xml:space="preserve"> </w:t>
      </w:r>
      <w:r>
        <w:rPr>
          <w:rStyle w:val="VerbatimChar"/>
          <w:bCs/>
          <w:b/>
        </w:rPr>
        <w:t xml:space="preserve">Headwords</w:t>
      </w:r>
      <w:r>
        <w:t xml:space="preserve">. Includes location in the Kazama edition, location in the Tenri edition, image file names, etc.</w:t>
      </w:r>
    </w:p>
    <w:p>
      <w:pPr>
        <w:numPr>
          <w:ilvl w:val="0"/>
          <w:numId w:val="1095"/>
        </w:numPr>
        <w:pStyle w:val="Compact"/>
      </w:pPr>
      <w:hyperlink r:id="rId50">
        <w:r>
          <w:rPr>
            <w:rStyle w:val="Hyperlink"/>
            <w:bCs/>
            <w:b/>
          </w:rPr>
          <w:t xml:space="preserve">krm_wakun</w:t>
        </w:r>
      </w:hyperlink>
      <w:r>
        <w:t xml:space="preserve">:</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data. Includes information about variant forms of</w:t>
      </w:r>
      <w:r>
        <w:t xml:space="preserve"> </w:t>
      </w:r>
      <w:r>
        <w:rPr>
          <w:iCs/>
          <w:i/>
        </w:rPr>
        <w:t xml:space="preserve">wakun</w:t>
      </w:r>
      <w:r>
        <w:t xml:space="preserve">, variant forms of</w:t>
      </w:r>
      <w:r>
        <w:t xml:space="preserve"> </w:t>
      </w:r>
      <w:r>
        <w:rPr>
          <w:bCs/>
          <w:b/>
        </w:rPr>
        <w:t xml:space="preserve">Hanzi (Chinese characters) (</w:t>
      </w:r>
      <w:r>
        <w:rPr>
          <w:iCs/>
          <w:i/>
          <w:bCs/>
          <w:b/>
        </w:rPr>
        <w:t xml:space="preserve">itaiji</w:t>
      </w:r>
      <w:r>
        <w:rPr>
          <w:bCs/>
          <w:b/>
        </w:rPr>
        <w:t xml:space="preserve">)</w:t>
      </w:r>
      <w:r>
        <w:t xml:space="preserve">, and correspondence with the</w:t>
      </w:r>
      <w:r>
        <w:t xml:space="preserve"> </w:t>
      </w:r>
      <w:r>
        <w:t xml:space="preserve">“</w:t>
      </w:r>
      <w:r>
        <w:t xml:space="preserve">Notation</w:t>
      </w:r>
      <w:r>
        <w:t xml:space="preserve">”</w:t>
      </w:r>
      <w:r>
        <w:t xml:space="preserve"> </w:t>
      </w:r>
      <w:r>
        <w:t xml:space="preserve">field of the</w:t>
      </w:r>
      <w:r>
        <w:t xml:space="preserve"> </w:t>
      </w:r>
      <w:r>
        <w:rPr>
          <w:iCs/>
          <w:i/>
        </w:rPr>
        <w:t xml:space="preserve">Nihon Kokugo Daijiten</w:t>
      </w:r>
      <w:r>
        <w:t xml:space="preserve"> </w:t>
      </w:r>
      <w:r>
        <w:t xml:space="preserve">(Second Edition). TSV and JSON files are available.</w:t>
      </w:r>
    </w:p>
    <w:p>
      <w:pPr>
        <w:numPr>
          <w:ilvl w:val="0"/>
          <w:numId w:val="1095"/>
        </w:numPr>
        <w:pStyle w:val="Compact"/>
      </w:pPr>
      <w:hyperlink r:id="rId51">
        <w:r>
          <w:rPr>
            <w:rStyle w:val="Hyperlink"/>
            <w:bCs/>
            <w:b/>
          </w:rPr>
          <w:t xml:space="preserve">krm_definitions</w:t>
        </w:r>
      </w:hyperlink>
      <w:r>
        <w:t xml:space="preserve">: Data from the</w:t>
      </w:r>
      <w:r>
        <w:t xml:space="preserve"> </w:t>
      </w:r>
      <w:r>
        <w:rPr>
          <w:rStyle w:val="VerbatimChar"/>
          <w:bCs/>
          <w:b/>
        </w:rPr>
        <w:t xml:space="preserve">Definition (Original Glosses)</w:t>
      </w:r>
      <w:r>
        <w:t xml:space="preserve"> </w:t>
      </w:r>
      <w:r>
        <w:t xml:space="preserve">of the</w:t>
      </w:r>
      <w:r>
        <w:t xml:space="preserve"> </w:t>
      </w:r>
      <w:r>
        <w:rPr>
          <w:iCs/>
          <w:i/>
        </w:rPr>
        <w:t xml:space="preserve">Myōgishō</w:t>
      </w:r>
      <w:r>
        <w:t xml:space="preserve">, categorized into its constituent elements:</w:t>
      </w:r>
      <w:r>
        <w:t xml:space="preserve"> </w:t>
      </w:r>
      <w:r>
        <w:rPr>
          <w:rStyle w:val="VerbatimChar"/>
          <w:bCs/>
          <w:b/>
        </w:rPr>
        <w:t xml:space="preserve">Notes on Character Form</w:t>
      </w:r>
      <w:r>
        <w:t xml:space="preserve">,</w:t>
      </w:r>
      <w:r>
        <w:t xml:space="preserve"> </w:t>
      </w:r>
      <w:r>
        <w:rPr>
          <w:rStyle w:val="VerbatimChar"/>
          <w:bCs/>
          <w:b/>
        </w:rPr>
        <w:t xml:space="preserve">Phonetic Glosses</w:t>
      </w:r>
      <w:r>
        <w:t xml:space="preserve">,</w:t>
      </w:r>
      <w:r>
        <w:t xml:space="preserve"> </w:t>
      </w:r>
      <w:r>
        <w:rPr>
          <w:rStyle w:val="VerbatimChar"/>
          <w:bCs/>
          <w:b/>
        </w:rPr>
        <w:t xml:space="preserve">Semantic Glosses in Chinese</w:t>
      </w:r>
      <w:r>
        <w:t xml:space="preserve">,</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and</w:t>
      </w:r>
      <w:r>
        <w:t xml:space="preserve"> </w:t>
      </w:r>
      <w:r>
        <w:rPr>
          <w:bCs/>
          <w:b/>
        </w:rPr>
        <w:t xml:space="preserve">Other</w:t>
      </w:r>
      <w:r>
        <w:t xml:space="preserve"> </w:t>
      </w:r>
      <w:r>
        <w:t xml:space="preserve">elements. TSV file available. This is the same as the previously published</w:t>
      </w:r>
      <w:r>
        <w:t xml:space="preserve"> </w:t>
      </w:r>
      <w:hyperlink r:id="rId52">
        <w:r>
          <w:rPr>
            <w:rStyle w:val="Hyperlink"/>
          </w:rPr>
          <w:t xml:space="preserve">KRM_definitions.tsv</w:t>
        </w:r>
      </w:hyperlink>
      <w:r>
        <w:t xml:space="preserve">.</w:t>
      </w:r>
    </w:p>
    <w:p>
      <w:pPr>
        <w:numPr>
          <w:ilvl w:val="0"/>
          <w:numId w:val="1095"/>
        </w:numPr>
        <w:pStyle w:val="Compact"/>
      </w:pPr>
      <w:hyperlink r:id="rId53">
        <w:r>
          <w:rPr>
            <w:rStyle w:val="Hyperlink"/>
            <w:bCs/>
            <w:b/>
          </w:rPr>
          <w:t xml:space="preserve">krm_pronunciations</w:t>
        </w:r>
      </w:hyperlink>
      <w:r>
        <w:t xml:space="preserve">: Data to facilitate linkage with the DHSJR regarding</w:t>
      </w:r>
      <w:r>
        <w:t xml:space="preserve"> </w:t>
      </w:r>
      <w:r>
        <w:rPr>
          <w:rStyle w:val="VerbatimChar"/>
          <w:bCs/>
          <w:b/>
        </w:rPr>
        <w:t xml:space="preserve">Phonetic Glosses</w:t>
      </w:r>
      <w:r>
        <w:t xml:space="preserve"> </w:t>
      </w:r>
      <w:r>
        <w:t xml:space="preserve">(under preparation).</w:t>
      </w:r>
    </w:p>
    <w:p>
      <w:pPr>
        <w:numPr>
          <w:ilvl w:val="0"/>
          <w:numId w:val="1095"/>
        </w:numPr>
        <w:pStyle w:val="Compact"/>
      </w:pPr>
      <w:hyperlink r:id="rId54">
        <w:r>
          <w:rPr>
            <w:rStyle w:val="Hyperlink"/>
            <w:bCs/>
            <w:b/>
          </w:rPr>
          <w:t xml:space="preserve">krm_ndl</w:t>
        </w:r>
      </w:hyperlink>
      <w:r>
        <w:t xml:space="preserve">: Links to the National Diet Library Digital Collections. TSV file available. This is the same as the previously published</w:t>
      </w:r>
      <w:r>
        <w:t xml:space="preserve"> </w:t>
      </w:r>
      <w:hyperlink r:id="rId55">
        <w:r>
          <w:rPr>
            <w:rStyle w:val="Hyperlink"/>
          </w:rPr>
          <w:t xml:space="preserve">KRM_ndl.tsv</w:t>
        </w:r>
      </w:hyperlink>
      <w:r>
        <w:t xml:space="preserve">.</w:t>
      </w:r>
    </w:p>
    <w:p>
      <w:pPr>
        <w:pStyle w:val="FirstParagraph"/>
      </w:pPr>
      <w:r>
        <w:t xml:space="preserve">A major revision of the data specifications was implemented in March 2025. Previously, published files were prefixed with</w:t>
      </w:r>
      <w:r>
        <w:t xml:space="preserve"> </w:t>
      </w:r>
      <w:r>
        <w:t xml:space="preserve">“</w:t>
      </w:r>
      <w:r>
        <w:t xml:space="preserve">KRM</w:t>
      </w:r>
      <w:r>
        <w:t xml:space="preserve">”</w:t>
      </w:r>
      <w:r>
        <w:t xml:space="preserve"> </w:t>
      </w:r>
      <w:r>
        <w:t xml:space="preserve">(uppercase). Files released after this revision are prefixed with</w:t>
      </w:r>
      <w:r>
        <w:t xml:space="preserve"> </w:t>
      </w:r>
      <w:r>
        <w:t xml:space="preserve">“</w:t>
      </w:r>
      <w:r>
        <w:t xml:space="preserve">krm</w:t>
      </w:r>
      <w:r>
        <w:t xml:space="preserve">”</w:t>
      </w:r>
      <w:r>
        <w:t xml:space="preserve"> </w:t>
      </w:r>
      <w:r>
        <w:t xml:space="preserve">(lowercase).</w:t>
      </w:r>
    </w:p>
    <w:bookmarkEnd w:id="56"/>
    <w:bookmarkStart w:id="64" w:name="X724b310f128abd31d0ecbe2d8a7beb051671254"/>
    <w:p>
      <w:pPr>
        <w:pStyle w:val="Heading2"/>
      </w:pPr>
      <w:r>
        <w:rPr>
          <w:rStyle w:val="SectionNumber"/>
        </w:rPr>
        <w:t xml:space="preserve">2.4</w:t>
      </w:r>
      <w:r>
        <w:tab/>
      </w:r>
      <w:r>
        <w:t xml:space="preserve">Specification Change</w:t>
      </w:r>
    </w:p>
    <w:p>
      <w:pPr>
        <w:pStyle w:val="FirstParagraph"/>
      </w:pPr>
      <w:r>
        <w:t xml:space="preserve">The key points of these specification changes are as follows:</w:t>
      </w:r>
    </w:p>
    <w:p>
      <w:pPr>
        <w:numPr>
          <w:ilvl w:val="0"/>
          <w:numId w:val="1096"/>
        </w:numPr>
        <w:pStyle w:val="Compact"/>
      </w:pPr>
      <w:r>
        <w:t xml:space="preserve">The at mark</w:t>
      </w:r>
      <w:r>
        <w:t xml:space="preserve"> </w:t>
      </w:r>
      <w:r>
        <w:t xml:space="preserve">“</w:t>
      </w:r>
      <w:r>
        <w:t xml:space="preserve">@</w:t>
      </w:r>
      <w:r>
        <w:t xml:space="preserve">”</w:t>
      </w:r>
      <w:r>
        <w:t xml:space="preserve">, used to indicate that a</w:t>
      </w:r>
      <w:r>
        <w:t xml:space="preserve"> </w:t>
      </w:r>
      <w:r>
        <w:rPr>
          <w:iCs/>
          <w:i/>
        </w:rPr>
        <w:t xml:space="preserve">kana wakun</w:t>
      </w:r>
      <w:r>
        <w:t xml:space="preserve"> </w:t>
      </w:r>
      <w:r>
        <w:t xml:space="preserve">(a</w:t>
      </w:r>
      <w:r>
        <w:t xml:space="preserve"> </w:t>
      </w:r>
      <w:r>
        <w:rPr>
          <w:rStyle w:val="VerbatimChar"/>
        </w:rPr>
        <w:t xml:space="preserve">Japanese Native Reading</w:t>
      </w:r>
      <w:r>
        <w:t xml:space="preserve"> </w:t>
      </w:r>
      <w:r>
        <w:t xml:space="preserve">written in kana) does not have</w:t>
      </w:r>
      <w:r>
        <w:t xml:space="preserve"> </w:t>
      </w:r>
      <w:r>
        <w:rPr>
          <w:rStyle w:val="VerbatimChar"/>
          <w:bCs/>
          <w:b/>
        </w:rPr>
        <w:t xml:space="preserve">Tone marks</w:t>
      </w:r>
      <w:r>
        <w:t xml:space="preserve">, has been changed to an underscore “_“.</w:t>
      </w:r>
    </w:p>
    <w:p>
      <w:pPr>
        <w:numPr>
          <w:ilvl w:val="0"/>
          <w:numId w:val="1096"/>
        </w:numPr>
        <w:pStyle w:val="Compact"/>
      </w:pPr>
      <w:r>
        <w:t xml:space="preserve">The double quotation mark ““</w:t>
      </w:r>
      <w:r>
        <w:t xml:space="preserve">“</w:t>
      </w:r>
      <w:r>
        <w:t xml:space="preserve">, used to indicate that a</w:t>
      </w:r>
      <w:r>
        <w:t xml:space="preserve"> </w:t>
      </w:r>
      <w:r>
        <w:rPr>
          <w:iCs/>
          <w:i/>
        </w:rPr>
        <w:t xml:space="preserve">wakun</w:t>
      </w:r>
      <w:r>
        <w:t xml:space="preserve"> </w:t>
      </w:r>
      <w:r>
        <w:t xml:space="preserve">for a voiced sound is accompanied by</w:t>
      </w:r>
      <w:r>
        <w:t xml:space="preserve"> </w:t>
      </w:r>
      <w:r>
        <w:rPr>
          <w:rStyle w:val="VerbatimChar"/>
          <w:bCs/>
          <w:b/>
        </w:rPr>
        <w:t xml:space="preserve">Tone marks</w:t>
      </w:r>
      <w:r>
        <w:t xml:space="preserve">, has been changed to the half-width English letter</w:t>
      </w:r>
      <w:r>
        <w:t xml:space="preserve">”</w:t>
      </w:r>
      <w:r>
        <w:t xml:space="preserve">V”.</w:t>
      </w:r>
    </w:p>
    <w:p>
      <w:pPr>
        <w:numPr>
          <w:ilvl w:val="0"/>
          <w:numId w:val="1096"/>
        </w:numPr>
        <w:pStyle w:val="Compact"/>
      </w:pPr>
      <w:r>
        <w:t xml:space="preserve">Half-width parentheses</w:t>
      </w:r>
      <w:r>
        <w:t xml:space="preserve"> </w:t>
      </w:r>
      <w:r>
        <w:t xml:space="preserve">“</w:t>
      </w:r>
      <w:r>
        <w:t xml:space="preserve">()</w:t>
      </w:r>
      <w:r>
        <w:t xml:space="preserve">”</w:t>
      </w:r>
      <w:r>
        <w:t xml:space="preserve">, used to indicate the presence of</w:t>
      </w:r>
      <w:r>
        <w:t xml:space="preserve"> </w:t>
      </w:r>
      <w:r>
        <w:rPr>
          <w:rStyle w:val="VerbatimChar"/>
          <w:bCs/>
          <w:b/>
        </w:rPr>
        <w:t xml:space="preserve">Tone marks</w:t>
      </w:r>
      <w:r>
        <w:t xml:space="preserve">, have been changed to full-width parentheses</w:t>
      </w:r>
      <w:r>
        <w:t xml:space="preserve"> </w:t>
      </w:r>
      <w:r>
        <w:t xml:space="preserve">“</w:t>
      </w:r>
      <w:r>
        <w:t xml:space="preserve">（）</w:t>
      </w:r>
      <w:r>
        <w:t xml:space="preserve">”</w:t>
      </w:r>
      <w:r>
        <w:t xml:space="preserve">.</w:t>
      </w:r>
    </w:p>
    <w:p>
      <w:pPr>
        <w:numPr>
          <w:ilvl w:val="0"/>
          <w:numId w:val="1096"/>
        </w:numPr>
        <w:pStyle w:val="Compact"/>
      </w:pPr>
      <w:r>
        <w:t xml:space="preserve">Half-width parentheses</w:t>
      </w:r>
      <w:r>
        <w:t xml:space="preserve"> </w:t>
      </w:r>
      <w:r>
        <w:t xml:space="preserve">“</w:t>
      </w:r>
      <w:r>
        <w:t xml:space="preserve">()</w:t>
      </w:r>
      <w:r>
        <w:t xml:space="preserve">”</w:t>
      </w:r>
      <w:r>
        <w:t xml:space="preserve">, used to indicate a proposed correction for a typographical error, have been changed to full-width square brackets</w:t>
      </w:r>
      <w:r>
        <w:t xml:space="preserve"> </w:t>
      </w:r>
      <w:r>
        <w:t xml:space="preserve">“</w:t>
      </w:r>
      <w:r>
        <w:t xml:space="preserve">〔〕</w:t>
      </w:r>
      <w:r>
        <w:t xml:space="preserve">”</w:t>
      </w:r>
      <w:r>
        <w:t xml:space="preserve">.</w:t>
      </w:r>
    </w:p>
    <w:p>
      <w:pPr>
        <w:numPr>
          <w:ilvl w:val="0"/>
          <w:numId w:val="1096"/>
        </w:numPr>
        <w:pStyle w:val="Compact"/>
      </w:pPr>
      <w:r>
        <w:t xml:space="preserve">Half-width square brackets</w:t>
      </w:r>
      <w:r>
        <w:t xml:space="preserve"> </w:t>
      </w:r>
      <w:r>
        <w:t xml:space="preserve">“</w:t>
      </w:r>
      <w:r>
        <w:t xml:space="preserve">[]</w:t>
      </w:r>
      <w:r>
        <w:t xml:space="preserve">”</w:t>
      </w:r>
      <w:r>
        <w:t xml:space="preserve">, used to indicate missing characters, have been changed to full-width square brackets</w:t>
      </w:r>
      <w:r>
        <w:t xml:space="preserve"> </w:t>
      </w:r>
      <w:r>
        <w:t xml:space="preserve">“</w:t>
      </w:r>
      <w:r>
        <w:t xml:space="preserve">［］</w:t>
      </w:r>
      <w:r>
        <w:t xml:space="preserve">”</w:t>
      </w:r>
      <w:r>
        <w:t xml:space="preserve">.</w:t>
      </w:r>
    </w:p>
    <w:p>
      <w:pPr>
        <w:pStyle w:val="FirstParagraph"/>
      </w:pPr>
      <w:r>
        <w:t xml:space="preserve">The files after the specification change have been published at</w:t>
      </w:r>
      <w:r>
        <w:t xml:space="preserve"> </w:t>
      </w:r>
      <w:hyperlink r:id="rId24">
        <w:r>
          <w:rPr>
            <w:rStyle w:val="Hyperlink"/>
          </w:rPr>
          <w:t xml:space="preserve">https://github.com/shikeda/krm</w:t>
        </w:r>
      </w:hyperlink>
      <w:r>
        <w:t xml:space="preserve">.</w:t>
      </w:r>
    </w:p>
    <w:bookmarkStart w:id="63" w:name="Xf3de0c8e4fe033a3b262903ac656948eb002de3"/>
    <w:p>
      <w:pPr>
        <w:pStyle w:val="Heading3"/>
      </w:pPr>
      <w:r>
        <w:rPr>
          <w:rStyle w:val="SectionNumber"/>
        </w:rPr>
        <w:t xml:space="preserve">2.4.1</w:t>
      </w:r>
      <w:r>
        <w:tab/>
      </w:r>
      <w:r>
        <w:t xml:space="preserve">ER Diagram</w:t>
      </w:r>
    </w:p>
    <w:p>
      <w:pPr>
        <w:pStyle w:val="FirstParagraph"/>
      </w:pPr>
      <w:r>
        <w:t xml:space="preserve">The following ER diagram shows the relationship between the three tables:</w:t>
      </w:r>
      <w:r>
        <w:t xml:space="preserve"> </w:t>
      </w:r>
      <w:r>
        <w:rPr>
          <w:rStyle w:val="VerbatimChar"/>
        </w:rPr>
        <w:t xml:space="preserve">krm_main</w:t>
      </w:r>
      <w:r>
        <w:t xml:space="preserve">,</w:t>
      </w:r>
      <w:r>
        <w:t xml:space="preserve"> </w:t>
      </w:r>
      <w:r>
        <w:rPr>
          <w:rStyle w:val="VerbatimChar"/>
        </w:rPr>
        <w:t xml:space="preserve">krm_notes</w:t>
      </w:r>
      <w:r>
        <w:t xml:space="preserve">, and</w:t>
      </w:r>
      <w:r>
        <w:t xml:space="preserve"> </w:t>
      </w:r>
      <w:r>
        <w:rPr>
          <w:rStyle w:val="VerbatimChar"/>
        </w:rPr>
        <w:t xml:space="preserve">krm_wakun</w:t>
      </w:r>
      <w:r>
        <w:t xml:space="preserve">.</w:t>
      </w:r>
    </w:p>
    <w:p>
      <w:pPr>
        <w:pStyle w:val="CaptionedFigure"/>
      </w:pPr>
      <w:r>
        <w:drawing>
          <wp:inline>
            <wp:extent cx="5397500" cy="2395485"/>
            <wp:effectExtent b="0" l="0" r="0" t="0"/>
            <wp:docPr descr="ER diagram." title="" id="58" name="Picture"/>
            <a:graphic>
              <a:graphicData uri="http://schemas.openxmlformats.org/drawingml/2006/picture">
                <pic:pic>
                  <pic:nvPicPr>
                    <pic:cNvPr descr="images/krmer.drawio.png" id="59" name="Picture"/>
                    <pic:cNvPicPr>
                      <a:picLocks noChangeArrowheads="1" noChangeAspect="1"/>
                    </pic:cNvPicPr>
                  </pic:nvPicPr>
                  <pic:blipFill>
                    <a:blip r:embed="rId57"/>
                    <a:stretch>
                      <a:fillRect/>
                    </a:stretch>
                  </pic:blipFill>
                  <pic:spPr bwMode="auto">
                    <a:xfrm>
                      <a:off x="0" y="0"/>
                      <a:ext cx="5397500" cy="2395485"/>
                    </a:xfrm>
                    <a:prstGeom prst="rect">
                      <a:avLst/>
                    </a:prstGeom>
                    <a:noFill/>
                    <a:ln w="9525">
                      <a:noFill/>
                      <a:headEnd/>
                      <a:tailEnd/>
                    </a:ln>
                  </pic:spPr>
                </pic:pic>
              </a:graphicData>
            </a:graphic>
          </wp:inline>
        </w:drawing>
      </w:r>
    </w:p>
    <w:p>
      <w:pPr>
        <w:pStyle w:val="ImageCaption"/>
      </w:pPr>
      <w:r>
        <w:t xml:space="preserve">ER diagram.</w:t>
      </w:r>
    </w:p>
    <w:p>
      <w:pPr>
        <w:pStyle w:val="BodyText"/>
      </w:pPr>
      <w:r>
        <w:t xml:space="preserve">Please note that the</w:t>
      </w:r>
      <w:r>
        <w:t xml:space="preserve"> </w:t>
      </w:r>
      <w:r>
        <w:rPr>
          <w:rStyle w:val="VerbatimChar"/>
        </w:rPr>
        <w:t xml:space="preserve">krm_notes.json</w:t>
      </w:r>
      <w:r>
        <w:t xml:space="preserve"> </w:t>
      </w:r>
      <w:r>
        <w:t xml:space="preserve">file has a nested structure: each record contains an array of definitions rather than a flat list of rows. For more details on the internal structure of</w:t>
      </w:r>
      <w:r>
        <w:t xml:space="preserve"> </w:t>
      </w:r>
      <w:r>
        <w:rPr>
          <w:rStyle w:val="VerbatimChar"/>
        </w:rPr>
        <w:t xml:space="preserve">krm_notes.json</w:t>
      </w:r>
      <w:r>
        <w:t xml:space="preserve">, see the</w:t>
      </w:r>
      <w:r>
        <w:t xml:space="preserve"> </w:t>
      </w:r>
      <w:hyperlink r:id="rId48">
        <w:r>
          <w:rPr>
            <w:rStyle w:val="Hyperlink"/>
          </w:rPr>
          <w:t xml:space="preserve">dedicated page</w:t>
        </w:r>
      </w:hyperlink>
      <w:r>
        <w:t xml:space="preserve">.</w:t>
      </w:r>
    </w:p>
    <w:p>
      <w:pPr>
        <w:pStyle w:val="CaptionedFigure"/>
      </w:pPr>
      <w:r>
        <w:drawing>
          <wp:inline>
            <wp:extent cx="5397500" cy="2607348"/>
            <wp:effectExtent b="0" l="0" r="0" t="0"/>
            <wp:docPr descr="ER_notes diagram" title="" id="61" name="Picture"/>
            <a:graphic>
              <a:graphicData uri="http://schemas.openxmlformats.org/drawingml/2006/picture">
                <pic:pic>
                  <pic:nvPicPr>
                    <pic:cNvPr descr="images/krm_notes_er.drawio.png" id="62" name="Picture"/>
                    <pic:cNvPicPr>
                      <a:picLocks noChangeArrowheads="1" noChangeAspect="1"/>
                    </pic:cNvPicPr>
                  </pic:nvPicPr>
                  <pic:blipFill>
                    <a:blip r:embed="rId60"/>
                    <a:stretch>
                      <a:fillRect/>
                    </a:stretch>
                  </pic:blipFill>
                  <pic:spPr bwMode="auto">
                    <a:xfrm>
                      <a:off x="0" y="0"/>
                      <a:ext cx="5397500" cy="2607348"/>
                    </a:xfrm>
                    <a:prstGeom prst="rect">
                      <a:avLst/>
                    </a:prstGeom>
                    <a:noFill/>
                    <a:ln w="9525">
                      <a:noFill/>
                      <a:headEnd/>
                      <a:tailEnd/>
                    </a:ln>
                  </pic:spPr>
                </pic:pic>
              </a:graphicData>
            </a:graphic>
          </wp:inline>
        </w:drawing>
      </w:r>
    </w:p>
    <w:p>
      <w:pPr>
        <w:pStyle w:val="ImageCaption"/>
      </w:pPr>
      <w:r>
        <w:t xml:space="preserve">ER_notes diagram</w:t>
      </w:r>
    </w:p>
    <w:bookmarkEnd w:id="63"/>
    <w:bookmarkEnd w:id="64"/>
    <w:bookmarkStart w:id="66" w:name="X10f8cf65bcbc73c4f1fb05adee0280f8b7c6f6b"/>
    <w:p>
      <w:pPr>
        <w:pStyle w:val="Heading2"/>
      </w:pPr>
      <w:r>
        <w:rPr>
          <w:rStyle w:val="SectionNumber"/>
        </w:rPr>
        <w:t xml:space="preserve">2.5</w:t>
      </w:r>
      <w:r>
        <w:tab/>
      </w:r>
      <w:r>
        <w:t xml:space="preserve">Common Information</w:t>
      </w:r>
    </w:p>
    <w:p>
      <w:pPr>
        <w:pStyle w:val="FirstParagraph"/>
      </w:pPr>
      <w:r>
        <w:t xml:space="preserve">For details including the version of the released data, author information, and copyright notices, please refer to the</w:t>
      </w:r>
      <w:r>
        <w:t xml:space="preserve"> </w:t>
      </w:r>
      <w:r>
        <w:rPr>
          <w:rStyle w:val="VerbatimChar"/>
        </w:rPr>
        <w:t xml:space="preserve">README.md</w:t>
      </w:r>
      <w:r>
        <w:t xml:space="preserve"> </w:t>
      </w:r>
      <w:r>
        <w:t xml:space="preserve">file in the following GitHub repository.</w:t>
      </w:r>
    </w:p>
    <w:p>
      <w:pPr>
        <w:pStyle w:val="BodyText"/>
      </w:pPr>
      <w:hyperlink r:id="rId65">
        <w:r>
          <w:rPr>
            <w:rStyle w:val="Hyperlink"/>
          </w:rPr>
          <w:t xml:space="preserve">https://github.com/shikeda/krm/</w:t>
        </w:r>
      </w:hyperlink>
    </w:p>
    <w:bookmarkEnd w:id="66"/>
    <w:bookmarkStart w:id="67" w:name="X60157db591ba15a4384ea44cfb73db99862611d"/>
    <w:p>
      <w:pPr>
        <w:pStyle w:val="Heading2"/>
      </w:pPr>
      <w:r>
        <w:rPr>
          <w:rStyle w:val="SectionNumber"/>
        </w:rPr>
        <w:t xml:space="preserve">2.6</w:t>
      </w:r>
      <w:r>
        <w:tab/>
      </w:r>
      <w:r>
        <w:t xml:space="preserve">Acknowledgments</w:t>
      </w:r>
    </w:p>
    <w:p>
      <w:pPr>
        <w:pStyle w:val="FirstParagraph"/>
      </w:pPr>
      <w:r>
        <w:t xml:space="preserve">We would like to express our gratitude to Tenri Central Library and Yagi Bookstore for granting permission to publish the decipherment text of the Kanchi-in manuscript of the</w:t>
      </w:r>
      <w:r>
        <w:t xml:space="preserve"> </w:t>
      </w:r>
      <w:r>
        <w:rPr>
          <w:iCs/>
          <w:i/>
        </w:rPr>
        <w:t xml:space="preserve">Ruiju Myogisho</w:t>
      </w:r>
      <w:r>
        <w:t xml:space="preserve">.</w:t>
      </w:r>
    </w:p>
    <w:p>
      <w:pPr>
        <w:pStyle w:val="BodyText"/>
      </w:pPr>
      <w:r>
        <w:t xml:space="preserve">This research is partly supported by JSPS KAKENHI Grant Numbers 16H03422, 19H00526, 23K17500 and 25K00466. We gratefully acknowledge this support.</w:t>
      </w:r>
    </w:p>
    <w:bookmarkEnd w:id="67"/>
    <w:bookmarkEnd w:id="68"/>
    <w:bookmarkEnd w:id="69"/>
    <w:bookmarkStart w:id="74" w:name="X696ca043999f4dd89aa19957b80a5cdd3bdff7a"/>
    <w:bookmarkStart w:id="73" w:name="X59b03c3dff54411a5f6b5af2e3baf28d36e94d0"/>
    <w:p>
      <w:pPr>
        <w:pStyle w:val="Heading1"/>
      </w:pPr>
      <w:r>
        <w:rPr>
          <w:rStyle w:val="SectionNumber"/>
        </w:rPr>
        <w:t xml:space="preserve">3</w:t>
      </w:r>
      <w:r>
        <w:tab/>
      </w:r>
      <w:r>
        <w:t xml:space="preserve">krm_main</w:t>
      </w:r>
    </w:p>
    <w:bookmarkStart w:id="70" w:name="X48b2caf8f3aceb5323ba6b1c7f86b2030791c37"/>
    <w:p>
      <w:pPr>
        <w:pStyle w:val="Heading2"/>
      </w:pPr>
      <w:r>
        <w:rPr>
          <w:rStyle w:val="SectionNumber"/>
        </w:rPr>
        <w:t xml:space="preserve">3.1</w:t>
      </w:r>
      <w:r>
        <w:tab/>
      </w:r>
      <w:r>
        <w:t xml:space="preserve">Overview and file formats</w:t>
      </w:r>
    </w:p>
    <w:p>
      <w:pPr>
        <w:pStyle w:val="FirstParagraph"/>
      </w:pPr>
      <w:r>
        <w:t xml:space="preserve">This section describes the core files of the database for the Kanchi-in manuscript of the</w:t>
      </w:r>
      <w:r>
        <w:t xml:space="preserve"> </w:t>
      </w:r>
      <w:r>
        <w:rPr>
          <w:iCs/>
          <w:i/>
        </w:rPr>
        <w:t xml:space="preserve">Ruiju Myōgishō</w:t>
      </w:r>
      <w:r>
        <w:t xml:space="preserve"> </w:t>
      </w:r>
      <w:r>
        <w:t xml:space="preserve">(hereinafter</w:t>
      </w:r>
      <w:r>
        <w:t xml:space="preserve"> </w:t>
      </w:r>
      <w:r>
        <w:t xml:space="preserve">“</w:t>
      </w:r>
      <w:r>
        <w:rPr>
          <w:iCs/>
          <w:i/>
        </w:rPr>
        <w:t xml:space="preserve">Myōgishō</w:t>
      </w:r>
      <w:r>
        <w:t xml:space="preserve">”</w:t>
      </w:r>
      <w:r>
        <w:t xml:space="preserve">).</w:t>
      </w:r>
    </w:p>
    <w:p>
      <w:pPr>
        <w:pStyle w:val="BodyText"/>
      </w:pPr>
      <w:r>
        <w:t xml:space="preserve">Previously, the released file was a TSV file named</w:t>
      </w:r>
      <w:r>
        <w:t xml:space="preserve"> </w:t>
      </w:r>
      <w:r>
        <w:rPr>
          <w:rStyle w:val="VerbatimChar"/>
        </w:rPr>
        <w:t xml:space="preserve">KRM.tsv</w:t>
      </w:r>
      <w:r>
        <w:t xml:space="preserve">.</w:t>
      </w:r>
    </w:p>
    <w:p>
      <w:pPr>
        <w:pStyle w:val="BodyText"/>
      </w:pPr>
      <w:r>
        <w:t xml:space="preserve">It contains information regarding</w:t>
      </w:r>
      <w:r>
        <w:t xml:space="preserve"> </w:t>
      </w:r>
      <w:r>
        <w:rPr>
          <w:rStyle w:val="VerbatimChar"/>
          <w:bCs/>
          <w:b/>
        </w:rPr>
        <w:t xml:space="preserve">Headwords</w:t>
      </w:r>
      <w:r>
        <w:t xml:space="preserve">, the full content of the</w:t>
      </w:r>
      <w:r>
        <w:t xml:space="preserve"> </w:t>
      </w:r>
      <w:r>
        <w:rPr>
          <w:rStyle w:val="VerbatimChar"/>
          <w:bCs/>
          <w:b/>
        </w:rPr>
        <w:t xml:space="preserve">Definition (Original Glosses)</w:t>
      </w:r>
      <w:r>
        <w:t xml:space="preserve">, volume, radical, and the locations in the Kazama Shobō edition and the Tenri Central Library/Yōtokusha (Tenri Zenhon Sōsho) edition.</w:t>
      </w:r>
    </w:p>
    <w:p>
      <w:pPr>
        <w:pStyle w:val="BodyText"/>
      </w:pPr>
      <w:r>
        <w:t xml:space="preserve">In March 2025, the specifications for column names and the display method for</w:t>
      </w:r>
      <w:r>
        <w:t xml:space="preserve"> </w:t>
      </w:r>
      <w:r>
        <w:rPr>
          <w:rStyle w:val="VerbatimChar"/>
          <w:bCs/>
          <w:b/>
        </w:rPr>
        <w:t xml:space="preserve">Tone marks (*shōten*)</w:t>
      </w:r>
      <w:r>
        <w:t xml:space="preserve"> </w:t>
      </w:r>
      <w:r>
        <w:t xml:space="preserve">were updated. To clearly indicate that it is the file with these updated specifications, it was renamed</w:t>
      </w:r>
      <w:r>
        <w:t xml:space="preserve"> </w:t>
      </w:r>
      <w:r>
        <w:rPr>
          <w:rStyle w:val="VerbatimChar"/>
        </w:rPr>
        <w:t xml:space="preserve">krm_main.tsv</w:t>
      </w:r>
      <w:r>
        <w:t xml:space="preserve">. A JSON version of this file has also been made available.</w:t>
      </w:r>
    </w:p>
    <w:bookmarkEnd w:id="70"/>
    <w:bookmarkStart w:id="71" w:name="Xbb6d2e433fc4390127cc231f4b5f09c9c1352f7"/>
    <w:p>
      <w:pPr>
        <w:pStyle w:val="Heading2"/>
      </w:pPr>
      <w:r>
        <w:rPr>
          <w:rStyle w:val="SectionNumber"/>
        </w:rPr>
        <w:t xml:space="preserve">3.2</w:t>
      </w:r>
      <w:r>
        <w:tab/>
      </w:r>
      <w:r>
        <w:t xml:space="preserve">Column name comparison</w:t>
      </w:r>
    </w:p>
    <w:p>
      <w:pPr>
        <w:pStyle w:val="FirstParagraph"/>
      </w:pPr>
      <w:r>
        <w:t xml:space="preserve">The correspondence between the old and new column names is as follows: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New Column Name (v1.2.5)</w:t>
            </w:r>
          </w:p>
        </w:tc>
        <w:tc>
          <w:tcPr/>
          <w:p>
            <w:pPr>
              <w:pStyle w:val="Compact"/>
              <w:jc w:val="left"/>
            </w:pPr>
            <w:r>
              <w:t xml:space="preserve">Old Column Name (v1.1.347)</w:t>
            </w:r>
          </w:p>
        </w:tc>
      </w:tr>
      <w:tr>
        <w:tc>
          <w:tcPr/>
          <w:p>
            <w:pPr>
              <w:pStyle w:val="Compact"/>
              <w:jc w:val="left"/>
            </w:pPr>
            <w:r>
              <w:t xml:space="preserve">entry_id</w:t>
            </w:r>
          </w:p>
        </w:tc>
        <w:tc>
          <w:tcPr/>
          <w:p>
            <w:pPr>
              <w:pStyle w:val="Compact"/>
              <w:jc w:val="left"/>
            </w:pPr>
            <w:r>
              <w:t xml:space="preserve">KRID_n</w:t>
            </w:r>
          </w:p>
        </w:tc>
      </w:tr>
      <w:tr>
        <w:tc>
          <w:tcPr/>
          <w:p>
            <w:pPr>
              <w:pStyle w:val="Compact"/>
              <w:jc w:val="left"/>
            </w:pPr>
            <w:r>
              <w:t xml:space="preserve">hanzi_id</w:t>
            </w:r>
          </w:p>
        </w:tc>
        <w:tc>
          <w:tcPr/>
          <w:p>
            <w:pPr>
              <w:pStyle w:val="Compact"/>
              <w:jc w:val="left"/>
            </w:pPr>
            <w:r>
              <w:t xml:space="preserve">KRID_sn</w:t>
            </w:r>
          </w:p>
        </w:tc>
      </w:tr>
      <w:tr>
        <w:tc>
          <w:tcPr/>
          <w:p>
            <w:pPr>
              <w:pStyle w:val="Compact"/>
              <w:jc w:val="left"/>
            </w:pPr>
            <w:r>
              <w:t xml:space="preserve">-</w:t>
            </w:r>
          </w:p>
        </w:tc>
        <w:tc>
          <w:tcPr/>
          <w:p>
            <w:pPr>
              <w:pStyle w:val="Compact"/>
              <w:jc w:val="left"/>
            </w:pPr>
            <w:r>
              <w:t xml:space="preserve">KR2ID</w:t>
            </w:r>
          </w:p>
        </w:tc>
      </w:tr>
      <w:tr>
        <w:tc>
          <w:tcPr/>
          <w:p>
            <w:pPr>
              <w:pStyle w:val="Compact"/>
              <w:jc w:val="left"/>
            </w:pPr>
            <w:r>
              <w:t xml:space="preserve">kazama_location</w:t>
            </w:r>
          </w:p>
        </w:tc>
        <w:tc>
          <w:tcPr/>
          <w:p>
            <w:pPr>
              <w:pStyle w:val="Compact"/>
              <w:jc w:val="left"/>
            </w:pPr>
            <w:r>
              <w:t xml:space="preserve">KRID</w:t>
            </w:r>
          </w:p>
        </w:tc>
      </w:tr>
      <w:tr>
        <w:tc>
          <w:tcPr/>
          <w:p>
            <w:pPr>
              <w:pStyle w:val="Compact"/>
              <w:jc w:val="left"/>
            </w:pPr>
            <w:r>
              <w:t xml:space="preserve">tenri_location</w:t>
            </w:r>
          </w:p>
        </w:tc>
        <w:tc>
          <w:tcPr/>
          <w:p>
            <w:pPr>
              <w:pStyle w:val="Compact"/>
              <w:jc w:val="left"/>
            </w:pPr>
            <w:r>
              <w:t xml:space="preserve">KR_Tenri_p</w:t>
            </w:r>
          </w:p>
        </w:tc>
      </w:tr>
      <w:tr>
        <w:tc>
          <w:tcPr/>
          <w:p>
            <w:pPr>
              <w:pStyle w:val="Compact"/>
              <w:jc w:val="left"/>
            </w:pPr>
            <w:r>
              <w:t xml:space="preserve">volume_name</w:t>
            </w:r>
          </w:p>
        </w:tc>
        <w:tc>
          <w:tcPr/>
          <w:p>
            <w:pPr>
              <w:pStyle w:val="Compact"/>
              <w:jc w:val="left"/>
            </w:pPr>
            <w:r>
              <w:t xml:space="preserve">KR_vol_name</w:t>
            </w:r>
          </w:p>
        </w:tc>
      </w:tr>
      <w:tr>
        <w:tc>
          <w:tcPr/>
          <w:p>
            <w:pPr>
              <w:pStyle w:val="Compact"/>
              <w:jc w:val="left"/>
            </w:pPr>
            <w:r>
              <w:t xml:space="preserve">radical_name</w:t>
            </w:r>
          </w:p>
        </w:tc>
        <w:tc>
          <w:tcPr/>
          <w:p>
            <w:pPr>
              <w:pStyle w:val="Compact"/>
              <w:jc w:val="left"/>
            </w:pPr>
            <w:r>
              <w:t xml:space="preserve">KR_radical</w:t>
            </w:r>
          </w:p>
        </w:tc>
      </w:tr>
      <w:tr>
        <w:tc>
          <w:tcPr/>
          <w:p>
            <w:pPr>
              <w:pStyle w:val="Compact"/>
              <w:jc w:val="left"/>
            </w:pPr>
            <w:r>
              <w:t xml:space="preserve">volume_radical_index</w:t>
            </w:r>
          </w:p>
        </w:tc>
        <w:tc>
          <w:tcPr/>
          <w:p>
            <w:pPr>
              <w:pStyle w:val="Compact"/>
              <w:jc w:val="left"/>
            </w:pPr>
            <w:r>
              <w:t xml:space="preserve">KR_vol_radical</w:t>
            </w:r>
          </w:p>
        </w:tc>
      </w:tr>
      <w:tr>
        <w:tc>
          <w:tcPr/>
          <w:p>
            <w:pPr>
              <w:pStyle w:val="Compact"/>
              <w:jc w:val="left"/>
            </w:pPr>
            <w:r>
              <w:t xml:space="preserve">hanzi_entry</w:t>
            </w:r>
          </w:p>
        </w:tc>
        <w:tc>
          <w:tcPr/>
          <w:p>
            <w:pPr>
              <w:pStyle w:val="Compact"/>
              <w:jc w:val="left"/>
            </w:pPr>
            <w:r>
              <w:t xml:space="preserve">Entry</w:t>
            </w:r>
          </w:p>
        </w:tc>
      </w:tr>
      <w:tr>
        <w:tc>
          <w:tcPr/>
          <w:p>
            <w:pPr>
              <w:pStyle w:val="Compact"/>
              <w:jc w:val="left"/>
            </w:pPr>
            <w:r>
              <w:t xml:space="preserve">original_entry</w:t>
            </w:r>
          </w:p>
        </w:tc>
        <w:tc>
          <w:tcPr/>
          <w:p>
            <w:pPr>
              <w:pStyle w:val="Compact"/>
              <w:jc w:val="left"/>
            </w:pPr>
            <w:r>
              <w:t xml:space="preserve">Entry_original</w:t>
            </w:r>
          </w:p>
        </w:tc>
      </w:tr>
      <w:tr>
        <w:tc>
          <w:tcPr/>
          <w:p>
            <w:pPr>
              <w:pStyle w:val="Compact"/>
              <w:jc w:val="left"/>
            </w:pPr>
            <w:r>
              <w:t xml:space="preserve">definition</w:t>
            </w:r>
          </w:p>
        </w:tc>
        <w:tc>
          <w:tcPr/>
          <w:p>
            <w:pPr>
              <w:pStyle w:val="Compact"/>
              <w:jc w:val="left"/>
            </w:pPr>
            <w:r>
              <w:t xml:space="preserve">Def</w:t>
            </w:r>
          </w:p>
        </w:tc>
      </w:tr>
      <w:tr>
        <w:tc>
          <w:tcPr/>
          <w:p>
            <w:pPr>
              <w:pStyle w:val="Compact"/>
              <w:jc w:val="left"/>
            </w:pPr>
            <w:r>
              <w:t xml:space="preserve">-</w:t>
            </w:r>
          </w:p>
        </w:tc>
        <w:tc>
          <w:tcPr/>
          <w:p>
            <w:pPr>
              <w:pStyle w:val="Compact"/>
              <w:jc w:val="left"/>
            </w:pPr>
            <w:r>
              <w:t xml:space="preserve">Remarks</w:t>
            </w:r>
          </w:p>
        </w:tc>
      </w:tr>
    </w:tbl>
    <w:p>
      <w:pPr>
        <w:pStyle w:val="BodyText"/>
      </w:pPr>
      <w:r>
        <w:t xml:space="preserve">The</w:t>
      </w:r>
      <w:r>
        <w:t xml:space="preserve"> </w:t>
      </w:r>
      <w:r>
        <w:rPr>
          <w:rStyle w:val="VerbatimChar"/>
        </w:rPr>
        <w:t xml:space="preserve">KR2ID</w:t>
      </w:r>
      <w:r>
        <w:t xml:space="preserve"> </w:t>
      </w:r>
      <w:r>
        <w:t xml:space="preserve">column was omitted, and the</w:t>
      </w:r>
      <w:r>
        <w:t xml:space="preserve"> </w:t>
      </w:r>
      <w:r>
        <w:rPr>
          <w:rStyle w:val="VerbatimChar"/>
        </w:rPr>
        <w:t xml:space="preserve">kazama_location</w:t>
      </w:r>
      <w:r>
        <w:t xml:space="preserve"> </w:t>
      </w:r>
      <w:r>
        <w:t xml:space="preserve">column was aligned with the</w:t>
      </w:r>
      <w:r>
        <w:t xml:space="preserve"> </w:t>
      </w:r>
      <w:r>
        <w:rPr>
          <w:rStyle w:val="VerbatimChar"/>
        </w:rPr>
        <w:t xml:space="preserve">KRID</w:t>
      </w:r>
      <w:r>
        <w:t xml:space="preserve"> </w:t>
      </w:r>
      <w:r>
        <w:t xml:space="preserve">column.</w:t>
      </w:r>
    </w:p>
    <w:p>
      <w:pPr>
        <w:pStyle w:val="BodyText"/>
      </w:pPr>
      <w:r>
        <w:t xml:space="preserve">The</w:t>
      </w:r>
      <w:r>
        <w:t xml:space="preserve"> </w:t>
      </w:r>
      <w:r>
        <w:rPr>
          <w:rStyle w:val="VerbatimChar"/>
        </w:rPr>
        <w:t xml:space="preserve">Remarks</w:t>
      </w:r>
      <w:r>
        <w:t xml:space="preserve"> </w:t>
      </w:r>
      <w:r>
        <w:t xml:space="preserve">column was omitted; this information is now consolidated in the</w:t>
      </w:r>
      <w:r>
        <w:t xml:space="preserve"> </w:t>
      </w:r>
      <w:r>
        <w:rPr>
          <w:rStyle w:val="VerbatimChar"/>
        </w:rPr>
        <w:t xml:space="preserve">krm_notes</w:t>
      </w:r>
      <w:r>
        <w:t xml:space="preserve"> </w:t>
      </w:r>
      <w:r>
        <w:t xml:space="preserve">file (which contains data for the</w:t>
      </w:r>
      <w:r>
        <w:t xml:space="preserve"> </w:t>
      </w:r>
      <w:r>
        <w:rPr>
          <w:rStyle w:val="VerbatimChar"/>
          <w:bCs/>
          <w:b/>
        </w:rPr>
        <w:t xml:space="preserve">Compiler's Remarks</w:t>
      </w:r>
      <w:r>
        <w:t xml:space="preserve">).</w:t>
      </w:r>
    </w:p>
    <w:bookmarkEnd w:id="71"/>
    <w:bookmarkStart w:id="72" w:name="Xd85484be0d22b6b862f13dc52695987fde6bf75"/>
    <w:p>
      <w:pPr>
        <w:pStyle w:val="Heading2"/>
      </w:pPr>
      <w:r>
        <w:rPr>
          <w:rStyle w:val="SectionNumber"/>
        </w:rPr>
        <w:t xml:space="preserve">3.3</w:t>
      </w:r>
      <w:r>
        <w:tab/>
      </w:r>
      <w:r>
        <w:t xml:space="preserve">Description of each column</w:t>
      </w:r>
    </w:p>
    <w:p>
      <w:pPr>
        <w:pStyle w:val="FirstParagraph"/>
      </w:pPr>
      <w:r>
        <w:t xml:space="preserve">The content of each column (v1.2.5) is explained below.</w:t>
      </w:r>
    </w:p>
    <w:tbl>
      <w:tblPr>
        <w:tblStyle w:val="Table"/>
        <w:tblW w:type="pct" w:w="5000"/>
        <w:tblLook w:firstRow="1" w:lastRow="0" w:firstColumn="0" w:lastColumn="0" w:noHBand="0" w:noVBand="0" w:val="0020"/>
        <w:jc w:val="start"/>
      </w:tblPr>
      <w:tblGrid>
        <w:gridCol w:w="3801"/>
        <w:gridCol w:w="4118"/>
      </w:tblGrid>
      <w:tr>
        <w:trPr>
          <w:tblHeader w:val="true"/>
        </w:trPr>
        <w:tc>
          <w:tcPr/>
          <w:p>
            <w:pPr>
              <w:pStyle w:val="Compact"/>
              <w:jc w:val="left"/>
            </w:pPr>
            <w:r>
              <w:t xml:space="preserve">New Column Name (v1.2.5)</w:t>
            </w:r>
          </w:p>
        </w:tc>
        <w:tc>
          <w:tcPr/>
          <w:p>
            <w:pPr>
              <w:pStyle w:val="Compact"/>
              <w:jc w:val="left"/>
            </w:pPr>
            <w:r>
              <w:t xml:space="preserve">Explanation</w:t>
            </w:r>
          </w:p>
        </w:tc>
      </w:tr>
      <w:tr>
        <w:tc>
          <w:tcPr/>
          <w:p>
            <w:pPr>
              <w:pStyle w:val="Compact"/>
              <w:jc w:val="left"/>
            </w:pPr>
            <w:r>
              <w:t xml:space="preserve">entry_id</w:t>
            </w:r>
          </w:p>
        </w:tc>
        <w:tc>
          <w:tcPr/>
          <w:p>
            <w:pPr>
              <w:pStyle w:val="Compact"/>
              <w:jc w:val="left"/>
            </w:pPr>
            <w:r>
              <w:t xml:space="preserve">A heading</w:t>
            </w:r>
            <w:r>
              <w:t xml:space="preserve"> </w:t>
            </w:r>
            <w:r>
              <w:rPr>
                <w:rStyle w:val="VerbatimChar"/>
                <w:bCs/>
                <w:b/>
              </w:rPr>
              <w:t xml:space="preserve">Entry</w:t>
            </w:r>
            <w:r>
              <w:t xml:space="preserve"> </w:t>
            </w:r>
            <w:r>
              <w:t xml:space="preserve">ID consisting of a 5-digit numeric ID starting with</w:t>
            </w:r>
            <w:r>
              <w:t xml:space="preserve"> </w:t>
            </w:r>
            <w:r>
              <w:t xml:space="preserve">‘</w:t>
            </w:r>
            <w:r>
              <w:t xml:space="preserve">F</w:t>
            </w:r>
            <w:r>
              <w:t xml:space="preserve">’</w:t>
            </w:r>
            <w:r>
              <w:t xml:space="preserve">. For some added entry items, a</w:t>
            </w:r>
            <w:r>
              <w:t xml:space="preserve"> </w:t>
            </w:r>
            <w:r>
              <w:t xml:space="preserve">‘</w:t>
            </w:r>
            <w:r>
              <w:t xml:space="preserve">b</w:t>
            </w:r>
            <w:r>
              <w:t xml:space="preserve">’</w:t>
            </w:r>
            <w:r>
              <w:t xml:space="preserve"> </w:t>
            </w:r>
            <w:r>
              <w:t xml:space="preserve">suffix is appended.</w:t>
            </w:r>
          </w:p>
        </w:tc>
      </w:tr>
      <w:tr>
        <w:tc>
          <w:tcPr/>
          <w:p>
            <w:pPr>
              <w:pStyle w:val="Compact"/>
              <w:jc w:val="left"/>
            </w:pPr>
            <w:r>
              <w:t xml:space="preserve">hanzi_id</w:t>
            </w:r>
          </w:p>
        </w:tc>
        <w:tc>
          <w:tcPr/>
          <w:p>
            <w:pPr>
              <w:pStyle w:val="Compact"/>
              <w:jc w:val="left"/>
            </w:pPr>
            <w:r>
              <w:t xml:space="preserve">A heading</w:t>
            </w:r>
            <w:r>
              <w:t xml:space="preserve"> </w:t>
            </w:r>
            <w:r>
              <w:rPr>
                <w:rStyle w:val="VerbatimChar"/>
                <w:bCs/>
                <w:b/>
              </w:rPr>
              <w:t xml:space="preserve">Hanzi (Chinese character)</w:t>
            </w:r>
            <w:r>
              <w:t xml:space="preserve"> </w:t>
            </w:r>
            <w:r>
              <w:t xml:space="preserve">ID consisting of a 5-digit numeric ID starting with</w:t>
            </w:r>
            <w:r>
              <w:t xml:space="preserve"> </w:t>
            </w:r>
            <w:r>
              <w:t xml:space="preserve">‘</w:t>
            </w:r>
            <w:r>
              <w:t xml:space="preserve">S</w:t>
            </w:r>
            <w:r>
              <w:t xml:space="preserve">’</w:t>
            </w:r>
            <w:r>
              <w:t xml:space="preserve">. For some added entry items, a</w:t>
            </w:r>
            <w:r>
              <w:t xml:space="preserve"> </w:t>
            </w:r>
            <w:r>
              <w:t xml:space="preserve">‘</w:t>
            </w:r>
            <w:r>
              <w:t xml:space="preserve">b</w:t>
            </w:r>
            <w:r>
              <w:t xml:space="preserve">’</w:t>
            </w:r>
            <w:r>
              <w:t xml:space="preserve"> </w:t>
            </w:r>
            <w:r>
              <w:t xml:space="preserve">suffix is appended.</w:t>
            </w:r>
          </w:p>
        </w:tc>
      </w:tr>
      <w:tr>
        <w:tc>
          <w:tcPr/>
          <w:p>
            <w:pPr>
              <w:pStyle w:val="Compact"/>
              <w:jc w:val="left"/>
            </w:pPr>
            <w:r>
              <w:t xml:space="preserve">kazama_location</w:t>
            </w:r>
          </w:p>
        </w:tc>
        <w:tc>
          <w:tcPr/>
          <w:p>
            <w:pPr>
              <w:pStyle w:val="Compact"/>
              <w:jc w:val="left"/>
            </w:pPr>
            <w:r>
              <w:t xml:space="preserve">An ID indicating K + Volume (2 digits) + Kazama Edition Page (3 digits) + Line (1 digit) + Segment (1 digit) + Character order (字順,</w:t>
            </w:r>
            <w:r>
              <w:t xml:space="preserve"> </w:t>
            </w:r>
            <w:r>
              <w:rPr>
                <w:iCs/>
                <w:i/>
              </w:rPr>
              <w:t xml:space="preserve">jijun</w:t>
            </w:r>
            <w:r>
              <w:t xml:space="preserve">) (1 digit). Details of the rules for assigning Character order are defined separately.</w:t>
            </w:r>
          </w:p>
        </w:tc>
      </w:tr>
      <w:tr>
        <w:tc>
          <w:tcPr/>
          <w:p>
            <w:pPr>
              <w:pStyle w:val="Compact"/>
              <w:jc w:val="left"/>
            </w:pPr>
            <w:r>
              <w:t xml:space="preserve">tenri_location</w:t>
            </w:r>
          </w:p>
        </w:tc>
        <w:tc>
          <w:tcPr/>
          <w:p>
            <w:pPr>
              <w:pStyle w:val="Compact"/>
              <w:jc w:val="left"/>
            </w:pPr>
            <w:r>
              <w:t xml:space="preserve">An ID indicating T + Volume (a/b/c) + Tenri Edition Page (3 digits) + Line (1 digit) + Segment (1 digit) + Character order (字順,</w:t>
            </w:r>
            <w:r>
              <w:t xml:space="preserve"> </w:t>
            </w:r>
            <w:r>
              <w:rPr>
                <w:iCs/>
                <w:i/>
              </w:rPr>
              <w:t xml:space="preserve">jijun</w:t>
            </w:r>
            <w:r>
              <w:t xml:space="preserve">) (1 digit). Details of the rules for assigning Character order are defined separately.</w:t>
            </w:r>
          </w:p>
        </w:tc>
      </w:tr>
      <w:tr>
        <w:tc>
          <w:tcPr/>
          <w:p>
            <w:pPr>
              <w:pStyle w:val="Compact"/>
              <w:jc w:val="left"/>
            </w:pPr>
            <w:r>
              <w:t xml:space="preserve">volume_name</w:t>
            </w:r>
          </w:p>
        </w:tc>
        <w:tc>
          <w:tcPr/>
          <w:p>
            <w:pPr>
              <w:pStyle w:val="Compact"/>
              <w:jc w:val="left"/>
            </w:pPr>
            <w:r>
              <w:t xml:space="preserve">Name of the volume, consisting of 10 volumes: 仏上, 仏中, 仏下本, 仏下末, 法上, 法中, 法下, 僧上, 僧中, and 僧下.</w:t>
            </w:r>
          </w:p>
        </w:tc>
      </w:tr>
      <w:tr>
        <w:tc>
          <w:tcPr/>
          <w:p>
            <w:pPr>
              <w:pStyle w:val="Compact"/>
              <w:jc w:val="left"/>
            </w:pPr>
            <w:r>
              <w:t xml:space="preserve">radical_name</w:t>
            </w:r>
          </w:p>
        </w:tc>
        <w:tc>
          <w:tcPr/>
          <w:p>
            <w:pPr>
              <w:pStyle w:val="Compact"/>
              <w:jc w:val="left"/>
            </w:pPr>
            <w:r>
              <w:t xml:space="preserve">Name of the radical, consisting of 120 radicals ranging from 人 to 雑, used to classify</w:t>
            </w:r>
            <w:r>
              <w:t xml:space="preserve"> </w:t>
            </w:r>
            <w:r>
              <w:rPr>
                <w:rStyle w:val="VerbatimChar"/>
                <w:bCs/>
                <w:b/>
              </w:rPr>
              <w:t xml:space="preserve">Hanzi (Chinese characters)</w:t>
            </w:r>
            <w:r>
              <w:t xml:space="preserve">.</w:t>
            </w:r>
          </w:p>
        </w:tc>
      </w:tr>
      <w:tr>
        <w:tc>
          <w:tcPr/>
          <w:p>
            <w:pPr>
              <w:pStyle w:val="Compact"/>
              <w:jc w:val="left"/>
            </w:pPr>
            <w:r>
              <w:t xml:space="preserve">volume_radical_index</w:t>
            </w:r>
          </w:p>
        </w:tc>
        <w:tc>
          <w:tcPr/>
          <w:p>
            <w:pPr>
              <w:pStyle w:val="Compact"/>
              <w:jc w:val="left"/>
            </w:pPr>
            <w:r>
              <w:t xml:space="preserve">Volume and radical number, ranging from v1#1 (Volume 1, Radical 1) to v10#120 (Volume 10, Radical 120), indicating the location of the</w:t>
            </w:r>
            <w:r>
              <w:t xml:space="preserve"> </w:t>
            </w:r>
            <w:r>
              <w:rPr>
                <w:rStyle w:val="VerbatimChar"/>
                <w:bCs/>
                <w:b/>
              </w:rPr>
              <w:t xml:space="preserve">Entry</w:t>
            </w:r>
            <w:r>
              <w:t xml:space="preserve"> </w:t>
            </w:r>
            <w:r>
              <w:t xml:space="preserve">within the text. (Corresponds to 第1帖仏上 to 第10帖僧下).</w:t>
            </w:r>
          </w:p>
        </w:tc>
      </w:tr>
      <w:tr>
        <w:tc>
          <w:tcPr/>
          <w:p>
            <w:pPr>
              <w:pStyle w:val="Compact"/>
              <w:jc w:val="left"/>
            </w:pPr>
            <w:r>
              <w:t xml:space="preserve">hanzi_entry</w:t>
            </w:r>
          </w:p>
        </w:tc>
        <w:tc>
          <w:tcPr/>
          <w:p>
            <w:pPr>
              <w:pStyle w:val="Compact"/>
              <w:jc w:val="left"/>
            </w:pPr>
            <w:r>
              <w:t xml:space="preserve">The collated</w:t>
            </w:r>
            <w:r>
              <w:t xml:space="preserve"> </w:t>
            </w:r>
            <w:r>
              <w:rPr>
                <w:rStyle w:val="VerbatimChar"/>
                <w:bCs/>
                <w:b/>
              </w:rPr>
              <w:t xml:space="preserve">Headword</w:t>
            </w:r>
            <w:r>
              <w:t xml:space="preserve"> </w:t>
            </w:r>
            <w:r>
              <w:t xml:space="preserve">(校訂漢字) principally uses Kangxi Dictionary form, including Unicode simplified</w:t>
            </w:r>
            <w:r>
              <w:t xml:space="preserve"> </w:t>
            </w:r>
            <w:r>
              <w:rPr>
                <w:bCs/>
                <w:b/>
              </w:rPr>
              <w:t xml:space="preserve">Chinese characters</w:t>
            </w:r>
            <w:r>
              <w:t xml:space="preserve"> </w:t>
            </w:r>
            <w:r>
              <w:t xml:space="preserve">(common-use forms, popular variants). For</w:t>
            </w:r>
            <w:r>
              <w:t xml:space="preserve"> </w:t>
            </w:r>
            <w:r>
              <w:rPr>
                <w:bCs/>
                <w:b/>
              </w:rPr>
              <w:t xml:space="preserve">Chinese characters</w:t>
            </w:r>
            <w:r>
              <w:t xml:space="preserve"> </w:t>
            </w:r>
            <w:r>
              <w:t xml:space="preserve">not included in Unicode, they are represented by the following methods: If representable by combining</w:t>
            </w:r>
            <w:r>
              <w:t xml:space="preserve"> </w:t>
            </w:r>
            <w:r>
              <w:rPr>
                <w:bCs/>
                <w:b/>
              </w:rPr>
              <w:t xml:space="preserve">Chinese character</w:t>
            </w:r>
            <w:r>
              <w:t xml:space="preserve"> </w:t>
            </w:r>
            <w:r>
              <w:t xml:space="preserve">components, input using IDS (Ideographic Description Sequence). For specific</w:t>
            </w:r>
            <w:r>
              <w:t xml:space="preserve"> </w:t>
            </w:r>
            <w:r>
              <w:rPr>
                <w:bCs/>
                <w:b/>
              </w:rPr>
              <w:t xml:space="preserve">Chinese characters</w:t>
            </w:r>
            <w:r>
              <w:t xml:space="preserve"> </w:t>
            </w:r>
            <w:r>
              <w:t xml:space="preserve">or their components, if representation by IDS or standard Unicode is difficult, use simplified notations based on the entity reference systems of CHISE and GlyphWiki (e.g., CDP-8C55, koseki-00001).</w:t>
            </w:r>
            <w:r>
              <w:t xml:space="preserve"> </w:t>
            </w:r>
            <w:r>
              <w:rPr>
                <w:bCs/>
                <w:b/>
              </w:rPr>
              <w:t xml:space="preserve">Chinese characters</w:t>
            </w:r>
            <w:r>
              <w:t xml:space="preserve"> </w:t>
            </w:r>
            <w:r>
              <w:t xml:space="preserve">not representable by any of the above methods, or characters unreadable in the original text (due to damage such as wormholes, etc.), are input as</w:t>
            </w:r>
            <w:r>
              <w:t xml:space="preserve"> </w:t>
            </w:r>
            <w:r>
              <w:t xml:space="preserve">‘</w:t>
            </w:r>
            <w:r>
              <w:t xml:space="preserve">■</w:t>
            </w:r>
            <w:r>
              <w:t xml:space="preserve">’</w:t>
            </w:r>
            <w:r>
              <w:t xml:space="preserve"> </w:t>
            </w:r>
            <w:r>
              <w:t xml:space="preserve">(black square).</w:t>
            </w:r>
            <w:r>
              <w:t xml:space="preserve"> </w:t>
            </w:r>
            <w:r>
              <w:rPr>
                <w:rStyle w:val="VerbatimChar"/>
                <w:bCs/>
                <w:b/>
              </w:rPr>
              <w:t xml:space="preserve">Headwords</w:t>
            </w:r>
            <w:r>
              <w:t xml:space="preserve"> </w:t>
            </w:r>
            <w:r>
              <w:t xml:space="preserve">consisting of multiple</w:t>
            </w:r>
            <w:r>
              <w:t xml:space="preserve"> </w:t>
            </w:r>
            <w:r>
              <w:rPr>
                <w:bCs/>
                <w:b/>
              </w:rPr>
              <w:t xml:space="preserve">Chinese characters</w:t>
            </w:r>
            <w:r>
              <w:t xml:space="preserve"> </w:t>
            </w:r>
            <w:r>
              <w:t xml:space="preserve">are separated by</w:t>
            </w:r>
            <w:r>
              <w:t xml:space="preserve"> </w:t>
            </w:r>
            <w:r>
              <w:t xml:space="preserve">‘</w:t>
            </w:r>
            <w:r>
              <w:t xml:space="preserve">／</w:t>
            </w:r>
            <w:r>
              <w:t xml:space="preserve">’</w:t>
            </w:r>
            <w:r>
              <w:t xml:space="preserve"> </w:t>
            </w:r>
            <w:r>
              <w:t xml:space="preserve">(full-width slash). The abbreviation symbol</w:t>
            </w:r>
            <w:r>
              <w:t xml:space="preserve"> </w:t>
            </w:r>
            <w:r>
              <w:t xml:space="preserve">‘</w:t>
            </w:r>
            <w:r>
              <w:t xml:space="preserve">｜</w:t>
            </w:r>
            <w:r>
              <w:t xml:space="preserve">’</w:t>
            </w:r>
            <w:r>
              <w:t xml:space="preserve"> </w:t>
            </w:r>
            <w:r>
              <w:t xml:space="preserve">is indicated by</w:t>
            </w:r>
            <w:r>
              <w:t xml:space="preserve"> </w:t>
            </w:r>
            <w:r>
              <w:t xml:space="preserve">‘</w:t>
            </w:r>
            <w:r>
              <w:t xml:space="preserve">ー</w:t>
            </w:r>
            <w:r>
              <w:t xml:space="preserve">’</w:t>
            </w:r>
            <w:r>
              <w:t xml:space="preserve"> </w:t>
            </w:r>
            <w:r>
              <w:t xml:space="preserve">(long vowel mark), and the corresponding character is appended in full-width parentheses ().</w:t>
            </w:r>
          </w:p>
        </w:tc>
      </w:tr>
      <w:tr>
        <w:tc>
          <w:tcPr/>
          <w:p>
            <w:pPr>
              <w:pStyle w:val="Compact"/>
              <w:jc w:val="left"/>
            </w:pPr>
            <w:r>
              <w:t xml:space="preserve">original_entry</w:t>
            </w:r>
          </w:p>
        </w:tc>
        <w:tc>
          <w:tcPr/>
          <w:p>
            <w:pPr>
              <w:pStyle w:val="Compact"/>
              <w:jc w:val="left"/>
            </w:pPr>
            <w:r>
              <w:rPr>
                <w:rStyle w:val="VerbatimChar"/>
                <w:bCs/>
                <w:b/>
              </w:rPr>
              <w:t xml:space="preserve">Headword</w:t>
            </w:r>
            <w:r>
              <w:t xml:space="preserve"> </w:t>
            </w:r>
            <w:r>
              <w:t xml:space="preserve">based on the original character form. Typographical errors in the original are preserved. The representation of</w:t>
            </w:r>
            <w:r>
              <w:t xml:space="preserve"> </w:t>
            </w:r>
            <w:r>
              <w:rPr>
                <w:bCs/>
                <w:b/>
              </w:rPr>
              <w:t xml:space="preserve">Chinese characters</w:t>
            </w:r>
            <w:r>
              <w:t xml:space="preserve"> </w:t>
            </w:r>
            <w:r>
              <w:t xml:space="preserve">outside Unicode follows the rules for</w:t>
            </w:r>
            <w:r>
              <w:t xml:space="preserve"> </w:t>
            </w:r>
            <w:r>
              <w:rPr>
                <w:rStyle w:val="VerbatimChar"/>
              </w:rPr>
              <w:t xml:space="preserve">hanzi_entry</w:t>
            </w:r>
            <w:r>
              <w:t xml:space="preserve">. If the original-form</w:t>
            </w:r>
            <w:r>
              <w:t xml:space="preserve"> </w:t>
            </w:r>
            <w:r>
              <w:rPr>
                <w:rStyle w:val="VerbatimChar"/>
                <w:bCs/>
                <w:b/>
              </w:rPr>
              <w:t xml:space="preserve">Headword</w:t>
            </w:r>
            <w:r>
              <w:t xml:space="preserve"> </w:t>
            </w:r>
            <w:r>
              <w:t xml:space="preserve">is not needed,</w:t>
            </w:r>
            <w:r>
              <w:t xml:space="preserve"> </w:t>
            </w:r>
            <w:r>
              <w:t xml:space="preserve">‘</w:t>
            </w:r>
            <w:r>
              <w:t xml:space="preserve">〇</w:t>
            </w:r>
            <w:r>
              <w:t xml:space="preserve">’</w:t>
            </w:r>
            <w:r>
              <w:t xml:space="preserve"> </w:t>
            </w:r>
            <w:r>
              <w:t xml:space="preserve">is used.</w:t>
            </w:r>
          </w:p>
        </w:tc>
      </w:tr>
      <w:tr>
        <w:tc>
          <w:tcPr/>
          <w:p>
            <w:pPr>
              <w:pStyle w:val="Compact"/>
              <w:jc w:val="left"/>
            </w:pPr>
            <w:r>
              <w:t xml:space="preserve">definition</w:t>
            </w:r>
          </w:p>
        </w:tc>
        <w:tc>
          <w:tcPr/>
          <w:p>
            <w:pPr>
              <w:pStyle w:val="Compact"/>
              <w:jc w:val="left"/>
            </w:pPr>
            <w:r>
              <w:t xml:space="preserve">The content of this</w:t>
            </w:r>
            <w:r>
              <w:t xml:space="preserve"> </w:t>
            </w:r>
            <w:r>
              <w:rPr>
                <w:rStyle w:val="VerbatimChar"/>
              </w:rPr>
              <w:t xml:space="preserve">definition</w:t>
            </w:r>
            <w:r>
              <w:t xml:space="preserve"> </w:t>
            </w:r>
            <w:r>
              <w:t xml:space="preserve">column represents the</w:t>
            </w:r>
            <w:r>
              <w:t xml:space="preserve"> </w:t>
            </w:r>
            <w:r>
              <w:rPr>
                <w:rStyle w:val="VerbatimChar"/>
                <w:bCs/>
                <w:b/>
              </w:rPr>
              <w:t xml:space="preserve">Definition (Original Glosses)</w:t>
            </w:r>
            <w:r>
              <w:t xml:space="preserve">. It includes</w:t>
            </w:r>
            <w:r>
              <w:t xml:space="preserve"> </w:t>
            </w:r>
            <w:r>
              <w:rPr>
                <w:rStyle w:val="VerbatimChar"/>
                <w:bCs/>
                <w:b/>
              </w:rPr>
              <w:t xml:space="preserve">Notes on Character Form</w:t>
            </w:r>
            <w:r>
              <w:t xml:space="preserve">,</w:t>
            </w:r>
            <w:r>
              <w:t xml:space="preserve"> </w:t>
            </w:r>
            <w:r>
              <w:rPr>
                <w:rStyle w:val="VerbatimChar"/>
                <w:bCs/>
                <w:b/>
              </w:rPr>
              <w:t xml:space="preserve">Phonetic Glosses</w:t>
            </w:r>
            <w:r>
              <w:t xml:space="preserve">,</w:t>
            </w:r>
            <w:r>
              <w:t xml:space="preserve"> </w:t>
            </w:r>
            <w:r>
              <w:rPr>
                <w:rStyle w:val="VerbatimChar"/>
                <w:bCs/>
                <w:b/>
              </w:rPr>
              <w:t xml:space="preserve">Semantic Glosses in Chinese</w:t>
            </w:r>
            <w:r>
              <w:t xml:space="preserve">,</w:t>
            </w:r>
            <w:r>
              <w:t xml:space="preserve"> </w:t>
            </w:r>
            <w:r>
              <w:rPr>
                <w:rStyle w:val="VerbatimChar"/>
                <w:bCs/>
                <w:b/>
              </w:rPr>
              <w:t xml:space="preserve">Japanese Native Readings (*wakun*)</w:t>
            </w:r>
            <w:r>
              <w:t xml:space="preserve">, and</w:t>
            </w:r>
            <w:r>
              <w:t xml:space="preserve"> </w:t>
            </w:r>
            <w:r>
              <w:rPr>
                <w:bCs/>
                <w:b/>
              </w:rPr>
              <w:t xml:space="preserve">Other</w:t>
            </w:r>
            <w:r>
              <w:t xml:space="preserve"> </w:t>
            </w:r>
            <w:r>
              <w:t xml:space="preserve">relevant information, separated by spaces. As a general rule, character forms included in the</w:t>
            </w:r>
            <w:r>
              <w:t xml:space="preserve"> </w:t>
            </w:r>
            <w:r>
              <w:t xml:space="preserve">“</w:t>
            </w:r>
            <w:r>
              <w:t xml:space="preserve">Kangxi Dictionary style</w:t>
            </w:r>
            <w:r>
              <w:t xml:space="preserve">”</w:t>
            </w:r>
            <w:r>
              <w:t xml:space="preserve"> </w:t>
            </w:r>
            <w:r>
              <w:t xml:space="preserve">should be used.</w:t>
            </w:r>
          </w:p>
        </w:tc>
      </w:tr>
    </w:tbl>
    <w:bookmarkEnd w:id="72"/>
    <w:bookmarkEnd w:id="73"/>
    <w:bookmarkEnd w:id="74"/>
    <w:bookmarkStart w:id="85" w:name="X6db7b83dddb79ed346d337e8fbd3e3a865379a3"/>
    <w:bookmarkStart w:id="84" w:name="X82ea6afa50d9b593a89a411c33bf8ae5a994a7b"/>
    <w:p>
      <w:pPr>
        <w:pStyle w:val="Heading1"/>
      </w:pPr>
      <w:r>
        <w:rPr>
          <w:rStyle w:val="SectionNumber"/>
        </w:rPr>
        <w:t xml:space="preserve">4</w:t>
      </w:r>
      <w:r>
        <w:tab/>
      </w:r>
      <w:r>
        <w:t xml:space="preserve">krm_notes</w:t>
      </w:r>
    </w:p>
    <w:bookmarkStart w:id="75" w:name="Xc2404910fde50964a8ce3df04109cd50a54486e"/>
    <w:p>
      <w:pPr>
        <w:pStyle w:val="Heading2"/>
      </w:pPr>
      <w:r>
        <w:rPr>
          <w:rStyle w:val="SectionNumber"/>
        </w:rPr>
        <w:t xml:space="preserve">4.1</w:t>
      </w:r>
      <w:r>
        <w:tab/>
      </w:r>
      <w:r>
        <w:t xml:space="preserve">Overview and file formats</w:t>
      </w:r>
    </w:p>
    <w:p>
      <w:pPr>
        <w:pStyle w:val="FirstParagraph"/>
      </w:pPr>
      <w:r>
        <w:t xml:space="preserve">A new file,</w:t>
      </w:r>
      <w:r>
        <w:t xml:space="preserve"> </w:t>
      </w:r>
      <w:r>
        <w:rPr>
          <w:rStyle w:val="VerbatimChar"/>
        </w:rPr>
        <w:t xml:space="preserve">krm_notes.tsv</w:t>
      </w:r>
      <w:r>
        <w:t xml:space="preserve">, has been created, containing detailed annotation information added to the</w:t>
      </w:r>
      <w:r>
        <w:t xml:space="preserve"> </w:t>
      </w:r>
      <w:r>
        <w:rPr>
          <w:rStyle w:val="VerbatimChar"/>
        </w:rPr>
        <w:t xml:space="preserve">KRM_definitions.tsv</w:t>
      </w:r>
      <w:r>
        <w:t xml:space="preserve"> </w:t>
      </w:r>
      <w:r>
        <w:t xml:space="preserve">file.</w:t>
      </w:r>
    </w:p>
    <w:p>
      <w:pPr>
        <w:pStyle w:val="BodyText"/>
      </w:pPr>
      <w:r>
        <w:t xml:space="preserve">This is available in both TSV and JSON formats. To explicitly indicate that these are the filenames after the specification change in March 2025, lowercase</w:t>
      </w:r>
      <w:r>
        <w:t xml:space="preserve"> </w:t>
      </w:r>
      <w:r>
        <w:t xml:space="preserve">“</w:t>
      </w:r>
      <w:r>
        <w:t xml:space="preserve">krm</w:t>
      </w:r>
      <w:r>
        <w:t xml:space="preserve">”</w:t>
      </w:r>
      <w:r>
        <w:t xml:space="preserve"> </w:t>
      </w:r>
      <w:r>
        <w:t xml:space="preserve">was used instead of uppercase</w:t>
      </w:r>
      <w:r>
        <w:t xml:space="preserve"> </w:t>
      </w:r>
      <w:r>
        <w:t xml:space="preserve">“</w:t>
      </w:r>
      <w:r>
        <w:t xml:space="preserve">KRM,</w:t>
      </w:r>
      <w:r>
        <w:t xml:space="preserve">”</w:t>
      </w:r>
      <w:r>
        <w:t xml:space="preserve"> </w:t>
      </w:r>
      <w:r>
        <w:t xml:space="preserve">resulting in the names</w:t>
      </w:r>
      <w:r>
        <w:t xml:space="preserve"> </w:t>
      </w:r>
      <w:r>
        <w:rPr>
          <w:rStyle w:val="VerbatimChar"/>
        </w:rPr>
        <w:t xml:space="preserve">krm_notes.tsv</w:t>
      </w:r>
      <w:r>
        <w:t xml:space="preserve"> </w:t>
      </w:r>
      <w:r>
        <w:t xml:space="preserve">and</w:t>
      </w:r>
      <w:r>
        <w:t xml:space="preserve"> </w:t>
      </w:r>
      <w:r>
        <w:rPr>
          <w:rStyle w:val="VerbatimChar"/>
        </w:rPr>
        <w:t xml:space="preserve">krm_notes.json</w:t>
      </w:r>
      <w:r>
        <w:t xml:space="preserve">.</w:t>
      </w:r>
    </w:p>
    <w:bookmarkEnd w:id="75"/>
    <w:bookmarkStart w:id="78" w:name="X3aa8cbaa0d468bba2aa282812ab51136069a291"/>
    <w:p>
      <w:pPr>
        <w:pStyle w:val="Heading2"/>
      </w:pPr>
      <w:r>
        <w:rPr>
          <w:rStyle w:val="SectionNumber"/>
        </w:rPr>
        <w:t xml:space="preserve">4.2</w:t>
      </w:r>
      <w:r>
        <w:tab/>
      </w:r>
      <w:r>
        <w:t xml:space="preserve">Column name comparison</w:t>
      </w:r>
    </w:p>
    <w:p>
      <w:pPr>
        <w:pStyle w:val="FirstParagraph"/>
      </w:pPr>
      <w:r>
        <w:t xml:space="preserve">This section compares the column names in the new</w:t>
      </w:r>
      <w:r>
        <w:t xml:space="preserve"> </w:t>
      </w:r>
      <w:r>
        <w:rPr>
          <w:rStyle w:val="VerbatimChar"/>
        </w:rPr>
        <w:t xml:space="preserve">krm_notes.tsv</w:t>
      </w:r>
      <w:r>
        <w:t xml:space="preserve"> </w:t>
      </w:r>
      <w:r>
        <w:t xml:space="preserve">(v1.2.6) with those in the previous files it replaces or incorporates data from.</w:t>
      </w:r>
    </w:p>
    <w:bookmarkStart w:id="76" w:name="X09a54a57e196920c10c0048519dba5db9809f4e"/>
    <w:p>
      <w:pPr>
        <w:pStyle w:val="Heading3"/>
      </w:pPr>
      <w:r>
        <w:rPr>
          <w:rStyle w:val="SectionNumber"/>
        </w:rPr>
        <w:t xml:space="preserve">4.2.1</w:t>
      </w:r>
      <w:r>
        <w:tab/>
      </w:r>
      <w:r>
        <w:t xml:space="preserve">Comparison with KRM_definitions.tsv (v1.1.55)</w:t>
      </w:r>
    </w:p>
    <w:p>
      <w:pPr>
        <w:pStyle w:val="FirstParagraph"/>
      </w:pPr>
      <w:r>
        <w:t xml:space="preserve">The following table shows the correspondence between columns primarily related to definition details derived from the previous definitions file:</w:t>
      </w:r>
    </w:p>
    <w:tbl>
      <w:tblPr>
        <w:tblStyle w:val="Table"/>
        <w:tblW w:type="pct" w:w="5000"/>
        <w:tblLook w:firstRow="1" w:lastRow="0" w:firstColumn="0" w:lastColumn="0" w:noHBand="0" w:noVBand="0" w:val="0020"/>
        <w:jc w:val="start"/>
      </w:tblPr>
      <w:tblGrid>
        <w:gridCol w:w="3813"/>
        <w:gridCol w:w="4106"/>
      </w:tblGrid>
      <w:tr>
        <w:trPr>
          <w:tblHeader w:val="true"/>
        </w:trPr>
        <w:tc>
          <w:tcPr/>
          <w:p>
            <w:pPr>
              <w:pStyle w:val="Compact"/>
              <w:jc w:val="left"/>
            </w:pPr>
            <w:r>
              <w:t xml:space="preserve">New Column Name (krm_notes v1.2.6)</w:t>
            </w:r>
          </w:p>
        </w:tc>
        <w:tc>
          <w:tcPr/>
          <w:p>
            <w:pPr>
              <w:pStyle w:val="Compact"/>
              <w:jc w:val="left"/>
            </w:pPr>
            <w:r>
              <w:t xml:space="preserve">Old Column Name (KRM_definitions v1.1.55)</w:t>
            </w:r>
          </w:p>
        </w:tc>
      </w:tr>
      <w:tr>
        <w:tc>
          <w:tcPr/>
          <w:p>
            <w:pPr>
              <w:pStyle w:val="Compact"/>
              <w:jc w:val="left"/>
            </w:pPr>
            <w:r>
              <w:t xml:space="preserve">definition_seq_id</w:t>
            </w:r>
          </w:p>
        </w:tc>
        <w:tc>
          <w:tcPr/>
          <w:p>
            <w:pPr>
              <w:pStyle w:val="Compact"/>
              <w:jc w:val="left"/>
            </w:pPr>
            <w:r>
              <w:t xml:space="preserve">KRID_no</w:t>
            </w:r>
          </w:p>
        </w:tc>
      </w:tr>
      <w:tr>
        <w:tc>
          <w:tcPr/>
          <w:p>
            <w:pPr>
              <w:pStyle w:val="Compact"/>
              <w:jc w:val="left"/>
            </w:pPr>
            <w:r>
              <w:t xml:space="preserve">kazama_location</w:t>
            </w:r>
          </w:p>
        </w:tc>
        <w:tc>
          <w:tcPr/>
          <w:p>
            <w:pPr>
              <w:pStyle w:val="Compact"/>
              <w:jc w:val="left"/>
            </w:pPr>
            <w:r>
              <w:t xml:space="preserve">KRID</w:t>
            </w:r>
          </w:p>
        </w:tc>
      </w:tr>
      <w:tr>
        <w:tc>
          <w:tcPr/>
          <w:p>
            <w:pPr>
              <w:pStyle w:val="Compact"/>
              <w:jc w:val="left"/>
            </w:pPr>
            <w:r>
              <w:t xml:space="preserve">hanzi_entry</w:t>
            </w:r>
          </w:p>
        </w:tc>
        <w:tc>
          <w:tcPr/>
          <w:p>
            <w:pPr>
              <w:pStyle w:val="Compact"/>
              <w:jc w:val="left"/>
            </w:pPr>
            <w:r>
              <w:t xml:space="preserve">Entry</w:t>
            </w:r>
          </w:p>
        </w:tc>
      </w:tr>
      <w:tr>
        <w:tc>
          <w:tcPr/>
          <w:p>
            <w:pPr>
              <w:pStyle w:val="Compact"/>
              <w:jc w:val="left"/>
            </w:pPr>
            <w:r>
              <w:t xml:space="preserve">definition_elements</w:t>
            </w:r>
          </w:p>
        </w:tc>
        <w:tc>
          <w:tcPr/>
          <w:p>
            <w:pPr>
              <w:pStyle w:val="Compact"/>
              <w:jc w:val="left"/>
            </w:pPr>
            <w:r>
              <w:t xml:space="preserve">Def</w:t>
            </w:r>
          </w:p>
        </w:tc>
      </w:tr>
      <w:tr>
        <w:tc>
          <w:tcPr/>
          <w:p>
            <w:pPr>
              <w:pStyle w:val="Compact"/>
              <w:jc w:val="left"/>
            </w:pPr>
            <w:r>
              <w:t xml:space="preserve">definition_type_code</w:t>
            </w:r>
          </w:p>
        </w:tc>
        <w:tc>
          <w:tcPr/>
          <w:p>
            <w:pPr>
              <w:pStyle w:val="Compact"/>
              <w:jc w:val="left"/>
            </w:pPr>
            <w:r>
              <w:t xml:space="preserve">Def_code</w:t>
            </w:r>
          </w:p>
        </w:tc>
      </w:tr>
      <w:tr>
        <w:tc>
          <w:tcPr/>
          <w:p>
            <w:pPr>
              <w:pStyle w:val="Compact"/>
              <w:jc w:val="left"/>
            </w:pPr>
            <w:r>
              <w:t xml:space="preserve">definition_type_name</w:t>
            </w:r>
          </w:p>
        </w:tc>
        <w:tc>
          <w:tcPr/>
          <w:p>
            <w:pPr>
              <w:pStyle w:val="Compact"/>
              <w:jc w:val="left"/>
            </w:pPr>
            <w:r>
              <w:t xml:space="preserve">Def_name</w:t>
            </w:r>
          </w:p>
        </w:tc>
      </w:tr>
      <w:tr>
        <w:tc>
          <w:tcPr/>
          <w:p>
            <w:pPr>
              <w:pStyle w:val="Compact"/>
              <w:jc w:val="left"/>
            </w:pPr>
            <w:r>
              <w:t xml:space="preserve">remarks</w:t>
            </w:r>
          </w:p>
        </w:tc>
        <w:tc>
          <w:tcPr/>
          <w:p>
            <w:pPr>
              <w:pStyle w:val="Compact"/>
              <w:jc w:val="left"/>
            </w:pPr>
            <w:r>
              <w:t xml:space="preserve">Remarks</w:t>
            </w:r>
          </w:p>
        </w:tc>
      </w:tr>
    </w:tbl>
    <w:bookmarkEnd w:id="76"/>
    <w:bookmarkStart w:id="77" w:name="X5db60378a47aee5b9bb029ce56c999f1257db1c"/>
    <w:p>
      <w:pPr>
        <w:pStyle w:val="Heading3"/>
      </w:pPr>
      <w:r>
        <w:rPr>
          <w:rStyle w:val="SectionNumber"/>
        </w:rPr>
        <w:t xml:space="preserve">4.2.2</w:t>
      </w:r>
      <w:r>
        <w:tab/>
      </w:r>
      <w:r>
        <w:t xml:space="preserve">Incorporation of KRM.tsv (v1.1.347) content</w:t>
      </w:r>
    </w:p>
    <w:p>
      <w:pPr>
        <w:pStyle w:val="FirstParagraph"/>
      </w:pPr>
      <w:r>
        <w:t xml:space="preserve">The new</w:t>
      </w:r>
      <w:r>
        <w:t xml:space="preserve"> </w:t>
      </w:r>
      <w:r>
        <w:rPr>
          <w:rStyle w:val="VerbatimChar"/>
        </w:rPr>
        <w:t xml:space="preserve">krm_notes.tsv</w:t>
      </w:r>
      <w:r>
        <w:t xml:space="preserve"> </w:t>
      </w:r>
      <w:r>
        <w:t xml:space="preserve">also incorporates information previously stored in</w:t>
      </w:r>
      <w:r>
        <w:t xml:space="preserve"> </w:t>
      </w:r>
      <w:r>
        <w:rPr>
          <w:rStyle w:val="VerbatimChar"/>
        </w:rPr>
        <w:t xml:space="preserve">KRM.tsv</w:t>
      </w:r>
      <w:r>
        <w:t xml:space="preserve">. The corresponding column names are compared below: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New Column Name (krm_notes v1.2.6)</w:t>
            </w:r>
          </w:p>
        </w:tc>
        <w:tc>
          <w:tcPr/>
          <w:p>
            <w:pPr>
              <w:pStyle w:val="Compact"/>
              <w:jc w:val="left"/>
            </w:pPr>
            <w:r>
              <w:t xml:space="preserve">Old Column Name (KRM v1.1.347)</w:t>
            </w:r>
          </w:p>
        </w:tc>
      </w:tr>
      <w:tr>
        <w:tc>
          <w:tcPr/>
          <w:p>
            <w:pPr>
              <w:pStyle w:val="Compact"/>
              <w:jc w:val="left"/>
            </w:pPr>
            <w:r>
              <w:t xml:space="preserve">entry_id</w:t>
            </w:r>
          </w:p>
        </w:tc>
        <w:tc>
          <w:tcPr/>
          <w:p>
            <w:pPr>
              <w:pStyle w:val="Compact"/>
              <w:jc w:val="left"/>
            </w:pPr>
            <w:r>
              <w:t xml:space="preserve">KRID_n</w:t>
            </w:r>
          </w:p>
        </w:tc>
      </w:tr>
      <w:tr>
        <w:tc>
          <w:tcPr/>
          <w:p>
            <w:pPr>
              <w:pStyle w:val="Compact"/>
              <w:jc w:val="left"/>
            </w:pPr>
            <w:r>
              <w:t xml:space="preserve">tenri_location</w:t>
            </w:r>
          </w:p>
        </w:tc>
        <w:tc>
          <w:tcPr/>
          <w:p>
            <w:pPr>
              <w:pStyle w:val="Compact"/>
              <w:jc w:val="left"/>
            </w:pPr>
            <w:r>
              <w:t xml:space="preserve">KR_Tenri_p</w:t>
            </w:r>
          </w:p>
        </w:tc>
      </w:tr>
      <w:tr>
        <w:tc>
          <w:tcPr/>
          <w:p>
            <w:pPr>
              <w:pStyle w:val="Compact"/>
              <w:jc w:val="left"/>
            </w:pPr>
            <w:r>
              <w:t xml:space="preserve">volume_name</w:t>
            </w:r>
          </w:p>
        </w:tc>
        <w:tc>
          <w:tcPr/>
          <w:p>
            <w:pPr>
              <w:pStyle w:val="Compact"/>
              <w:jc w:val="left"/>
            </w:pPr>
            <w:r>
              <w:t xml:space="preserve">KR_vol_name</w:t>
            </w:r>
          </w:p>
        </w:tc>
      </w:tr>
      <w:tr>
        <w:tc>
          <w:tcPr/>
          <w:p>
            <w:pPr>
              <w:pStyle w:val="Compact"/>
              <w:jc w:val="left"/>
            </w:pPr>
            <w:r>
              <w:t xml:space="preserve">radical_name</w:t>
            </w:r>
          </w:p>
        </w:tc>
        <w:tc>
          <w:tcPr/>
          <w:p>
            <w:pPr>
              <w:pStyle w:val="Compact"/>
              <w:jc w:val="left"/>
            </w:pPr>
            <w:r>
              <w:t xml:space="preserve">KR_radical</w:t>
            </w:r>
          </w:p>
        </w:tc>
      </w:tr>
      <w:tr>
        <w:tc>
          <w:tcPr/>
          <w:p>
            <w:pPr>
              <w:pStyle w:val="Compact"/>
              <w:jc w:val="left"/>
            </w:pPr>
            <w:r>
              <w:t xml:space="preserve">volume_radical_index</w:t>
            </w:r>
          </w:p>
        </w:tc>
        <w:tc>
          <w:tcPr/>
          <w:p>
            <w:pPr>
              <w:pStyle w:val="Compact"/>
              <w:jc w:val="left"/>
            </w:pPr>
            <w:r>
              <w:t xml:space="preserve">KR_vol_radical</w:t>
            </w:r>
          </w:p>
        </w:tc>
      </w:tr>
      <w:tr>
        <w:tc>
          <w:tcPr/>
          <w:p>
            <w:pPr>
              <w:pStyle w:val="Compact"/>
              <w:jc w:val="left"/>
            </w:pPr>
            <w:r>
              <w:t xml:space="preserve">original_entry</w:t>
            </w:r>
          </w:p>
        </w:tc>
        <w:tc>
          <w:tcPr/>
          <w:p>
            <w:pPr>
              <w:pStyle w:val="Compact"/>
              <w:jc w:val="left"/>
            </w:pPr>
            <w:r>
              <w:t xml:space="preserve">Entry_original</w:t>
            </w:r>
          </w:p>
        </w:tc>
      </w:tr>
    </w:tbl>
    <w:bookmarkEnd w:id="77"/>
    <w:bookmarkEnd w:id="78"/>
    <w:bookmarkStart w:id="81" w:name="X44a6109509bab546185f8d504dc86da46d09394"/>
    <w:p>
      <w:pPr>
        <w:pStyle w:val="Heading2"/>
      </w:pPr>
      <w:r>
        <w:rPr>
          <w:rStyle w:val="SectionNumber"/>
        </w:rPr>
        <w:t xml:space="preserve">4.3</w:t>
      </w:r>
      <w:r>
        <w:tab/>
      </w:r>
      <w:r>
        <w:t xml:space="preserve">Data Structure: ER Diagram and JSON Implementation</w:t>
      </w:r>
    </w:p>
    <w:p>
      <w:pPr>
        <w:pStyle w:val="FirstParagraph"/>
      </w:pPr>
      <w:r>
        <w:t xml:space="preserve">The JSON representation of</w:t>
      </w:r>
      <w:r>
        <w:t xml:space="preserve"> </w:t>
      </w:r>
      <w:r>
        <w:rPr>
          <w:rStyle w:val="VerbatimChar"/>
        </w:rPr>
        <w:t xml:space="preserve">krm_notes</w:t>
      </w:r>
      <w:r>
        <w:t xml:space="preserve"> </w:t>
      </w:r>
      <w:r>
        <w:t xml:space="preserve">utilizes a nested format, as detailed below.</w:t>
      </w:r>
    </w:p>
    <w:p>
      <w:pPr>
        <w:pStyle w:val="CaptionedFigure"/>
      </w:pPr>
      <w:r>
        <w:drawing>
          <wp:inline>
            <wp:extent cx="5397500" cy="2607348"/>
            <wp:effectExtent b="0" l="0" r="0" t="0"/>
            <wp:docPr descr="ER_notes diagram" title="" id="79" name="Picture"/>
            <a:graphic>
              <a:graphicData uri="http://schemas.openxmlformats.org/drawingml/2006/picture">
                <pic:pic>
                  <pic:nvPicPr>
                    <pic:cNvPr descr="images/krm_notes_er.drawio.png" id="80" name="Picture"/>
                    <pic:cNvPicPr>
                      <a:picLocks noChangeArrowheads="1" noChangeAspect="1"/>
                    </pic:cNvPicPr>
                  </pic:nvPicPr>
                  <pic:blipFill>
                    <a:blip r:embed="rId60"/>
                    <a:stretch>
                      <a:fillRect/>
                    </a:stretch>
                  </pic:blipFill>
                  <pic:spPr bwMode="auto">
                    <a:xfrm>
                      <a:off x="0" y="0"/>
                      <a:ext cx="5397500" cy="2607348"/>
                    </a:xfrm>
                    <a:prstGeom prst="rect">
                      <a:avLst/>
                    </a:prstGeom>
                    <a:noFill/>
                    <a:ln w="9525">
                      <a:noFill/>
                      <a:headEnd/>
                      <a:tailEnd/>
                    </a:ln>
                  </pic:spPr>
                </pic:pic>
              </a:graphicData>
            </a:graphic>
          </wp:inline>
        </w:drawing>
      </w:r>
    </w:p>
    <w:p>
      <w:pPr>
        <w:pStyle w:val="ImageCaption"/>
      </w:pPr>
      <w:r>
        <w:t xml:space="preserve">ER_notes diagram</w:t>
      </w:r>
    </w:p>
    <w:p>
      <w:pPr>
        <w:pStyle w:val="BodyText"/>
      </w:pPr>
      <w:r>
        <w:t xml:space="preserve">In the</w:t>
      </w:r>
      <w:r>
        <w:t xml:space="preserve"> </w:t>
      </w:r>
      <w:r>
        <w:rPr>
          <w:bCs/>
          <w:b/>
        </w:rPr>
        <w:t xml:space="preserve">ER diagram</w:t>
      </w:r>
      <w:r>
        <w:t xml:space="preserve">, the</w:t>
      </w:r>
      <w:r>
        <w:t xml:space="preserve"> </w:t>
      </w:r>
      <w:r>
        <w:rPr>
          <w:rStyle w:val="VerbatimChar"/>
        </w:rPr>
        <w:t xml:space="preserve">krm_notes</w:t>
      </w:r>
      <w:r>
        <w:t xml:space="preserve"> </w:t>
      </w:r>
      <w:r>
        <w:t xml:space="preserve">table is shown as a child table linked to</w:t>
      </w:r>
      <w:r>
        <w:t xml:space="preserve"> </w:t>
      </w:r>
      <w:r>
        <w:rPr>
          <w:rStyle w:val="VerbatimChar"/>
        </w:rPr>
        <w:t xml:space="preserve">krm_main</w:t>
      </w:r>
      <w:r>
        <w:t xml:space="preserve"> </w:t>
      </w:r>
      <w:r>
        <w:t xml:space="preserve">(as detailed in the</w:t>
      </w:r>
      <w:r>
        <w:t xml:space="preserve"> </w:t>
      </w:r>
      <w:hyperlink r:id="rId47">
        <w:r>
          <w:rPr>
            <w:rStyle w:val="Hyperlink"/>
          </w:rPr>
          <w:t xml:space="preserve">krm_main section</w:t>
        </w:r>
      </w:hyperlink>
      <w:r>
        <w:t xml:space="preserve">) by</w:t>
      </w:r>
      <w:r>
        <w:t xml:space="preserve"> </w:t>
      </w:r>
      <w:r>
        <w:rPr>
          <w:rStyle w:val="VerbatimChar"/>
        </w:rPr>
        <w:t xml:space="preserve">entry_id</w:t>
      </w:r>
      <w:r>
        <w:t xml:space="preserve">. However, in the</w:t>
      </w:r>
      <w:r>
        <w:t xml:space="preserve"> </w:t>
      </w:r>
      <w:r>
        <w:rPr>
          <w:bCs/>
          <w:b/>
        </w:rPr>
        <w:t xml:space="preserve">actual JSON data</w:t>
      </w:r>
      <w:r>
        <w:t xml:space="preserve">, the equivalent of the</w:t>
      </w:r>
      <w:r>
        <w:t xml:space="preserve"> </w:t>
      </w:r>
      <w:r>
        <w:rPr>
          <w:rStyle w:val="VerbatimChar"/>
        </w:rPr>
        <w:t xml:space="preserve">krm_notes</w:t>
      </w:r>
      <w:r>
        <w:t xml:space="preserve"> </w:t>
      </w:r>
      <w:r>
        <w:t xml:space="preserve">table is not flat: instead, it is implemented as a</w:t>
      </w:r>
      <w:r>
        <w:t xml:space="preserve"> </w:t>
      </w:r>
      <w:r>
        <w:rPr>
          <w:bCs/>
          <w:b/>
        </w:rPr>
        <w:t xml:space="preserve">nested array of objects</w:t>
      </w:r>
      <w:r>
        <w:t xml:space="preserve"> </w:t>
      </w:r>
      <w:r>
        <w:t xml:space="preserve">under the key</w:t>
      </w:r>
      <w:r>
        <w:t xml:space="preserve"> </w:t>
      </w:r>
      <w:r>
        <w:rPr>
          <w:rStyle w:val="VerbatimChar"/>
        </w:rPr>
        <w:t xml:space="preserve">"definitions"</w:t>
      </w:r>
      <w:r>
        <w:t xml:space="preserve"> </w:t>
      </w:r>
      <w:r>
        <w:t xml:space="preserve">within each top-level record (referred to as a</w:t>
      </w:r>
      <w:r>
        <w:t xml:space="preserve"> </w:t>
      </w:r>
      <w:r>
        <w:rPr>
          <w:rStyle w:val="VerbatimChar"/>
        </w:rPr>
        <w:t xml:space="preserve">krm_main</w:t>
      </w:r>
      <w:r>
        <w:t xml:space="preserve"> </w:t>
      </w:r>
      <w:r>
        <w:t xml:space="preserve">conceptual record).</w:t>
      </w:r>
    </w:p>
    <w:p>
      <w:pPr>
        <w:pStyle w:val="BodyText"/>
      </w:pPr>
      <w:r>
        <w:t xml:space="preserve">Each object inside the</w:t>
      </w:r>
      <w:r>
        <w:t xml:space="preserve"> </w:t>
      </w:r>
      <w:r>
        <w:rPr>
          <w:rStyle w:val="VerbatimChar"/>
        </w:rPr>
        <w:t xml:space="preserve">definitions</w:t>
      </w:r>
      <w:r>
        <w:t xml:space="preserve"> </w:t>
      </w:r>
      <w:r>
        <w:t xml:space="preserve">array corresponds to a definition note and contains the following fields:</w:t>
      </w:r>
    </w:p>
    <w:p>
      <w:pPr>
        <w:numPr>
          <w:ilvl w:val="0"/>
          <w:numId w:val="1097"/>
        </w:numPr>
        <w:pStyle w:val="Compact"/>
      </w:pPr>
      <w:r>
        <w:rPr>
          <w:rStyle w:val="VerbatimChar"/>
        </w:rPr>
        <w:t xml:space="preserve">definition_seq_id</w:t>
      </w:r>
    </w:p>
    <w:p>
      <w:pPr>
        <w:numPr>
          <w:ilvl w:val="0"/>
          <w:numId w:val="1097"/>
        </w:numPr>
        <w:pStyle w:val="Compact"/>
      </w:pPr>
      <w:r>
        <w:rPr>
          <w:rStyle w:val="VerbatimChar"/>
        </w:rPr>
        <w:t xml:space="preserve">definition_elements</w:t>
      </w:r>
    </w:p>
    <w:p>
      <w:pPr>
        <w:numPr>
          <w:ilvl w:val="0"/>
          <w:numId w:val="1097"/>
        </w:numPr>
        <w:pStyle w:val="Compact"/>
      </w:pPr>
      <w:r>
        <w:rPr>
          <w:rStyle w:val="VerbatimChar"/>
        </w:rPr>
        <w:t xml:space="preserve">definition_type_code</w:t>
      </w:r>
    </w:p>
    <w:p>
      <w:pPr>
        <w:numPr>
          <w:ilvl w:val="0"/>
          <w:numId w:val="1097"/>
        </w:numPr>
        <w:pStyle w:val="Compact"/>
      </w:pPr>
      <w:r>
        <w:rPr>
          <w:rStyle w:val="VerbatimChar"/>
        </w:rPr>
        <w:t xml:space="preserve">definition_type_name</w:t>
      </w:r>
    </w:p>
    <w:p>
      <w:pPr>
        <w:numPr>
          <w:ilvl w:val="0"/>
          <w:numId w:val="1097"/>
        </w:numPr>
        <w:pStyle w:val="Compact"/>
      </w:pPr>
      <w:r>
        <w:rPr>
          <w:rStyle w:val="VerbatimChar"/>
        </w:rPr>
        <w:t xml:space="preserve">remarks</w:t>
      </w:r>
    </w:p>
    <w:p>
      <w:pPr>
        <w:pStyle w:val="FirstParagraph"/>
      </w:pPr>
      <w:r>
        <w:t xml:space="preserve">This structure can be conceptually represented in the ER diagram as follows:</w:t>
      </w:r>
    </w:p>
    <w:p>
      <w:pPr>
        <w:numPr>
          <w:ilvl w:val="0"/>
          <w:numId w:val="1098"/>
        </w:numPr>
        <w:pStyle w:val="Compact"/>
      </w:pPr>
      <w:r>
        <w:t xml:space="preserve">The</w:t>
      </w:r>
      <w:r>
        <w:t xml:space="preserve"> </w:t>
      </w:r>
      <w:r>
        <w:rPr>
          <w:rStyle w:val="VerbatimChar"/>
          <w:bCs/>
          <w:b/>
        </w:rPr>
        <w:t xml:space="preserve">krm_main</w:t>
      </w:r>
      <w:r>
        <w:rPr>
          <w:bCs/>
          <w:b/>
        </w:rPr>
        <w:t xml:space="preserve"> </w:t>
      </w:r>
      <w:r>
        <w:rPr>
          <w:bCs/>
          <w:b/>
        </w:rPr>
        <w:t xml:space="preserve">table</w:t>
      </w:r>
      <w:r>
        <w:t xml:space="preserve"> </w:t>
      </w:r>
      <w:r>
        <w:t xml:space="preserve">has a</w:t>
      </w:r>
      <w:r>
        <w:t xml:space="preserve"> </w:t>
      </w:r>
      <w:r>
        <w:rPr>
          <w:bCs/>
          <w:b/>
        </w:rPr>
        <w:t xml:space="preserve">one-to-many relationship</w:t>
      </w:r>
      <w:r>
        <w:t xml:space="preserve"> </w:t>
      </w:r>
      <w:r>
        <w:t xml:space="preserve">with a conceptual</w:t>
      </w:r>
      <w:r>
        <w:t xml:space="preserve"> </w:t>
      </w:r>
      <w:r>
        <w:rPr>
          <w:rStyle w:val="VerbatimChar"/>
        </w:rPr>
        <w:t xml:space="preserve">definitions</w:t>
      </w:r>
      <w:r>
        <w:t xml:space="preserve"> </w:t>
      </w:r>
      <w:r>
        <w:t xml:space="preserve">or</w:t>
      </w:r>
      <w:r>
        <w:t xml:space="preserve"> </w:t>
      </w:r>
      <w:r>
        <w:rPr>
          <w:rStyle w:val="VerbatimChar"/>
        </w:rPr>
        <w:t xml:space="preserve">notes</w:t>
      </w:r>
      <w:r>
        <w:t xml:space="preserve"> </w:t>
      </w:r>
      <w:r>
        <w:t xml:space="preserve">table.</w:t>
      </w:r>
    </w:p>
    <w:p>
      <w:pPr>
        <w:numPr>
          <w:ilvl w:val="0"/>
          <w:numId w:val="1098"/>
        </w:numPr>
        <w:pStyle w:val="Compact"/>
      </w:pPr>
      <w:r>
        <w:t xml:space="preserve">In the JSON representation, the</w:t>
      </w:r>
      <w:r>
        <w:t xml:space="preserve"> </w:t>
      </w:r>
      <w:r>
        <w:rPr>
          <w:bCs/>
          <w:b/>
        </w:rPr>
        <w:t xml:space="preserve">definitions are embedded as an array of objects</w:t>
      </w:r>
      <w:r>
        <w:t xml:space="preserve"> </w:t>
      </w:r>
      <w:r>
        <w:t xml:space="preserve">within each</w:t>
      </w:r>
      <w:r>
        <w:t xml:space="preserve"> </w:t>
      </w:r>
      <w:r>
        <w:rPr>
          <w:rStyle w:val="VerbatimChar"/>
        </w:rPr>
        <w:t xml:space="preserve">krm_main</w:t>
      </w:r>
      <w:r>
        <w:t xml:space="preserve"> </w:t>
      </w:r>
      <w:r>
        <w:t xml:space="preserve">object, rather than being stored in a separate flat table.</w:t>
      </w:r>
    </w:p>
    <w:p>
      <w:pPr>
        <w:pStyle w:val="FirstParagraph"/>
      </w:pPr>
      <w:r>
        <w:rPr>
          <w:bCs/>
          <w:b/>
        </w:rPr>
        <w:t xml:space="preserve">Example JSON:</w:t>
      </w:r>
    </w:p>
    <w:p>
      <w:pPr>
        <w:pStyle w:val="SourceCode"/>
      </w:pPr>
      <w:r>
        <w:rPr>
          <w:rStyle w:val="VerbatimChar"/>
        </w:rPr>
        <w:t xml:space="preserve">{</w:t>
      </w:r>
      <w:r>
        <w:br/>
      </w:r>
      <w:r>
        <w:rPr>
          <w:rStyle w:val="VerbatimChar"/>
        </w:rPr>
        <w:t xml:space="preserve">  "entry_id": "F00001",</w:t>
      </w:r>
      <w:r>
        <w:br/>
      </w:r>
      <w:r>
        <w:rPr>
          <w:rStyle w:val="VerbatimChar"/>
        </w:rPr>
        <w:t xml:space="preserve">  ...</w:t>
      </w:r>
      <w:r>
        <w:br/>
      </w:r>
      <w:r>
        <w:rPr>
          <w:rStyle w:val="VerbatimChar"/>
        </w:rPr>
        <w:t xml:space="preserve">  "definitions": [</w:t>
      </w:r>
      <w:r>
        <w:br/>
      </w:r>
      <w:r>
        <w:rPr>
          <w:rStyle w:val="VerbatimChar"/>
        </w:rPr>
        <w:t xml:space="preserve">    {</w:t>
      </w:r>
      <w:r>
        <w:br/>
      </w:r>
      <w:r>
        <w:rPr>
          <w:rStyle w:val="VerbatimChar"/>
        </w:rPr>
        <w:t xml:space="preserve">      "definition_seq_id": "F00001_01",</w:t>
      </w:r>
      <w:r>
        <w:br/>
      </w:r>
      <w:r>
        <w:rPr>
          <w:rStyle w:val="VerbatimChar"/>
        </w:rPr>
        <w:t xml:space="preserve">      "definition_elements": "音仁（LV）「ニン」",</w:t>
      </w:r>
      <w:r>
        <w:br/>
      </w:r>
      <w:r>
        <w:rPr>
          <w:rStyle w:val="VerbatimChar"/>
        </w:rPr>
        <w:t xml:space="preserve">      "definition_type_code": 215,</w:t>
      </w:r>
      <w:r>
        <w:br/>
      </w:r>
      <w:r>
        <w:rPr>
          <w:rStyle w:val="VerbatimChar"/>
        </w:rPr>
        <w:t xml:space="preserve">      "definition_type_name": "音注声点有_類音注等",</w:t>
      </w:r>
      <w:r>
        <w:br/>
      </w:r>
      <w:r>
        <w:rPr>
          <w:rStyle w:val="VerbatimChar"/>
        </w:rPr>
        <w:t xml:space="preserve">      "remarks": "広韻「如鄰切」..."</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81"/>
    <w:bookmarkStart w:id="82" w:name="Xc4e69665330d1b681820d5d9b3bfabd2b8fa770"/>
    <w:p>
      <w:pPr>
        <w:pStyle w:val="Heading2"/>
      </w:pPr>
      <w:r>
        <w:rPr>
          <w:rStyle w:val="SectionNumber"/>
        </w:rPr>
        <w:t xml:space="preserve">4.4</w:t>
      </w:r>
      <w:r>
        <w:tab/>
      </w:r>
      <w:r>
        <w:t xml:space="preserve">Description of each column</w:t>
      </w:r>
    </w:p>
    <w:p>
      <w:pPr>
        <w:pStyle w:val="FirstParagraph"/>
      </w:pPr>
      <w:r>
        <w:t xml:space="preserve">Next, the content of the column names will be explained.</w:t>
      </w:r>
    </w:p>
    <w:tbl>
      <w:tblPr>
        <w:tblStyle w:val="Table"/>
        <w:tblW w:type="pct" w:w="5000"/>
        <w:tblLook w:firstRow="1" w:lastRow="0" w:firstColumn="0" w:lastColumn="0" w:noHBand="0" w:noVBand="0" w:val="0020"/>
        <w:jc w:val="start"/>
      </w:tblPr>
      <w:tblGrid>
        <w:gridCol w:w="2236"/>
        <w:gridCol w:w="5683"/>
      </w:tblGrid>
      <w:tr>
        <w:trPr>
          <w:tblHeader w:val="true"/>
        </w:trPr>
        <w:tc>
          <w:tcPr/>
          <w:p>
            <w:pPr>
              <w:pStyle w:val="Compact"/>
              <w:jc w:val="left"/>
            </w:pPr>
            <w:r>
              <w:t xml:space="preserve">New Column Name (v1.2.6)</w:t>
            </w:r>
          </w:p>
        </w:tc>
        <w:tc>
          <w:tcPr/>
          <w:p>
            <w:pPr>
              <w:pStyle w:val="Compact"/>
              <w:jc w:val="left"/>
            </w:pPr>
            <w:r>
              <w:t xml:space="preserve">English Explanation (Further Revised)</w:t>
            </w:r>
          </w:p>
        </w:tc>
      </w:tr>
      <w:tr>
        <w:tc>
          <w:tcPr/>
          <w:p>
            <w:pPr>
              <w:pStyle w:val="Compact"/>
              <w:jc w:val="left"/>
            </w:pPr>
            <w:r>
              <w:t xml:space="preserve">entry_id</w:t>
            </w:r>
          </w:p>
        </w:tc>
        <w:tc>
          <w:tcPr/>
          <w:p>
            <w:pPr>
              <w:pStyle w:val="Compact"/>
              <w:jc w:val="left"/>
            </w:pPr>
            <w:r>
              <w:t xml:space="preserve">A heading</w:t>
            </w:r>
            <w:r>
              <w:t xml:space="preserve"> </w:t>
            </w:r>
            <w:r>
              <w:rPr>
                <w:rStyle w:val="VerbatimChar"/>
                <w:bCs/>
                <w:b/>
              </w:rPr>
              <w:t xml:space="preserve">Entry</w:t>
            </w:r>
            <w:r>
              <w:t xml:space="preserve"> </w:t>
            </w:r>
            <w:r>
              <w:t xml:space="preserve">ID consisting of a 5-digit numeric ID starting with</w:t>
            </w:r>
            <w:r>
              <w:t xml:space="preserve"> </w:t>
            </w:r>
            <w:r>
              <w:t xml:space="preserve">‘</w:t>
            </w:r>
            <w:r>
              <w:t xml:space="preserve">F</w:t>
            </w:r>
            <w:r>
              <w:t xml:space="preserve">’</w:t>
            </w:r>
            <w:r>
              <w:t xml:space="preserve">. For some newly added</w:t>
            </w:r>
            <w:r>
              <w:t xml:space="preserve"> </w:t>
            </w:r>
            <w:r>
              <w:rPr>
                <w:rStyle w:val="VerbatimChar"/>
                <w:bCs/>
                <w:b/>
              </w:rPr>
              <w:t xml:space="preserve">Entries</w:t>
            </w:r>
            <w:r>
              <w:t xml:space="preserve">, a</w:t>
            </w:r>
            <w:r>
              <w:t xml:space="preserve"> </w:t>
            </w:r>
            <w:r>
              <w:t xml:space="preserve">‘</w:t>
            </w:r>
            <w:r>
              <w:t xml:space="preserve">b</w:t>
            </w:r>
            <w:r>
              <w:t xml:space="preserve">’</w:t>
            </w:r>
            <w:r>
              <w:t xml:space="preserve"> </w:t>
            </w:r>
            <w:r>
              <w:t xml:space="preserve">suffix is appended.</w:t>
            </w:r>
          </w:p>
        </w:tc>
      </w:tr>
      <w:tr>
        <w:tc>
          <w:tcPr/>
          <w:p>
            <w:pPr>
              <w:pStyle w:val="Compact"/>
              <w:jc w:val="left"/>
            </w:pPr>
            <w:r>
              <w:t xml:space="preserve">definition_seq_id</w:t>
            </w:r>
          </w:p>
        </w:tc>
        <w:tc>
          <w:tcPr/>
          <w:p>
            <w:pPr>
              <w:pStyle w:val="Compact"/>
              <w:jc w:val="left"/>
            </w:pPr>
            <w:r>
              <w:t xml:space="preserve">An identifier for each component of the</w:t>
            </w:r>
            <w:r>
              <w:t xml:space="preserve"> </w:t>
            </w:r>
            <w:r>
              <w:rPr>
                <w:rStyle w:val="VerbatimChar"/>
                <w:bCs/>
                <w:b/>
              </w:rPr>
              <w:t xml:space="preserve">Definition (Original Glosses)</w:t>
            </w:r>
            <w:r>
              <w:t xml:space="preserve"> </w:t>
            </w:r>
            <w:r>
              <w:t xml:space="preserve">or for the</w:t>
            </w:r>
            <w:r>
              <w:t xml:space="preserve"> </w:t>
            </w:r>
            <w:r>
              <w:rPr>
                <w:rStyle w:val="VerbatimChar"/>
                <w:bCs/>
                <w:b/>
              </w:rPr>
              <w:t xml:space="preserve">Headword</w:t>
            </w:r>
            <w:r>
              <w:t xml:space="preserve"> </w:t>
            </w:r>
            <w:r>
              <w:t xml:space="preserve">itself within an</w:t>
            </w:r>
            <w:r>
              <w:t xml:space="preserve"> </w:t>
            </w:r>
            <w:r>
              <w:rPr>
                <w:rStyle w:val="VerbatimChar"/>
                <w:bCs/>
                <w:b/>
              </w:rPr>
              <w:t xml:space="preserve">Entry</w:t>
            </w:r>
            <w:r>
              <w:t xml:space="preserve">. It is formed by appending a sequential suffix (e.g., “_00” for the</w:t>
            </w:r>
            <w:r>
              <w:t xml:space="preserve"> </w:t>
            </w:r>
            <w:r>
              <w:rPr>
                <w:rStyle w:val="VerbatimChar"/>
                <w:bCs/>
                <w:b/>
              </w:rPr>
              <w:t xml:space="preserve">Headword</w:t>
            </w:r>
            <w:r>
              <w:t xml:space="preserve"> </w:t>
            </w:r>
            <w:r>
              <w:t xml:space="preserve">or overall</w:t>
            </w:r>
            <w:r>
              <w:t xml:space="preserve"> </w:t>
            </w:r>
            <w:r>
              <w:rPr>
                <w:rStyle w:val="VerbatimChar"/>
                <w:bCs/>
                <w:b/>
              </w:rPr>
              <w:t xml:space="preserve">Entry</w:t>
            </w:r>
            <w:r>
              <w:t xml:space="preserve"> </w:t>
            </w:r>
            <w:r>
              <w:t xml:space="preserve">note, “_01”, “_02” for subsequent elements of the</w:t>
            </w:r>
            <w:r>
              <w:t xml:space="preserve"> </w:t>
            </w:r>
            <w:r>
              <w:rPr>
                <w:rStyle w:val="VerbatimChar"/>
                <w:bCs/>
                <w:b/>
              </w:rPr>
              <w:t xml:space="preserve">Definition (Original Glosses)</w:t>
            </w:r>
            <w:r>
              <w:t xml:space="preserve"> </w:t>
            </w:r>
            <w:r>
              <w:t xml:space="preserve">in order of appearance) to the 5-digit numeric part of the corresponding</w:t>
            </w:r>
            <w:r>
              <w:t xml:space="preserve"> </w:t>
            </w:r>
            <w:r>
              <w:rPr>
                <w:rStyle w:val="VerbatimChar"/>
              </w:rPr>
              <w:t xml:space="preserve">entry_id</w:t>
            </w:r>
            <w:r>
              <w:t xml:space="preserve">.</w:t>
            </w:r>
          </w:p>
        </w:tc>
      </w:tr>
      <w:tr>
        <w:tc>
          <w:tcPr/>
          <w:p>
            <w:pPr>
              <w:pStyle w:val="Compact"/>
              <w:jc w:val="left"/>
            </w:pPr>
            <w:r>
              <w:t xml:space="preserve">kazama_location</w:t>
            </w:r>
          </w:p>
        </w:tc>
        <w:tc>
          <w:tcPr/>
          <w:p>
            <w:pPr>
              <w:pStyle w:val="Compact"/>
              <w:jc w:val="left"/>
            </w:pPr>
            <w:r>
              <w:t xml:space="preserve">An ID indicating K + Volume (2 digits) + Kazama Edition Page (3 digits) + Line (1 digit) + Segment (1 digit) + Character order (字順,</w:t>
            </w:r>
            <w:r>
              <w:t xml:space="preserve"> </w:t>
            </w:r>
            <w:r>
              <w:rPr>
                <w:iCs/>
                <w:i/>
              </w:rPr>
              <w:t xml:space="preserve">jijun</w:t>
            </w:r>
            <w:r>
              <w:t xml:space="preserve">) (1 digit). Details of the rules for assigning Character order are defined separately.</w:t>
            </w:r>
          </w:p>
        </w:tc>
      </w:tr>
      <w:tr>
        <w:tc>
          <w:tcPr/>
          <w:p>
            <w:pPr>
              <w:pStyle w:val="Compact"/>
              <w:jc w:val="left"/>
            </w:pPr>
            <w:r>
              <w:t xml:space="preserve">tenri_location</w:t>
            </w:r>
          </w:p>
        </w:tc>
        <w:tc>
          <w:tcPr/>
          <w:p>
            <w:pPr>
              <w:pStyle w:val="Compact"/>
              <w:jc w:val="left"/>
            </w:pPr>
            <w:r>
              <w:t xml:space="preserve">An ID indicating T + Volume (a/b/c) + Tenri Edition Page (3 digits) + Line (1 digit) + Segment (1 digit) + Character order (字順,</w:t>
            </w:r>
            <w:r>
              <w:t xml:space="preserve"> </w:t>
            </w:r>
            <w:r>
              <w:rPr>
                <w:iCs/>
                <w:i/>
              </w:rPr>
              <w:t xml:space="preserve">jijun</w:t>
            </w:r>
            <w:r>
              <w:t xml:space="preserve">) (1 digit). Details of the rules for assigning Character order are defined separately.</w:t>
            </w:r>
          </w:p>
        </w:tc>
      </w:tr>
      <w:tr>
        <w:tc>
          <w:tcPr/>
          <w:p>
            <w:pPr>
              <w:pStyle w:val="Compact"/>
              <w:jc w:val="left"/>
            </w:pPr>
            <w:r>
              <w:t xml:space="preserve">volume_name</w:t>
            </w:r>
          </w:p>
        </w:tc>
        <w:tc>
          <w:tcPr/>
          <w:p>
            <w:pPr>
              <w:pStyle w:val="Compact"/>
              <w:jc w:val="left"/>
            </w:pPr>
            <w:r>
              <w:t xml:space="preserve">Name of the volume, consisting of 10 volumes: 仏上, 仏中, 仏下本, 仏下末, 法上, 法中, 法下, 僧上, 僧中, and 僧下.</w:t>
            </w:r>
          </w:p>
        </w:tc>
      </w:tr>
      <w:tr>
        <w:tc>
          <w:tcPr/>
          <w:p>
            <w:pPr>
              <w:pStyle w:val="Compact"/>
              <w:jc w:val="left"/>
            </w:pPr>
            <w:r>
              <w:t xml:space="preserve">radical_name</w:t>
            </w:r>
          </w:p>
        </w:tc>
        <w:tc>
          <w:tcPr/>
          <w:p>
            <w:pPr>
              <w:pStyle w:val="Compact"/>
              <w:jc w:val="left"/>
            </w:pPr>
            <w:r>
              <w:t xml:space="preserve">Name of the radical, consisting of 120 radicals ranging from 人 to 雑, used to classify</w:t>
            </w:r>
            <w:r>
              <w:t xml:space="preserve"> </w:t>
            </w:r>
            <w:r>
              <w:rPr>
                <w:rStyle w:val="VerbatimChar"/>
                <w:bCs/>
                <w:b/>
              </w:rPr>
              <w:t xml:space="preserve">Hanzi (Chinese characters)</w:t>
            </w:r>
            <w:r>
              <w:t xml:space="preserve">.</w:t>
            </w:r>
          </w:p>
        </w:tc>
      </w:tr>
      <w:tr>
        <w:tc>
          <w:tcPr/>
          <w:p>
            <w:pPr>
              <w:pStyle w:val="Compact"/>
              <w:jc w:val="left"/>
            </w:pPr>
            <w:r>
              <w:t xml:space="preserve">volume_radical_index</w:t>
            </w:r>
          </w:p>
        </w:tc>
        <w:tc>
          <w:tcPr/>
          <w:p>
            <w:pPr>
              <w:pStyle w:val="Compact"/>
              <w:jc w:val="left"/>
            </w:pPr>
            <w:r>
              <w:t xml:space="preserve">Volume and radical number, ranging from v1#1 (Volume 1, Radical 1) to v10#120 (Volume 10, Radical 120), indicating the location of the</w:t>
            </w:r>
            <w:r>
              <w:t xml:space="preserve"> </w:t>
            </w:r>
            <w:r>
              <w:rPr>
                <w:rStyle w:val="VerbatimChar"/>
                <w:bCs/>
                <w:b/>
              </w:rPr>
              <w:t xml:space="preserve">Entry</w:t>
            </w:r>
            <w:r>
              <w:t xml:space="preserve"> </w:t>
            </w:r>
            <w:r>
              <w:t xml:space="preserve">within the text. (Corresponds to 第1帖仏上 to 第10帖僧下).</w:t>
            </w:r>
          </w:p>
        </w:tc>
      </w:tr>
      <w:tr>
        <w:tc>
          <w:tcPr/>
          <w:p>
            <w:pPr>
              <w:pStyle w:val="Compact"/>
              <w:jc w:val="left"/>
            </w:pPr>
            <w:r>
              <w:t xml:space="preserve">hanzi_entry</w:t>
            </w:r>
          </w:p>
        </w:tc>
        <w:tc>
          <w:tcPr/>
          <w:p>
            <w:pPr>
              <w:pStyle w:val="Compact"/>
              <w:jc w:val="left"/>
            </w:pPr>
            <w:r>
              <w:t xml:space="preserve">The collated</w:t>
            </w:r>
            <w:r>
              <w:t xml:space="preserve"> </w:t>
            </w:r>
            <w:r>
              <w:rPr>
                <w:rStyle w:val="VerbatimChar"/>
                <w:bCs/>
                <w:b/>
              </w:rPr>
              <w:t xml:space="preserve">Headword</w:t>
            </w:r>
            <w:r>
              <w:t xml:space="preserve"> </w:t>
            </w:r>
            <w:r>
              <w:t xml:space="preserve">(校訂漢字) principally uses Kangxi Dictionary form, including Unicode simplified</w:t>
            </w:r>
            <w:r>
              <w:t xml:space="preserve"> </w:t>
            </w:r>
            <w:r>
              <w:rPr>
                <w:bCs/>
                <w:b/>
              </w:rPr>
              <w:t xml:space="preserve">Chinese characters</w:t>
            </w:r>
            <w:r>
              <w:t xml:space="preserve"> </w:t>
            </w:r>
            <w:r>
              <w:t xml:space="preserve">(common-use forms, popular variants). For</w:t>
            </w:r>
            <w:r>
              <w:t xml:space="preserve"> </w:t>
            </w:r>
            <w:r>
              <w:rPr>
                <w:bCs/>
                <w:b/>
              </w:rPr>
              <w:t xml:space="preserve">Chinese characters</w:t>
            </w:r>
            <w:r>
              <w:t xml:space="preserve"> </w:t>
            </w:r>
            <w:r>
              <w:t xml:space="preserve">not included in Unicode, they are represented by the following methods: If representable by combining</w:t>
            </w:r>
            <w:r>
              <w:t xml:space="preserve"> </w:t>
            </w:r>
            <w:r>
              <w:rPr>
                <w:bCs/>
                <w:b/>
              </w:rPr>
              <w:t xml:space="preserve">Chinese character</w:t>
            </w:r>
            <w:r>
              <w:t xml:space="preserve"> </w:t>
            </w:r>
            <w:r>
              <w:t xml:space="preserve">components, input using IDS (Ideographic Description Sequence). For specific</w:t>
            </w:r>
            <w:r>
              <w:t xml:space="preserve"> </w:t>
            </w:r>
            <w:r>
              <w:rPr>
                <w:bCs/>
                <w:b/>
              </w:rPr>
              <w:t xml:space="preserve">Chinese characters</w:t>
            </w:r>
            <w:r>
              <w:t xml:space="preserve"> </w:t>
            </w:r>
            <w:r>
              <w:t xml:space="preserve">or their components, if representation by IDS or standard Unicode is difficult, use simplified notations based on the entity reference systems of CHISE and GlyphWiki (e.g., CDP-8C55, koseki-00001).</w:t>
            </w:r>
            <w:r>
              <w:t xml:space="preserve"> </w:t>
            </w:r>
            <w:r>
              <w:rPr>
                <w:bCs/>
                <w:b/>
              </w:rPr>
              <w:t xml:space="preserve">Chinese characters</w:t>
            </w:r>
            <w:r>
              <w:t xml:space="preserve"> </w:t>
            </w:r>
            <w:r>
              <w:t xml:space="preserve">not representable by any of the above methods, or characters unreadable in the original text (due to damage such as wormholes, etc.), are input as</w:t>
            </w:r>
            <w:r>
              <w:t xml:space="preserve"> </w:t>
            </w:r>
            <w:r>
              <w:t xml:space="preserve">‘</w:t>
            </w:r>
            <w:r>
              <w:t xml:space="preserve">■</w:t>
            </w:r>
            <w:r>
              <w:t xml:space="preserve">’</w:t>
            </w:r>
            <w:r>
              <w:t xml:space="preserve"> </w:t>
            </w:r>
            <w:r>
              <w:t xml:space="preserve">(black square).</w:t>
            </w:r>
            <w:r>
              <w:t xml:space="preserve"> </w:t>
            </w:r>
            <w:r>
              <w:rPr>
                <w:rStyle w:val="VerbatimChar"/>
                <w:bCs/>
                <w:b/>
              </w:rPr>
              <w:t xml:space="preserve">Headwords</w:t>
            </w:r>
            <w:r>
              <w:t xml:space="preserve"> </w:t>
            </w:r>
            <w:r>
              <w:t xml:space="preserve">consisting of multiple</w:t>
            </w:r>
            <w:r>
              <w:t xml:space="preserve"> </w:t>
            </w:r>
            <w:r>
              <w:rPr>
                <w:bCs/>
                <w:b/>
              </w:rPr>
              <w:t xml:space="preserve">Chinese characters</w:t>
            </w:r>
            <w:r>
              <w:t xml:space="preserve"> </w:t>
            </w:r>
            <w:r>
              <w:t xml:space="preserve">are separated by</w:t>
            </w:r>
            <w:r>
              <w:t xml:space="preserve"> </w:t>
            </w:r>
            <w:r>
              <w:t xml:space="preserve">‘</w:t>
            </w:r>
            <w:r>
              <w:t xml:space="preserve">／</w:t>
            </w:r>
            <w:r>
              <w:t xml:space="preserve">’</w:t>
            </w:r>
            <w:r>
              <w:t xml:space="preserve"> </w:t>
            </w:r>
            <w:r>
              <w:t xml:space="preserve">(full-width slash). The abbreviation symbol</w:t>
            </w:r>
            <w:r>
              <w:t xml:space="preserve"> </w:t>
            </w:r>
            <w:r>
              <w:t xml:space="preserve">‘</w:t>
            </w:r>
            <w:r>
              <w:t xml:space="preserve">｜</w:t>
            </w:r>
            <w:r>
              <w:t xml:space="preserve">’</w:t>
            </w:r>
            <w:r>
              <w:t xml:space="preserve"> </w:t>
            </w:r>
            <w:r>
              <w:t xml:space="preserve">is indicated by</w:t>
            </w:r>
            <w:r>
              <w:t xml:space="preserve"> </w:t>
            </w:r>
            <w:r>
              <w:t xml:space="preserve">‘</w:t>
            </w:r>
            <w:r>
              <w:t xml:space="preserve">ー</w:t>
            </w:r>
            <w:r>
              <w:t xml:space="preserve">’</w:t>
            </w:r>
            <w:r>
              <w:t xml:space="preserve"> </w:t>
            </w:r>
            <w:r>
              <w:t xml:space="preserve">(long vowel mark), and the corresponding character is appended in full-width parentheses ().</w:t>
            </w:r>
          </w:p>
        </w:tc>
      </w:tr>
      <w:tr>
        <w:tc>
          <w:tcPr/>
          <w:p>
            <w:pPr>
              <w:pStyle w:val="Compact"/>
              <w:jc w:val="left"/>
            </w:pPr>
            <w:r>
              <w:t xml:space="preserve">original_entry</w:t>
            </w:r>
          </w:p>
        </w:tc>
        <w:tc>
          <w:tcPr/>
          <w:p>
            <w:pPr>
              <w:pStyle w:val="Compact"/>
              <w:jc w:val="left"/>
            </w:pPr>
            <w:r>
              <w:rPr>
                <w:rStyle w:val="VerbatimChar"/>
                <w:bCs/>
                <w:b/>
              </w:rPr>
              <w:t xml:space="preserve">Headword</w:t>
            </w:r>
            <w:r>
              <w:t xml:space="preserve"> </w:t>
            </w:r>
            <w:r>
              <w:t xml:space="preserve">based on the original character form. Typographical errors in the original are preserved. The representation of</w:t>
            </w:r>
            <w:r>
              <w:t xml:space="preserve"> </w:t>
            </w:r>
            <w:r>
              <w:rPr>
                <w:bCs/>
                <w:b/>
              </w:rPr>
              <w:t xml:space="preserve">Chinese characters</w:t>
            </w:r>
            <w:r>
              <w:t xml:space="preserve"> </w:t>
            </w:r>
            <w:r>
              <w:t xml:space="preserve">outside Unicode follows the rules for</w:t>
            </w:r>
            <w:r>
              <w:t xml:space="preserve"> </w:t>
            </w:r>
            <w:r>
              <w:rPr>
                <w:rStyle w:val="VerbatimChar"/>
              </w:rPr>
              <w:t xml:space="preserve">hanzi_entry</w:t>
            </w:r>
            <w:r>
              <w:t xml:space="preserve">. If the original-form</w:t>
            </w:r>
            <w:r>
              <w:t xml:space="preserve"> </w:t>
            </w:r>
            <w:r>
              <w:rPr>
                <w:rStyle w:val="VerbatimChar"/>
                <w:bCs/>
                <w:b/>
              </w:rPr>
              <w:t xml:space="preserve">Headword</w:t>
            </w:r>
            <w:r>
              <w:t xml:space="preserve"> </w:t>
            </w:r>
            <w:r>
              <w:t xml:space="preserve">is not needed,</w:t>
            </w:r>
            <w:r>
              <w:t xml:space="preserve"> </w:t>
            </w:r>
            <w:r>
              <w:t xml:space="preserve">‘</w:t>
            </w:r>
            <w:r>
              <w:t xml:space="preserve">〇</w:t>
            </w:r>
            <w:r>
              <w:t xml:space="preserve">’</w:t>
            </w:r>
            <w:r>
              <w:t xml:space="preserve"> </w:t>
            </w:r>
            <w:r>
              <w:t xml:space="preserve">is used.</w:t>
            </w:r>
          </w:p>
        </w:tc>
      </w:tr>
      <w:tr>
        <w:tc>
          <w:tcPr/>
          <w:p>
            <w:pPr>
              <w:pStyle w:val="Compact"/>
              <w:jc w:val="left"/>
            </w:pPr>
            <w:r>
              <w:t xml:space="preserve">definition_elements</w:t>
            </w:r>
          </w:p>
        </w:tc>
        <w:tc>
          <w:tcPr/>
          <w:p>
            <w:pPr>
              <w:pStyle w:val="Compact"/>
              <w:jc w:val="left"/>
            </w:pPr>
            <w:r>
              <w:t xml:space="preserve">Extracted individual elements from the full</w:t>
            </w:r>
            <w:r>
              <w:t xml:space="preserve"> </w:t>
            </w:r>
            <w:r>
              <w:rPr>
                <w:rStyle w:val="VerbatimChar"/>
                <w:bCs/>
                <w:b/>
              </w:rPr>
              <w:t xml:space="preserve">Definition (Original Glosses)</w:t>
            </w:r>
            <w:r>
              <w:t xml:space="preserve">, classified into five types:</w:t>
            </w:r>
            <w:r>
              <w:t xml:space="preserve"> </w:t>
            </w:r>
            <w:r>
              <w:rPr>
                <w:rStyle w:val="VerbatimChar"/>
                <w:bCs/>
                <w:b/>
              </w:rPr>
              <w:t xml:space="preserve">Notes on Character Form</w:t>
            </w:r>
            <w:r>
              <w:t xml:space="preserve">,</w:t>
            </w:r>
            <w:r>
              <w:t xml:space="preserve"> </w:t>
            </w:r>
            <w:r>
              <w:rPr>
                <w:rStyle w:val="VerbatimChar"/>
                <w:bCs/>
                <w:b/>
              </w:rPr>
              <w:t xml:space="preserve">Phonetic Gloss</w:t>
            </w:r>
            <w:r>
              <w:t xml:space="preserve">,</w:t>
            </w:r>
            <w:r>
              <w:t xml:space="preserve"> </w:t>
            </w:r>
            <w:r>
              <w:rPr>
                <w:rStyle w:val="VerbatimChar"/>
                <w:bCs/>
                <w:b/>
              </w:rPr>
              <w:t xml:space="preserve">Semantic Gloss in Chinese</w:t>
            </w:r>
            <w:r>
              <w:t xml:space="preserve">,</w:t>
            </w:r>
            <w:r>
              <w:t xml:space="preserve"> </w:t>
            </w:r>
            <w:r>
              <w:rPr>
                <w:rStyle w:val="VerbatimChar"/>
                <w:bCs/>
                <w:b/>
              </w:rPr>
              <w:t xml:space="preserve">Japanese Native Reading (*wakun*)</w:t>
            </w:r>
            <w:r>
              <w:t xml:space="preserve">, and</w:t>
            </w:r>
            <w:r>
              <w:t xml:space="preserve"> </w:t>
            </w:r>
            <w:r>
              <w:rPr>
                <w:rStyle w:val="VerbatimChar"/>
                <w:bCs/>
                <w:b/>
              </w:rPr>
              <w:t xml:space="preserve">Other</w:t>
            </w:r>
            <w:r>
              <w:t xml:space="preserve"> </w:t>
            </w:r>
            <w:r>
              <w:t xml:space="preserve">information. Each record in</w:t>
            </w:r>
            <w:r>
              <w:t xml:space="preserve"> </w:t>
            </w:r>
            <w:r>
              <w:rPr>
                <w:rStyle w:val="VerbatimChar"/>
              </w:rPr>
              <w:t xml:space="preserve">krm_notes</w:t>
            </w:r>
            <w:r>
              <w:t xml:space="preserve"> </w:t>
            </w:r>
            <w:r>
              <w:t xml:space="preserve">typically corresponds to one such extracted element.</w:t>
            </w:r>
          </w:p>
        </w:tc>
      </w:tr>
      <w:tr>
        <w:tc>
          <w:tcPr/>
          <w:p>
            <w:pPr>
              <w:pStyle w:val="Compact"/>
              <w:jc w:val="left"/>
            </w:pPr>
            <w:r>
              <w:t xml:space="preserve">definition_type_code</w:t>
            </w:r>
          </w:p>
        </w:tc>
        <w:tc>
          <w:tcPr/>
          <w:p>
            <w:pPr>
              <w:pStyle w:val="Compact"/>
              <w:jc w:val="left"/>
            </w:pPr>
            <w:r>
              <w:t xml:space="preserve">A 3-digit numeric code representing the type of element from the</w:t>
            </w:r>
            <w:r>
              <w:t xml:space="preserve"> </w:t>
            </w:r>
            <w:r>
              <w:rPr>
                <w:rStyle w:val="VerbatimChar"/>
                <w:bCs/>
                <w:b/>
              </w:rPr>
              <w:t xml:space="preserve">Definition (Original Glosses)</w:t>
            </w:r>
            <w:r>
              <w:t xml:space="preserve">.</w:t>
            </w:r>
          </w:p>
        </w:tc>
      </w:tr>
      <w:tr>
        <w:tc>
          <w:tcPr/>
          <w:p>
            <w:pPr>
              <w:pStyle w:val="Compact"/>
              <w:jc w:val="left"/>
            </w:pPr>
            <w:r>
              <w:t xml:space="preserve">definition_type_name</w:t>
            </w:r>
          </w:p>
        </w:tc>
        <w:tc>
          <w:tcPr/>
          <w:p>
            <w:pPr>
              <w:pStyle w:val="Compact"/>
              <w:jc w:val="left"/>
            </w:pPr>
            <w:r>
              <w:t xml:space="preserve">Indicates which of the five following categories the element from the</w:t>
            </w:r>
            <w:r>
              <w:t xml:space="preserve"> </w:t>
            </w:r>
            <w:r>
              <w:rPr>
                <w:rStyle w:val="VerbatimChar"/>
                <w:bCs/>
                <w:b/>
              </w:rPr>
              <w:t xml:space="preserve">Definition (Original Glosses)</w:t>
            </w:r>
            <w:r>
              <w:t xml:space="preserve"> </w:t>
            </w:r>
            <w:r>
              <w:t xml:space="preserve">belongs to:</w:t>
            </w:r>
            <w:r>
              <w:t xml:space="preserve"> </w:t>
            </w:r>
            <w:r>
              <w:rPr>
                <w:rStyle w:val="VerbatimChar"/>
                <w:bCs/>
                <w:b/>
              </w:rPr>
              <w:t xml:space="preserve">Notes on Character Form</w:t>
            </w:r>
            <w:r>
              <w:t xml:space="preserve">,</w:t>
            </w:r>
            <w:r>
              <w:t xml:space="preserve"> </w:t>
            </w:r>
            <w:r>
              <w:rPr>
                <w:rStyle w:val="VerbatimChar"/>
                <w:bCs/>
                <w:b/>
              </w:rPr>
              <w:t xml:space="preserve">Phonetic Gloss</w:t>
            </w:r>
            <w:r>
              <w:t xml:space="preserve">,</w:t>
            </w:r>
            <w:r>
              <w:t xml:space="preserve"> </w:t>
            </w:r>
            <w:r>
              <w:rPr>
                <w:rStyle w:val="VerbatimChar"/>
                <w:bCs/>
                <w:b/>
              </w:rPr>
              <w:t xml:space="preserve">Semantic Gloss in Chinese</w:t>
            </w:r>
            <w:r>
              <w:t xml:space="preserve">,</w:t>
            </w:r>
            <w:r>
              <w:t xml:space="preserve"> </w:t>
            </w:r>
            <w:r>
              <w:rPr>
                <w:rStyle w:val="VerbatimChar"/>
                <w:bCs/>
                <w:b/>
              </w:rPr>
              <w:t xml:space="preserve">Japanese Native Reading (*wakun*)</w:t>
            </w:r>
            <w:r>
              <w:t xml:space="preserve">, or</w:t>
            </w:r>
            <w:r>
              <w:t xml:space="preserve"> </w:t>
            </w:r>
            <w:r>
              <w:rPr>
                <w:rStyle w:val="VerbatimChar"/>
                <w:bCs/>
                <w:b/>
              </w:rPr>
              <w:t xml:space="preserve">Other</w:t>
            </w:r>
            <w:r>
              <w:t xml:space="preserve"> </w:t>
            </w:r>
            <w:r>
              <w:t xml:space="preserve">information.</w:t>
            </w:r>
          </w:p>
        </w:tc>
      </w:tr>
      <w:tr>
        <w:tc>
          <w:tcPr/>
          <w:p>
            <w:pPr>
              <w:pStyle w:val="Compact"/>
              <w:jc w:val="left"/>
            </w:pPr>
            <w:r>
              <w:t xml:space="preserve">remarks</w:t>
            </w:r>
          </w:p>
        </w:tc>
        <w:tc>
          <w:tcPr/>
          <w:p>
            <w:pPr>
              <w:pStyle w:val="Compact"/>
              <w:jc w:val="left"/>
            </w:pPr>
            <w:r>
              <w:rPr>
                <w:rStyle w:val="VerbatimChar"/>
                <w:bCs/>
                <w:b/>
              </w:rPr>
              <w:t xml:space="preserve">Compiler's Remarks</w:t>
            </w:r>
            <w:r>
              <w:t xml:space="preserve">: Notes by the database compilers providing additional context, scholarly observations, results of textual collation, or source investigations related to the specific</w:t>
            </w:r>
            <w:r>
              <w:t xml:space="preserve"> </w:t>
            </w:r>
            <w:r>
              <w:rPr>
                <w:rStyle w:val="VerbatimChar"/>
              </w:rPr>
              <w:t xml:space="preserve">definition_element</w:t>
            </w:r>
            <w:r>
              <w:t xml:space="preserve"> </w:t>
            </w:r>
            <w:r>
              <w:t xml:space="preserve">or</w:t>
            </w:r>
            <w:r>
              <w:t xml:space="preserve"> </w:t>
            </w:r>
            <w:r>
              <w:rPr>
                <w:rStyle w:val="VerbatimChar"/>
              </w:rPr>
              <w:t xml:space="preserve">Headword</w:t>
            </w:r>
            <w:r>
              <w:t xml:space="preserve">.</w:t>
            </w:r>
          </w:p>
        </w:tc>
      </w:tr>
    </w:tbl>
    <w:bookmarkEnd w:id="82"/>
    <w:bookmarkStart w:id="83" w:name="X85d80258dfa65392c0133b58fbce593d408969f"/>
    <w:p>
      <w:pPr>
        <w:pStyle w:val="Heading2"/>
      </w:pPr>
      <w:r>
        <w:rPr>
          <w:rStyle w:val="SectionNumber"/>
        </w:rPr>
        <w:t xml:space="preserve">4.5</w:t>
      </w:r>
      <w:r>
        <w:tab/>
      </w:r>
      <w:r>
        <w:t xml:space="preserve">Content and Significance of Compiler’s Remarks (the remarks Column)</w:t>
      </w:r>
    </w:p>
    <w:p>
      <w:pPr>
        <w:pStyle w:val="FirstParagraph"/>
      </w:pPr>
      <w:r>
        <w:t xml:space="preserve">Please note that this</w:t>
      </w:r>
      <w:r>
        <w:t xml:space="preserve"> </w:t>
      </w:r>
      <w:r>
        <w:rPr>
          <w:rStyle w:val="VerbatimChar"/>
        </w:rPr>
        <w:t xml:space="preserve">remarks</w:t>
      </w:r>
      <w:r>
        <w:t xml:space="preserve"> </w:t>
      </w:r>
      <w:r>
        <w:t xml:space="preserve">column stores the</w:t>
      </w:r>
      <w:r>
        <w:t xml:space="preserve"> </w:t>
      </w:r>
      <w:r>
        <w:rPr>
          <w:rStyle w:val="VerbatimChar"/>
          <w:bCs/>
          <w:b/>
        </w:rPr>
        <w:t xml:space="preserve">Compiler's Remarks</w:t>
      </w:r>
      <w:r>
        <w:t xml:space="preserve"> </w:t>
      </w:r>
      <w:r>
        <w:t xml:space="preserve">(annotations by the database creators).</w:t>
      </w:r>
    </w:p>
    <w:p>
      <w:pPr>
        <w:pStyle w:val="BodyText"/>
      </w:pPr>
      <w:r>
        <w:t xml:space="preserve">The</w:t>
      </w:r>
      <w:r>
        <w:t xml:space="preserve"> </w:t>
      </w:r>
      <w:r>
        <w:rPr>
          <w:rStyle w:val="VerbatimChar"/>
        </w:rPr>
        <w:t xml:space="preserve">remarks</w:t>
      </w:r>
      <w:r>
        <w:t xml:space="preserve"> </w:t>
      </w:r>
      <w:r>
        <w:t xml:space="preserve">column provides the following types of information:</w:t>
      </w:r>
    </w:p>
    <w:p>
      <w:pPr>
        <w:numPr>
          <w:ilvl w:val="0"/>
          <w:numId w:val="1099"/>
        </w:numPr>
        <w:pStyle w:val="Compact"/>
      </w:pPr>
      <w:r>
        <w:rPr>
          <w:bCs/>
          <w:b/>
        </w:rPr>
        <w:t xml:space="preserve">Additional context</w:t>
      </w:r>
      <w:r>
        <w:t xml:space="preserve">: Supplementary background or related information that aids in understanding the</w:t>
      </w:r>
      <w:r>
        <w:t xml:space="preserve"> </w:t>
      </w:r>
      <w:r>
        <w:rPr>
          <w:iCs/>
          <w:i/>
        </w:rPr>
        <w:t xml:space="preserve">Myōgishō</w:t>
      </w:r>
      <w:r>
        <w:t xml:space="preserve">’s entries.</w:t>
      </w:r>
    </w:p>
    <w:p>
      <w:pPr>
        <w:numPr>
          <w:ilvl w:val="0"/>
          <w:numId w:val="1099"/>
        </w:numPr>
        <w:pStyle w:val="Compact"/>
      </w:pPr>
      <w:r>
        <w:rPr>
          <w:bCs/>
          <w:b/>
        </w:rPr>
        <w:t xml:space="preserve">Scholarly observations</w:t>
      </w:r>
      <w:r>
        <w:t xml:space="preserve">: Philological, linguistic, or other expert perspectives on specific descriptions, including references to previous research.</w:t>
      </w:r>
    </w:p>
    <w:p>
      <w:pPr>
        <w:numPr>
          <w:ilvl w:val="0"/>
          <w:numId w:val="1099"/>
        </w:numPr>
        <w:pStyle w:val="Compact"/>
      </w:pPr>
      <w:r>
        <w:rPr>
          <w:bCs/>
          <w:b/>
        </w:rPr>
        <w:t xml:space="preserve">Results of textual collation</w:t>
      </w:r>
      <w:r>
        <w:t xml:space="preserve">: Findings from comparisons with variant manuscripts or related materials, and textual interpretations based on these collations.</w:t>
      </w:r>
    </w:p>
    <w:p>
      <w:pPr>
        <w:numPr>
          <w:ilvl w:val="0"/>
          <w:numId w:val="1099"/>
        </w:numPr>
        <w:pStyle w:val="Compact"/>
      </w:pPr>
      <w:r>
        <w:rPr>
          <w:bCs/>
          <w:b/>
        </w:rPr>
        <w:t xml:space="preserve">Source investigations</w:t>
      </w:r>
      <w:r>
        <w:t xml:space="preserve">: Results and considerations regarding the textual sources of the</w:t>
      </w:r>
      <w:r>
        <w:t xml:space="preserve"> </w:t>
      </w:r>
      <w:r>
        <w:rPr>
          <w:iCs/>
          <w:i/>
        </w:rPr>
        <w:t xml:space="preserve">Myōgishō</w:t>
      </w:r>
      <w:r>
        <w:t xml:space="preserve">’s entries, including references to findings from previous studies.</w:t>
      </w:r>
    </w:p>
    <w:p>
      <w:pPr>
        <w:pStyle w:val="FirstParagraph"/>
      </w:pPr>
      <w:r>
        <w:t xml:space="preserve">These remarks are each associated with one of the following specific parts of a</w:t>
      </w:r>
      <w:r>
        <w:t xml:space="preserve"> </w:t>
      </w:r>
      <w:r>
        <w:rPr>
          <w:iCs/>
          <w:i/>
        </w:rPr>
        <w:t xml:space="preserve">Myōgishō</w:t>
      </w:r>
      <w:r>
        <w:t xml:space="preserve"> </w:t>
      </w:r>
      <w:r>
        <w:rPr>
          <w:rStyle w:val="VerbatimChar"/>
          <w:bCs/>
          <w:b/>
        </w:rPr>
        <w:t xml:space="preserve">Entry</w:t>
      </w:r>
      <w:r>
        <w:t xml:space="preserve">:</w:t>
      </w:r>
    </w:p>
    <w:p>
      <w:pPr>
        <w:numPr>
          <w:ilvl w:val="0"/>
          <w:numId w:val="1100"/>
        </w:numPr>
        <w:pStyle w:val="Compact"/>
      </w:pPr>
      <w:r>
        <w:t xml:space="preserve">A specific</w:t>
      </w:r>
      <w:r>
        <w:t xml:space="preserve"> </w:t>
      </w:r>
      <w:r>
        <w:rPr>
          <w:rStyle w:val="VerbatimChar"/>
        </w:rPr>
        <w:t xml:space="preserve">definition_element</w:t>
      </w:r>
      <w:r>
        <w:t xml:space="preserve"> </w:t>
      </w:r>
      <w:r>
        <w:t xml:space="preserve">(an individual component of the</w:t>
      </w:r>
      <w:r>
        <w:t xml:space="preserve"> </w:t>
      </w:r>
      <w:r>
        <w:rPr>
          <w:rStyle w:val="VerbatimChar"/>
          <w:bCs/>
          <w:b/>
        </w:rPr>
        <w:t xml:space="preserve">Definition (Original Glosses)</w:t>
      </w:r>
      <w:r>
        <w:t xml:space="preserve">): This refers to a distinct element within the</w:t>
      </w:r>
      <w:r>
        <w:t xml:space="preserve"> </w:t>
      </w:r>
      <w:r>
        <w:rPr>
          <w:iCs/>
          <w:i/>
        </w:rPr>
        <w:t xml:space="preserve">Myōgishō</w:t>
      </w:r>
      <w:r>
        <w:t xml:space="preserve">’s original annotation for an</w:t>
      </w:r>
      <w:r>
        <w:t xml:space="preserve"> </w:t>
      </w:r>
      <w:r>
        <w:rPr>
          <w:rStyle w:val="VerbatimChar"/>
          <w:bCs/>
          <w:b/>
        </w:rPr>
        <w:t xml:space="preserve">Entry</w:t>
      </w:r>
      <w:r>
        <w:t xml:space="preserve"> </w:t>
      </w:r>
      <w:r>
        <w:t xml:space="preserve">(such as a particular</w:t>
      </w:r>
      <w:r>
        <w:t xml:space="preserve"> </w:t>
      </w:r>
      <w:r>
        <w:rPr>
          <w:rStyle w:val="VerbatimChar"/>
          <w:bCs/>
          <w:b/>
        </w:rPr>
        <w:t xml:space="preserve">Note on Character Form</w:t>
      </w:r>
      <w:r>
        <w:t xml:space="preserve">,</w:t>
      </w:r>
      <w:r>
        <w:t xml:space="preserve"> </w:t>
      </w:r>
      <w:r>
        <w:rPr>
          <w:rStyle w:val="VerbatimChar"/>
          <w:bCs/>
          <w:b/>
        </w:rPr>
        <w:t xml:space="preserve">Phonetic Gloss</w:t>
      </w:r>
      <w:r>
        <w:t xml:space="preserve">,</w:t>
      </w:r>
      <w:r>
        <w:t xml:space="preserve"> </w:t>
      </w:r>
      <w:r>
        <w:rPr>
          <w:rStyle w:val="VerbatimChar"/>
          <w:bCs/>
          <w:b/>
        </w:rPr>
        <w:t xml:space="preserve">Semantic Gloss in Chinese</w:t>
      </w:r>
      <w:r>
        <w:t xml:space="preserve">, or</w:t>
      </w:r>
      <w:r>
        <w:t xml:space="preserve"> </w:t>
      </w:r>
      <w:r>
        <w:rPr>
          <w:rStyle w:val="VerbatimChar"/>
          <w:bCs/>
          <w:b/>
        </w:rPr>
        <w:t xml:space="preserve">Japanese Native Reading (*wakun*)</w:t>
      </w:r>
      <w:r>
        <w:t xml:space="preserve">), as itemized in the</w:t>
      </w:r>
      <w:r>
        <w:t xml:space="preserve"> </w:t>
      </w:r>
      <w:r>
        <w:rPr>
          <w:rStyle w:val="VerbatimChar"/>
        </w:rPr>
        <w:t xml:space="preserve">krm_notes</w:t>
      </w:r>
      <w:r>
        <w:t xml:space="preserve"> </w:t>
      </w:r>
      <w:r>
        <w:t xml:space="preserve">file.</w:t>
      </w:r>
    </w:p>
    <w:p>
      <w:pPr>
        <w:numPr>
          <w:ilvl w:val="0"/>
          <w:numId w:val="1100"/>
        </w:numPr>
        <w:pStyle w:val="Compact"/>
      </w:pPr>
      <w:r>
        <w:t xml:space="preserve">Or the</w:t>
      </w:r>
      <w:r>
        <w:t xml:space="preserve"> </w:t>
      </w:r>
      <w:r>
        <w:rPr>
          <w:rStyle w:val="VerbatimChar"/>
          <w:bCs/>
          <w:b/>
        </w:rPr>
        <w:t xml:space="preserve">Headword</w:t>
      </w:r>
      <w:r>
        <w:t xml:space="preserve">: The main character(s) of the</w:t>
      </w:r>
      <w:r>
        <w:t xml:space="preserve"> </w:t>
      </w:r>
      <w:r>
        <w:rPr>
          <w:rStyle w:val="VerbatimChar"/>
          <w:bCs/>
          <w:b/>
        </w:rPr>
        <w:t xml:space="preserve">Entry</w:t>
      </w:r>
      <w:r>
        <w:t xml:space="preserve">.</w:t>
      </w:r>
    </w:p>
    <w:p>
      <w:pPr>
        <w:pStyle w:val="FirstParagraph"/>
      </w:pPr>
      <w:r>
        <w:t xml:space="preserve">In essence, the</w:t>
      </w:r>
      <w:r>
        <w:t xml:space="preserve"> </w:t>
      </w:r>
      <w:r>
        <w:rPr>
          <w:rStyle w:val="VerbatimChar"/>
        </w:rPr>
        <w:t xml:space="preserve">remarks</w:t>
      </w:r>
      <w:r>
        <w:t xml:space="preserve"> </w:t>
      </w:r>
      <w:r>
        <w:t xml:space="preserve">column serves to provide specialized, supplementary information from the database compilers, enabling a deeper understanding and facilitating further research that goes beyond what can be gleaned from the</w:t>
      </w:r>
      <w:r>
        <w:t xml:space="preserve"> </w:t>
      </w:r>
      <w:r>
        <w:rPr>
          <w:iCs/>
          <w:i/>
        </w:rPr>
        <w:t xml:space="preserve">Myōgishō</w:t>
      </w:r>
      <w:r>
        <w:t xml:space="preserve">’s main text and original glosses alone.</w:t>
      </w:r>
    </w:p>
    <w:bookmarkEnd w:id="83"/>
    <w:bookmarkEnd w:id="84"/>
    <w:bookmarkEnd w:id="85"/>
    <w:bookmarkStart w:id="89" w:name="Xb60838d2c8b3f0e2bc455a26d94bb61412d083d"/>
    <w:bookmarkStart w:id="88" w:name="Xee2d7620c6e00b387efd1204da65a56ee2a2c23"/>
    <w:p>
      <w:pPr>
        <w:pStyle w:val="Heading1"/>
      </w:pPr>
      <w:r>
        <w:rPr>
          <w:rStyle w:val="SectionNumber"/>
        </w:rPr>
        <w:t xml:space="preserve">5</w:t>
      </w:r>
      <w:r>
        <w:tab/>
      </w:r>
      <w:r>
        <w:t xml:space="preserve">krm_headword_chars</w:t>
      </w:r>
    </w:p>
    <w:bookmarkStart w:id="86" w:name="Xa54a0b3e15ce26703c066654fb6a209815add4f"/>
    <w:p>
      <w:pPr>
        <w:pStyle w:val="Heading2"/>
      </w:pPr>
      <w:r>
        <w:rPr>
          <w:rStyle w:val="SectionNumber"/>
        </w:rPr>
        <w:t xml:space="preserve">5.1</w:t>
      </w:r>
      <w:r>
        <w:tab/>
      </w:r>
      <w:r>
        <w:t xml:space="preserve">Overview and file formats</w:t>
      </w:r>
    </w:p>
    <w:p>
      <w:pPr>
        <w:pStyle w:val="FirstParagraph"/>
      </w:pPr>
      <w:r>
        <w:rPr>
          <w:rStyle w:val="VerbatimChar"/>
          <w:bCs/>
          <w:b/>
        </w:rPr>
        <w:t xml:space="preserve">Headwords</w:t>
      </w:r>
      <w:r>
        <w:t xml:space="preserve"> </w:t>
      </w:r>
      <w:r>
        <w:t xml:space="preserve">in the</w:t>
      </w:r>
      <w:r>
        <w:t xml:space="preserve"> </w:t>
      </w:r>
      <w:r>
        <w:rPr>
          <w:iCs/>
          <w:i/>
        </w:rPr>
        <w:t xml:space="preserve">Myōgishō</w:t>
      </w:r>
      <w:r>
        <w:t xml:space="preserve"> </w:t>
      </w:r>
      <w:r>
        <w:t xml:space="preserve">can consist of single</w:t>
      </w:r>
      <w:r>
        <w:t xml:space="preserve"> </w:t>
      </w:r>
      <w:r>
        <w:rPr>
          <w:bCs/>
          <w:b/>
        </w:rPr>
        <w:t xml:space="preserve">Chinese characters</w:t>
      </w:r>
      <w:r>
        <w:t xml:space="preserve"> </w:t>
      </w:r>
      <w:r>
        <w:t xml:space="preserve">or multiple</w:t>
      </w:r>
      <w:r>
        <w:t xml:space="preserve"> </w:t>
      </w:r>
      <w:r>
        <w:rPr>
          <w:bCs/>
          <w:b/>
        </w:rPr>
        <w:t xml:space="preserve">Chinese characters</w:t>
      </w:r>
      <w:r>
        <w:t xml:space="preserve"> </w:t>
      </w:r>
      <w:r>
        <w:t xml:space="preserve">(multi-character compounds). The</w:t>
      </w:r>
      <w:r>
        <w:t xml:space="preserve"> </w:t>
      </w:r>
      <w:r>
        <w:rPr>
          <w:rStyle w:val="VerbatimChar"/>
        </w:rPr>
        <w:t xml:space="preserve">krm_headword_chars</w:t>
      </w:r>
      <w:r>
        <w:t xml:space="preserve"> </w:t>
      </w:r>
      <w:r>
        <w:t xml:space="preserve">data file provides a list of all</w:t>
      </w:r>
      <w:r>
        <w:t xml:space="preserve"> </w:t>
      </w:r>
      <w:r>
        <w:rPr>
          <w:bCs/>
          <w:b/>
        </w:rPr>
        <w:t xml:space="preserve">constituent characters that form these</w:t>
      </w:r>
      <w:r>
        <w:rPr>
          <w:bCs/>
          <w:b/>
        </w:rPr>
        <w:t xml:space="preserve"> </w:t>
      </w:r>
      <w:r>
        <w:rPr>
          <w:rStyle w:val="VerbatimChar"/>
          <w:bCs/>
          <w:b/>
        </w:rPr>
        <w:t xml:space="preserve">Headwords</w:t>
      </w:r>
      <w:r>
        <w:t xml:space="preserve"> </w:t>
      </w:r>
      <w:r>
        <w:t xml:space="preserve">from the</w:t>
      </w:r>
      <w:r>
        <w:t xml:space="preserve"> </w:t>
      </w:r>
      <w:r>
        <w:rPr>
          <w:iCs/>
          <w:i/>
        </w:rPr>
        <w:t xml:space="preserve">Myōgishō</w:t>
      </w:r>
      <w:r>
        <w:t xml:space="preserve">. The characters are ordered according to the sequence of</w:t>
      </w:r>
      <w:r>
        <w:t xml:space="preserve"> </w:t>
      </w:r>
      <w:r>
        <w:rPr>
          <w:rStyle w:val="VerbatimChar"/>
          <w:bCs/>
          <w:b/>
        </w:rPr>
        <w:t xml:space="preserve">Entries</w:t>
      </w:r>
      <w:r>
        <w:t xml:space="preserve"> </w:t>
      </w:r>
      <w:r>
        <w:t xml:space="preserve">(items) in the</w:t>
      </w:r>
      <w:r>
        <w:t xml:space="preserve"> </w:t>
      </w:r>
      <w:r>
        <w:rPr>
          <w:iCs/>
          <w:i/>
        </w:rPr>
        <w:t xml:space="preserve">Myōgishō</w:t>
      </w:r>
      <w:r>
        <w:t xml:space="preserve"> </w:t>
      </w:r>
      <w:r>
        <w:t xml:space="preserve">and then by the order of appearance of characters within each</w:t>
      </w:r>
      <w:r>
        <w:t xml:space="preserve"> </w:t>
      </w:r>
      <w:r>
        <w:rPr>
          <w:rStyle w:val="VerbatimChar"/>
          <w:bCs/>
          <w:b/>
        </w:rPr>
        <w:t xml:space="preserve">Headword</w:t>
      </w:r>
      <w:r>
        <w:t xml:space="preserve">.</w:t>
      </w:r>
    </w:p>
    <w:p>
      <w:pPr>
        <w:pStyle w:val="BodyText"/>
      </w:pPr>
      <w:r>
        <w:t xml:space="preserve">In the</w:t>
      </w:r>
      <w:r>
        <w:t xml:space="preserve"> </w:t>
      </w:r>
      <w:r>
        <w:rPr>
          <w:iCs/>
          <w:i/>
        </w:rPr>
        <w:t xml:space="preserve">Myōgishō</w:t>
      </w:r>
      <w:r>
        <w:t xml:space="preserve"> </w:t>
      </w:r>
      <w:r>
        <w:t xml:space="preserve">database, the primary data file</w:t>
      </w:r>
      <w:r>
        <w:t xml:space="preserve"> </w:t>
      </w:r>
      <w:r>
        <w:rPr>
          <w:rStyle w:val="VerbatimChar"/>
        </w:rPr>
        <w:t xml:space="preserve">krm_main</w:t>
      </w:r>
      <w:r>
        <w:t xml:space="preserve">, the</w:t>
      </w:r>
      <w:r>
        <w:t xml:space="preserve"> </w:t>
      </w:r>
      <w:r>
        <w:rPr>
          <w:rStyle w:val="VerbatimChar"/>
        </w:rPr>
        <w:t xml:space="preserve">krm_notes</w:t>
      </w:r>
      <w:r>
        <w:t xml:space="preserve"> </w:t>
      </w:r>
      <w:r>
        <w:t xml:space="preserve">file (containing data for</w:t>
      </w:r>
      <w:r>
        <w:t xml:space="preserve"> </w:t>
      </w:r>
      <w:r>
        <w:rPr>
          <w:rStyle w:val="VerbatimChar"/>
          <w:bCs/>
          <w:b/>
        </w:rPr>
        <w:t xml:space="preserve">Compiler's Remarks</w:t>
      </w:r>
      <w:r>
        <w:t xml:space="preserve">), and the</w:t>
      </w:r>
      <w:r>
        <w:t xml:space="preserve"> </w:t>
      </w:r>
      <w:r>
        <w:rPr>
          <w:rStyle w:val="VerbatimChar"/>
        </w:rPr>
        <w:t xml:space="preserve">krm_wakun</w:t>
      </w:r>
      <w:r>
        <w:t xml:space="preserve"> </w:t>
      </w:r>
      <w:r>
        <w:t xml:space="preserve">file (</w:t>
      </w:r>
      <w:r>
        <w:rPr>
          <w:rStyle w:val="VerbatimChar"/>
          <w:bCs/>
          <w:b/>
        </w:rPr>
        <w:t xml:space="preserve">Japanese Native Reading (*wakun*)</w:t>
      </w:r>
      <w:r>
        <w:t xml:space="preserve"> </w:t>
      </w:r>
      <w:r>
        <w:t xml:space="preserve">data) are all structured on an</w:t>
      </w:r>
      <w:r>
        <w:t xml:space="preserve"> </w:t>
      </w:r>
      <w:r>
        <w:rPr>
          <w:rStyle w:val="VerbatimChar"/>
          <w:bCs/>
          <w:b/>
        </w:rPr>
        <w:t xml:space="preserve">Entry</w:t>
      </w:r>
      <w:r>
        <w:t xml:space="preserve">-by-</w:t>
      </w:r>
      <w:r>
        <w:rPr>
          <w:rStyle w:val="VerbatimChar"/>
          <w:bCs/>
          <w:b/>
        </w:rPr>
        <w:t xml:space="preserve">Entry</w:t>
      </w:r>
      <w:r>
        <w:t xml:space="preserve"> </w:t>
      </w:r>
      <w:r>
        <w:t xml:space="preserve">basis. Consequently, for</w:t>
      </w:r>
      <w:r>
        <w:t xml:space="preserve"> </w:t>
      </w:r>
      <w:r>
        <w:rPr>
          <w:rStyle w:val="VerbatimChar"/>
          <w:bCs/>
          <w:b/>
        </w:rPr>
        <w:t xml:space="preserve">Headwords</w:t>
      </w:r>
      <w:r>
        <w:t xml:space="preserve"> </w:t>
      </w:r>
      <w:r>
        <w:t xml:space="preserve">composed of multiple</w:t>
      </w:r>
      <w:r>
        <w:t xml:space="preserve"> </w:t>
      </w:r>
      <w:r>
        <w:rPr>
          <w:bCs/>
          <w:b/>
        </w:rPr>
        <w:t xml:space="preserve">Chinese characters</w:t>
      </w:r>
      <w:r>
        <w:t xml:space="preserve">, any character subsequent to the first cannot be directly referenced from these particular data files.</w:t>
      </w:r>
    </w:p>
    <w:p>
      <w:pPr>
        <w:pStyle w:val="BodyText"/>
      </w:pPr>
      <w:r>
        <w:t xml:space="preserve">To search for</w:t>
      </w:r>
      <w:r>
        <w:t xml:space="preserve"> </w:t>
      </w:r>
      <w:r>
        <w:rPr>
          <w:rStyle w:val="VerbatimChar"/>
          <w:bCs/>
          <w:b/>
        </w:rPr>
        <w:t xml:space="preserve">Headwords</w:t>
      </w:r>
      <w:r>
        <w:t xml:space="preserve"> </w:t>
      </w:r>
      <w:r>
        <w:t xml:space="preserve">from the</w:t>
      </w:r>
      <w:r>
        <w:t xml:space="preserve"> </w:t>
      </w:r>
      <w:r>
        <w:rPr>
          <w:iCs/>
          <w:i/>
        </w:rPr>
        <w:t xml:space="preserve">Myōgishō</w:t>
      </w:r>
      <w:r>
        <w:t xml:space="preserve"> </w:t>
      </w:r>
      <w:r>
        <w:t xml:space="preserve">character by character, display their original manuscript images, or perform analyses at the individual</w:t>
      </w:r>
      <w:r>
        <w:t xml:space="preserve"> </w:t>
      </w:r>
      <w:r>
        <w:rPr>
          <w:bCs/>
          <w:b/>
        </w:rPr>
        <w:t xml:space="preserve">Chinese character</w:t>
      </w:r>
      <w:r>
        <w:t xml:space="preserve"> </w:t>
      </w:r>
      <w:r>
        <w:t xml:space="preserve">level, a complete list of all constituent characters of the</w:t>
      </w:r>
      <w:r>
        <w:t xml:space="preserve"> </w:t>
      </w:r>
      <w:r>
        <w:rPr>
          <w:rStyle w:val="VerbatimChar"/>
          <w:bCs/>
          <w:b/>
        </w:rPr>
        <w:t xml:space="preserve">Headwords</w:t>
      </w:r>
      <w:r>
        <w:t xml:space="preserve">, including those from the second character onwards in multi-character compounds, is necessary.</w:t>
      </w:r>
    </w:p>
    <w:p>
      <w:pPr>
        <w:pStyle w:val="BodyText"/>
      </w:pPr>
      <w:r>
        <w:t xml:space="preserve">The</w:t>
      </w:r>
      <w:r>
        <w:t xml:space="preserve"> </w:t>
      </w:r>
      <w:r>
        <w:rPr>
          <w:rStyle w:val="VerbatimChar"/>
        </w:rPr>
        <w:t xml:space="preserve">krm_headword_chars</w:t>
      </w:r>
      <w:r>
        <w:t xml:space="preserve"> </w:t>
      </w:r>
      <w:r>
        <w:t xml:space="preserve">data file was created for this purpose. This data is provided in TSV and JSON formats. Each row (or record) corresponds to a single constituent character of a</w:t>
      </w:r>
      <w:r>
        <w:t xml:space="preserve"> </w:t>
      </w:r>
      <w:r>
        <w:rPr>
          <w:rStyle w:val="VerbatimChar"/>
          <w:bCs/>
          <w:b/>
        </w:rPr>
        <w:t xml:space="preserve">Headword</w:t>
      </w:r>
      <w:r>
        <w:t xml:space="preserve"> </w:t>
      </w:r>
      <w:r>
        <w:t xml:space="preserve">and includes information such as: the sequential ID of the</w:t>
      </w:r>
      <w:r>
        <w:t xml:space="preserve"> </w:t>
      </w:r>
      <w:r>
        <w:rPr>
          <w:rStyle w:val="VerbatimChar"/>
          <w:bCs/>
          <w:b/>
        </w:rPr>
        <w:t xml:space="preserve">Headword</w:t>
      </w:r>
      <w:r>
        <w:t xml:space="preserve"> </w:t>
      </w:r>
      <w:r>
        <w:t xml:space="preserve">(single or multi-character) in the</w:t>
      </w:r>
      <w:r>
        <w:t xml:space="preserve"> </w:t>
      </w:r>
      <w:r>
        <w:rPr>
          <w:iCs/>
          <w:i/>
        </w:rPr>
        <w:t xml:space="preserve">Myōgishō</w:t>
      </w:r>
      <w:r>
        <w:t xml:space="preserve"> </w:t>
      </w:r>
      <w:r>
        <w:t xml:space="preserve">to which the constituent character belongs (</w:t>
      </w:r>
      <w:r>
        <w:rPr>
          <w:rStyle w:val="VerbatimChar"/>
        </w:rPr>
        <w:t xml:space="preserve">hanzi_id</w:t>
      </w:r>
      <w:r>
        <w:t xml:space="preserve">); the ID of the</w:t>
      </w:r>
      <w:r>
        <w:t xml:space="preserve"> </w:t>
      </w:r>
      <w:r>
        <w:rPr>
          <w:iCs/>
          <w:i/>
        </w:rPr>
        <w:t xml:space="preserve">Myōgishō</w:t>
      </w:r>
      <w:r>
        <w:t xml:space="preserve"> </w:t>
      </w:r>
      <w:r>
        <w:rPr>
          <w:rStyle w:val="VerbatimChar"/>
          <w:bCs/>
          <w:b/>
        </w:rPr>
        <w:t xml:space="preserve">Entry</w:t>
      </w:r>
      <w:r>
        <w:t xml:space="preserve"> </w:t>
      </w:r>
      <w:r>
        <w:t xml:space="preserve">to which this character’s</w:t>
      </w:r>
      <w:r>
        <w:t xml:space="preserve"> </w:t>
      </w:r>
      <w:r>
        <w:rPr>
          <w:rStyle w:val="VerbatimChar"/>
          <w:bCs/>
          <w:b/>
        </w:rPr>
        <w:t xml:space="preserve">Headword</w:t>
      </w:r>
      <w:r>
        <w:t xml:space="preserve"> </w:t>
      </w:r>
      <w:r>
        <w:t xml:space="preserve">belongs (</w:t>
      </w:r>
      <w:r>
        <w:rPr>
          <w:rStyle w:val="VerbatimChar"/>
        </w:rPr>
        <w:t xml:space="preserve">entry_id</w:t>
      </w:r>
      <w:r>
        <w:t xml:space="preserve">); the order of the character within its</w:t>
      </w:r>
      <w:r>
        <w:t xml:space="preserve"> </w:t>
      </w:r>
      <w:r>
        <w:rPr>
          <w:rStyle w:val="VerbatimChar"/>
          <w:bCs/>
          <w:b/>
        </w:rPr>
        <w:t xml:space="preserve">Headword</w:t>
      </w:r>
      <w:r>
        <w:t xml:space="preserve"> </w:t>
      </w:r>
      <w:r>
        <w:t xml:space="preserve">(</w:t>
      </w:r>
      <w:r>
        <w:rPr>
          <w:rStyle w:val="VerbatimChar"/>
        </w:rPr>
        <w:t xml:space="preserve">character_order</w:t>
      </w:r>
      <w:r>
        <w:t xml:space="preserve">); the character itself (</w:t>
      </w:r>
      <w:r>
        <w:rPr>
          <w:rStyle w:val="VerbatimChar"/>
        </w:rPr>
        <w:t xml:space="preserve">constituent_char</w:t>
      </w:r>
      <w:r>
        <w:t xml:space="preserve">); the file name of the individually cropped image for the character (</w:t>
      </w:r>
      <w:r>
        <w:rPr>
          <w:rStyle w:val="VerbatimChar"/>
        </w:rPr>
        <w:t xml:space="preserve">img_file_name</w:t>
      </w:r>
      <w:r>
        <w:t xml:space="preserve">); and location information for that character in both the Kazama and Tenri editions (</w:t>
      </w:r>
      <w:r>
        <w:rPr>
          <w:rStyle w:val="VerbatimChar"/>
        </w:rPr>
        <w:t xml:space="preserve">kazama_location_id</w:t>
      </w:r>
      <w:r>
        <w:t xml:space="preserve">,</w:t>
      </w:r>
      <w:r>
        <w:t xml:space="preserve"> </w:t>
      </w:r>
      <w:r>
        <w:rPr>
          <w:rStyle w:val="VerbatimChar"/>
        </w:rPr>
        <w:t xml:space="preserve">tenri_location_id</w:t>
      </w:r>
      <w:r>
        <w:t xml:space="preserve">). This enables information access at the individual character level while allowing linkage with</w:t>
      </w:r>
      <w:r>
        <w:t xml:space="preserve"> </w:t>
      </w:r>
      <w:r>
        <w:rPr>
          <w:rStyle w:val="VerbatimChar"/>
          <w:bCs/>
          <w:b/>
        </w:rPr>
        <w:t xml:space="preserve">Entry</w:t>
      </w:r>
      <w:r>
        <w:t xml:space="preserve">-based data files such as</w:t>
      </w:r>
      <w:r>
        <w:t xml:space="preserve"> </w:t>
      </w:r>
      <w:r>
        <w:rPr>
          <w:rStyle w:val="VerbatimChar"/>
        </w:rPr>
        <w:t xml:space="preserve">krm_main</w:t>
      </w:r>
      <w:r>
        <w:t xml:space="preserve">.</w:t>
      </w:r>
    </w:p>
    <w:bookmarkEnd w:id="86"/>
    <w:bookmarkStart w:id="87" w:name="X616896bcb61c68145db499af2ad4cf7527d5c8d"/>
    <w:p>
      <w:pPr>
        <w:pStyle w:val="Heading2"/>
      </w:pPr>
      <w:r>
        <w:rPr>
          <w:rStyle w:val="SectionNumber"/>
        </w:rPr>
        <w:t xml:space="preserve">5.2</w:t>
      </w:r>
      <w:r>
        <w:tab/>
      </w:r>
      <w:r>
        <w:t xml:space="preserve">Description of each column</w:t>
      </w:r>
    </w:p>
    <w:p>
      <w:pPr>
        <w:pStyle w:val="FirstParagraph"/>
      </w:pPr>
      <w:r>
        <w:t xml:space="preserve">The column names and their descriptions for</w:t>
      </w:r>
      <w:r>
        <w:t xml:space="preserve"> </w:t>
      </w:r>
      <w:r>
        <w:rPr>
          <w:rStyle w:val="VerbatimChar"/>
        </w:rPr>
        <w:t xml:space="preserve">krm_headword_chars</w:t>
      </w:r>
      <w:r>
        <w:t xml:space="preserve"> </w:t>
      </w:r>
      <w:r>
        <w:t xml:space="preserve">are as follows:</w:t>
      </w:r>
    </w:p>
    <w:tbl>
      <w:tblPr>
        <w:tblStyle w:val="Table"/>
        <w:tblW w:type="pct" w:w="5000"/>
        <w:tblLook w:firstRow="1" w:lastRow="0" w:firstColumn="0" w:lastColumn="0" w:noHBand="0" w:noVBand="0" w:val="0020"/>
        <w:jc w:val="start"/>
      </w:tblPr>
      <w:tblGrid>
        <w:gridCol w:w="2112"/>
        <w:gridCol w:w="5808"/>
      </w:tblGrid>
      <w:tr>
        <w:trPr>
          <w:tblHeader w:val="true"/>
        </w:trPr>
        <w:tc>
          <w:tcPr/>
          <w:p>
            <w:pPr>
              <w:pStyle w:val="Compact"/>
              <w:jc w:val="left"/>
            </w:pPr>
            <w:r>
              <w:t xml:space="preserve">Column Name</w:t>
            </w:r>
          </w:p>
        </w:tc>
        <w:tc>
          <w:tcPr/>
          <w:p>
            <w:pPr>
              <w:pStyle w:val="Compact"/>
              <w:jc w:val="left"/>
            </w:pPr>
            <w:r>
              <w:t xml:space="preserve">English Explanation</w:t>
            </w:r>
          </w:p>
        </w:tc>
      </w:tr>
      <w:tr>
        <w:tc>
          <w:tcPr/>
          <w:p>
            <w:pPr>
              <w:pStyle w:val="Compact"/>
              <w:jc w:val="left"/>
            </w:pPr>
            <w:r>
              <w:t xml:space="preserve">hanzi_id</w:t>
            </w:r>
          </w:p>
        </w:tc>
        <w:tc>
          <w:tcPr/>
          <w:p>
            <w:pPr>
              <w:pStyle w:val="Compact"/>
              <w:jc w:val="left"/>
            </w:pPr>
            <w:r>
              <w:t xml:space="preserve">A sequential ID assigned to each</w:t>
            </w:r>
            <w:r>
              <w:t xml:space="preserve"> </w:t>
            </w:r>
            <w:r>
              <w:rPr>
                <w:rStyle w:val="VerbatimChar"/>
                <w:bCs/>
                <w:b/>
              </w:rPr>
              <w:t xml:space="preserve">Headword</w:t>
            </w:r>
            <w:r>
              <w:t xml:space="preserve"> </w:t>
            </w:r>
            <w:r>
              <w:t xml:space="preserve">(whether single or multi-character) in the order of its appearance in the</w:t>
            </w:r>
            <w:r>
              <w:t xml:space="preserve"> </w:t>
            </w:r>
            <w:r>
              <w:rPr>
                <w:iCs/>
                <w:i/>
              </w:rPr>
              <w:t xml:space="preserve">Myōgishō</w:t>
            </w:r>
            <w:r>
              <w:t xml:space="preserve">. It consists of a 5-digit numeric ID starting with</w:t>
            </w:r>
            <w:r>
              <w:t xml:space="preserve"> </w:t>
            </w:r>
            <w:r>
              <w:t xml:space="preserve">‘</w:t>
            </w:r>
            <w:r>
              <w:t xml:space="preserve">S</w:t>
            </w:r>
            <w:r>
              <w:t xml:space="preserve">’</w:t>
            </w:r>
            <w:r>
              <w:t xml:space="preserve">.</w:t>
            </w:r>
          </w:p>
        </w:tc>
      </w:tr>
      <w:tr>
        <w:tc>
          <w:tcPr/>
          <w:p>
            <w:pPr>
              <w:pStyle w:val="Compact"/>
              <w:jc w:val="left"/>
            </w:pPr>
            <w:r>
              <w:t xml:space="preserve">entry_id</w:t>
            </w:r>
          </w:p>
        </w:tc>
        <w:tc>
          <w:tcPr/>
          <w:p>
            <w:pPr>
              <w:pStyle w:val="Compact"/>
              <w:jc w:val="left"/>
            </w:pPr>
            <w:r>
              <w:t xml:space="preserve">The ID of the</w:t>
            </w:r>
            <w:r>
              <w:t xml:space="preserve"> </w:t>
            </w:r>
            <w:r>
              <w:rPr>
                <w:rStyle w:val="VerbatimChar"/>
                <w:bCs/>
                <w:b/>
              </w:rPr>
              <w:t xml:space="preserve">Entry</w:t>
            </w:r>
            <w:r>
              <w:t xml:space="preserve"> </w:t>
            </w:r>
            <w:r>
              <w:t xml:space="preserve">(from</w:t>
            </w:r>
            <w:r>
              <w:t xml:space="preserve"> </w:t>
            </w:r>
            <w:r>
              <w:rPr>
                <w:rStyle w:val="VerbatimChar"/>
              </w:rPr>
              <w:t xml:space="preserve">krm_main</w:t>
            </w:r>
            <w:r>
              <w:t xml:space="preserve">) to which the</w:t>
            </w:r>
            <w:r>
              <w:t xml:space="preserve"> </w:t>
            </w:r>
            <w:r>
              <w:rPr>
                <w:rStyle w:val="VerbatimChar"/>
                <w:bCs/>
                <w:b/>
              </w:rPr>
              <w:t xml:space="preserve">Headword</w:t>
            </w:r>
            <w:r>
              <w:t xml:space="preserve"> </w:t>
            </w:r>
            <w:r>
              <w:t xml:space="preserve">(containing this constituent character) belongs. This ID is a 5-digit numeric value starting with</w:t>
            </w:r>
            <w:r>
              <w:t xml:space="preserve"> </w:t>
            </w:r>
            <w:r>
              <w:t xml:space="preserve">‘</w:t>
            </w:r>
            <w:r>
              <w:t xml:space="preserve">F</w:t>
            </w:r>
            <w:r>
              <w:t xml:space="preserve">’</w:t>
            </w:r>
            <w:r>
              <w:t xml:space="preserve">. For some newly added</w:t>
            </w:r>
            <w:r>
              <w:t xml:space="preserve"> </w:t>
            </w:r>
            <w:r>
              <w:rPr>
                <w:rStyle w:val="VerbatimChar"/>
                <w:bCs/>
                <w:b/>
              </w:rPr>
              <w:t xml:space="preserve">Entries</w:t>
            </w:r>
            <w:r>
              <w:t xml:space="preserve">, a</w:t>
            </w:r>
            <w:r>
              <w:t xml:space="preserve"> </w:t>
            </w:r>
            <w:r>
              <w:t xml:space="preserve">‘</w:t>
            </w:r>
            <w:r>
              <w:t xml:space="preserve">b</w:t>
            </w:r>
            <w:r>
              <w:t xml:space="preserve">’</w:t>
            </w:r>
            <w:r>
              <w:t xml:space="preserve"> </w:t>
            </w:r>
            <w:r>
              <w:t xml:space="preserve">suffix is appended.</w:t>
            </w:r>
          </w:p>
        </w:tc>
      </w:tr>
      <w:tr>
        <w:tc>
          <w:tcPr/>
          <w:p>
            <w:pPr>
              <w:pStyle w:val="Compact"/>
              <w:jc w:val="left"/>
            </w:pPr>
            <w:r>
              <w:t xml:space="preserve">constituent_char</w:t>
            </w:r>
          </w:p>
        </w:tc>
        <w:tc>
          <w:tcPr/>
          <w:p>
            <w:pPr>
              <w:pStyle w:val="Compact"/>
              <w:jc w:val="left"/>
            </w:pPr>
            <w:r>
              <w:t xml:space="preserve">The constituent</w:t>
            </w:r>
            <w:r>
              <w:t xml:space="preserve"> </w:t>
            </w:r>
            <w:r>
              <w:rPr>
                <w:bCs/>
                <w:b/>
              </w:rPr>
              <w:t xml:space="preserve">Chinese character</w:t>
            </w:r>
            <w:r>
              <w:t xml:space="preserve"> </w:t>
            </w:r>
            <w:r>
              <w:t xml:space="preserve">itself. Abbreviation marks (ー) and iteration marks (〻) are converted to the actual characters they represent. Collated</w:t>
            </w:r>
            <w:r>
              <w:t xml:space="preserve"> </w:t>
            </w:r>
            <w:r>
              <w:rPr>
                <w:bCs/>
                <w:b/>
              </w:rPr>
              <w:t xml:space="preserve">Chinese characters</w:t>
            </w:r>
            <w:r>
              <w:t xml:space="preserve"> </w:t>
            </w:r>
            <w:r>
              <w:t xml:space="preserve">are, in principle, Kangxi Dictionary forms; the handling of Unicode new character forms (common-use forms, popular variants) is specified separately. For detailed collation notes, refer to</w:t>
            </w:r>
            <w:r>
              <w:t xml:space="preserve"> </w:t>
            </w:r>
            <w:r>
              <w:rPr>
                <w:rStyle w:val="VerbatimChar"/>
              </w:rPr>
              <w:t xml:space="preserve">krm_notes</w:t>
            </w:r>
            <w:r>
              <w:t xml:space="preserve"> </w:t>
            </w:r>
            <w:r>
              <w:t xml:space="preserve">(for</w:t>
            </w:r>
            <w:r>
              <w:t xml:space="preserve"> </w:t>
            </w:r>
            <w:r>
              <w:rPr>
                <w:rStyle w:val="VerbatimChar"/>
                <w:bCs/>
                <w:b/>
              </w:rPr>
              <w:t xml:space="preserve">Compiler's Remarks</w:t>
            </w:r>
            <w:r>
              <w:t xml:space="preserve"> </w:t>
            </w:r>
            <w:r>
              <w:t xml:space="preserve">on collation).</w:t>
            </w:r>
          </w:p>
        </w:tc>
      </w:tr>
      <w:tr>
        <w:tc>
          <w:tcPr/>
          <w:p>
            <w:pPr>
              <w:pStyle w:val="Compact"/>
              <w:jc w:val="left"/>
            </w:pPr>
            <w:r>
              <w:t xml:space="preserve">character_order</w:t>
            </w:r>
          </w:p>
        </w:tc>
        <w:tc>
          <w:tcPr/>
          <w:p>
            <w:pPr>
              <w:pStyle w:val="Compact"/>
              <w:jc w:val="left"/>
            </w:pPr>
            <w:r>
              <w:t xml:space="preserve">Indicates the numerical order of appearance of the character within its</w:t>
            </w:r>
            <w:r>
              <w:t xml:space="preserve"> </w:t>
            </w:r>
            <w:r>
              <w:rPr>
                <w:rStyle w:val="VerbatimChar"/>
                <w:bCs/>
                <w:b/>
              </w:rPr>
              <w:t xml:space="preserve">Headword</w:t>
            </w:r>
            <w:r>
              <w:t xml:space="preserve">.</w:t>
            </w:r>
          </w:p>
        </w:tc>
      </w:tr>
      <w:tr>
        <w:tc>
          <w:tcPr/>
          <w:p>
            <w:pPr>
              <w:pStyle w:val="Compact"/>
              <w:jc w:val="left"/>
            </w:pPr>
            <w:r>
              <w:t xml:space="preserve">kazama_location_id</w:t>
            </w:r>
          </w:p>
        </w:tc>
        <w:tc>
          <w:tcPr/>
          <w:p>
            <w:pPr>
              <w:pStyle w:val="Compact"/>
              <w:jc w:val="left"/>
            </w:pPr>
            <w:r>
              <w:t xml:space="preserve">An ID indicating the location of this constituent character in the Kazama Edition: K + Volume (2 digits) + Page (3 digits) + Line (1 digit) + Segment (1 digit) + Character Order in Segment (1 digit).</w:t>
            </w:r>
          </w:p>
        </w:tc>
      </w:tr>
      <w:tr>
        <w:tc>
          <w:tcPr/>
          <w:p>
            <w:pPr>
              <w:pStyle w:val="Compact"/>
              <w:jc w:val="left"/>
            </w:pPr>
            <w:r>
              <w:t xml:space="preserve">tenri_location_id</w:t>
            </w:r>
          </w:p>
        </w:tc>
        <w:tc>
          <w:tcPr/>
          <w:p>
            <w:pPr>
              <w:pStyle w:val="Compact"/>
              <w:jc w:val="left"/>
            </w:pPr>
            <w:r>
              <w:t xml:space="preserve">An ID indicating the location of this constituent character in the Tenri Edition: T + Volume (a/b/c) + Page (3 digits) + Line (1 digit) + Segment (1 digit) + Character Order in Segment (1 digit).</w:t>
            </w:r>
          </w:p>
        </w:tc>
      </w:tr>
      <w:tr>
        <w:tc>
          <w:tcPr/>
          <w:p>
            <w:pPr>
              <w:pStyle w:val="Compact"/>
              <w:jc w:val="left"/>
            </w:pPr>
            <w:r>
              <w:t xml:space="preserve">img_file_name</w:t>
            </w:r>
          </w:p>
        </w:tc>
        <w:tc>
          <w:tcPr/>
          <w:p>
            <w:pPr>
              <w:pStyle w:val="Compact"/>
              <w:jc w:val="left"/>
            </w:pPr>
            <w:r>
              <w:t xml:space="preserve">File name of the image for the constituent</w:t>
            </w:r>
            <w:r>
              <w:t xml:space="preserve"> </w:t>
            </w:r>
            <w:r>
              <w:rPr>
                <w:rStyle w:val="VerbatimChar"/>
                <w:bCs/>
                <w:b/>
              </w:rPr>
              <w:t xml:space="preserve">Headword</w:t>
            </w:r>
            <w:r>
              <w:t xml:space="preserve"> </w:t>
            </w:r>
            <w:r>
              <w:t xml:space="preserve">character (including the .jpg extension). The main part of the file name consists of a 7-digit number for images from Volume 1 to Volume 9, and an 8-digit number for images from Volume 10. For 7-digit numbers, the first digit indicates the volume number; for 8-digit numbers, the first two digits indicate Volume 10. The last 6 digits are based on the order of appearance, assigned according to a unique internal rule. Detailed documentation for this naming convention is not available as the work was completed over two decades ago. Null if no image is available.</w:t>
            </w:r>
          </w:p>
        </w:tc>
      </w:tr>
    </w:tbl>
    <w:bookmarkEnd w:id="87"/>
    <w:bookmarkEnd w:id="88"/>
    <w:bookmarkEnd w:id="89"/>
    <w:bookmarkStart w:id="94" w:name="X8f40d7002e051afb50b943da708e485ec1f2cee"/>
    <w:bookmarkStart w:id="93" w:name="X5c4346a39a72bb50219e66e35565963760f8829"/>
    <w:p>
      <w:pPr>
        <w:pStyle w:val="Heading1"/>
      </w:pPr>
      <w:r>
        <w:rPr>
          <w:rStyle w:val="SectionNumber"/>
        </w:rPr>
        <w:t xml:space="preserve">6</w:t>
      </w:r>
      <w:r>
        <w:tab/>
      </w:r>
      <w:r>
        <w:t xml:space="preserve">krm_wakun</w:t>
      </w:r>
    </w:p>
    <w:bookmarkStart w:id="90" w:name="X1fc403265833c6e41fe30bf6ab91cc3a604fe69"/>
    <w:p>
      <w:pPr>
        <w:pStyle w:val="Heading2"/>
      </w:pPr>
      <w:r>
        <w:rPr>
          <w:rStyle w:val="SectionNumber"/>
        </w:rPr>
        <w:t xml:space="preserve">6.1</w:t>
      </w:r>
      <w:r>
        <w:tab/>
      </w:r>
      <w:r>
        <w:t xml:space="preserve">Overview and file formats</w:t>
      </w:r>
    </w:p>
    <w:p>
      <w:pPr>
        <w:pStyle w:val="FirstParagraph"/>
      </w:pPr>
      <w:r>
        <w:t xml:space="preserve">This data file is derived by extracting</w:t>
      </w:r>
      <w:r>
        <w:t xml:space="preserve"> </w:t>
      </w:r>
      <w:r>
        <w:rPr>
          <w:rStyle w:val="VerbatimChar"/>
          <w:bCs/>
          <w:b/>
        </w:rPr>
        <w:t xml:space="preserve">Japanese Native Readings (*wakun*)</w:t>
      </w:r>
      <w:r>
        <w:t xml:space="preserve"> </w:t>
      </w:r>
      <w:r>
        <w:t xml:space="preserve">from the</w:t>
      </w:r>
      <w:r>
        <w:t xml:space="preserve"> </w:t>
      </w:r>
      <w:r>
        <w:rPr>
          <w:rStyle w:val="VerbatimChar"/>
        </w:rPr>
        <w:t xml:space="preserve">KRM.tsv</w:t>
      </w:r>
      <w:r>
        <w:t xml:space="preserve"> </w:t>
      </w:r>
      <w:r>
        <w:t xml:space="preserve">file (an older version of</w:t>
      </w:r>
      <w:r>
        <w:t xml:space="preserve"> </w:t>
      </w:r>
      <w:r>
        <w:rPr>
          <w:rStyle w:val="VerbatimChar"/>
        </w:rPr>
        <w:t xml:space="preserve">krm_main</w:t>
      </w:r>
      <w:r>
        <w:t xml:space="preserve">) of the</w:t>
      </w:r>
      <w:r>
        <w:t xml:space="preserve"> </w:t>
      </w:r>
      <w:r>
        <w:rPr>
          <w:iCs/>
          <w:i/>
        </w:rPr>
        <w:t xml:space="preserve">Myōgishō</w:t>
      </w:r>
      <w:r>
        <w:t xml:space="preserve"> </w:t>
      </w:r>
      <w:r>
        <w:t xml:space="preserve">database, organizing variant forms of these</w:t>
      </w:r>
      <w:r>
        <w:t xml:space="preserve"> </w:t>
      </w:r>
      <w:r>
        <w:rPr>
          <w:rStyle w:val="VerbatimChar"/>
          <w:bCs/>
          <w:b/>
        </w:rPr>
        <w:t xml:space="preserve">wakun</w:t>
      </w:r>
      <w:r>
        <w:t xml:space="preserve">, and adjusting their correspondence with</w:t>
      </w:r>
      <w:r>
        <w:t xml:space="preserve"> </w:t>
      </w:r>
      <w:r>
        <w:rPr>
          <w:rStyle w:val="VerbatimChar"/>
          <w:bCs/>
          <w:b/>
        </w:rPr>
        <w:t xml:space="preserve">variant characters (*itaiji*)</w:t>
      </w:r>
      <w:r>
        <w:t xml:space="preserve">.</w:t>
      </w:r>
    </w:p>
    <w:p>
      <w:pPr>
        <w:pStyle w:val="BodyText"/>
      </w:pPr>
      <w:r>
        <w:t xml:space="preserve">Collation notes and source investigations related to</w:t>
      </w:r>
      <w:r>
        <w:t xml:space="preserve"> </w:t>
      </w:r>
      <w:r>
        <w:rPr>
          <w:rStyle w:val="VerbatimChar"/>
          <w:bCs/>
          <w:b/>
        </w:rPr>
        <w:t xml:space="preserve">wakun</w:t>
      </w:r>
      <w:r>
        <w:t xml:space="preserve"> </w:t>
      </w:r>
      <w:r>
        <w:t xml:space="preserve">are documented in the</w:t>
      </w:r>
      <w:r>
        <w:t xml:space="preserve"> </w:t>
      </w:r>
      <w:r>
        <w:rPr>
          <w:rStyle w:val="VerbatimChar"/>
        </w:rPr>
        <w:t xml:space="preserve">krm_notes</w:t>
      </w:r>
      <w:r>
        <w:t xml:space="preserve"> </w:t>
      </w:r>
      <w:r>
        <w:t xml:space="preserve">file (which contains data for</w:t>
      </w:r>
      <w:r>
        <w:t xml:space="preserve"> </w:t>
      </w:r>
      <w:r>
        <w:rPr>
          <w:rStyle w:val="VerbatimChar"/>
          <w:bCs/>
          <w:b/>
        </w:rPr>
        <w:t xml:space="preserve">Compiler's Remarks</w:t>
      </w:r>
      <w:r>
        <w:t xml:space="preserve">), so they are omitted here.</w:t>
      </w:r>
    </w:p>
    <w:p>
      <w:pPr>
        <w:pStyle w:val="BodyText"/>
      </w:pPr>
      <w:r>
        <w:t xml:space="preserve">In some</w:t>
      </w:r>
      <w:r>
        <w:t xml:space="preserve"> </w:t>
      </w:r>
      <w:r>
        <w:rPr>
          <w:rStyle w:val="VerbatimChar"/>
          <w:bCs/>
          <w:b/>
        </w:rPr>
        <w:t xml:space="preserve">wakun</w:t>
      </w:r>
      <w:r>
        <w:t xml:space="preserve"> </w:t>
      </w:r>
      <w:r>
        <w:t xml:space="preserve">entries, different phonetic readings are presented side-by-side as annotations.</w:t>
      </w:r>
      <w:r>
        <w:t xml:space="preserve"> </w:t>
      </w:r>
      <w:r>
        <w:t xml:space="preserve">For example, the</w:t>
      </w:r>
      <w:r>
        <w:t xml:space="preserve"> </w:t>
      </w:r>
      <w:r>
        <w:rPr>
          <w:rStyle w:val="VerbatimChar"/>
          <w:bCs/>
          <w:b/>
        </w:rPr>
        <w:t xml:space="preserve">wakun</w:t>
      </w:r>
      <w:r>
        <w:t xml:space="preserve"> </w:t>
      </w:r>
      <w:r>
        <w:t xml:space="preserve">“</w:t>
      </w:r>
      <w:r>
        <w:t xml:space="preserve">マサル</w:t>
      </w:r>
      <w:r>
        <w:t xml:space="preserve">”</w:t>
      </w:r>
      <w:r>
        <w:t xml:space="preserve"> </w:t>
      </w:r>
      <w:r>
        <w:t xml:space="preserve">(masaru) is assigned to the</w:t>
      </w:r>
      <w:r>
        <w:t xml:space="preserve"> </w:t>
      </w:r>
      <w:r>
        <w:rPr>
          <w:rStyle w:val="VerbatimChar"/>
          <w:bCs/>
          <w:b/>
        </w:rPr>
        <w:t xml:space="preserve">Hanzi (Chinese character)</w:t>
      </w:r>
      <w:r>
        <w:t xml:space="preserve"> </w:t>
      </w:r>
      <w:r>
        <w:t xml:space="preserve">“</w:t>
      </w:r>
      <w:r>
        <w:t xml:space="preserve">倍</w:t>
      </w:r>
      <w:r>
        <w:t xml:space="preserve">”</w:t>
      </w:r>
      <w:r>
        <w:t xml:space="preserve"> </w:t>
      </w:r>
      <w:r>
        <w:t xml:space="preserve">(bai), but</w:t>
      </w:r>
      <w:r>
        <w:t xml:space="preserve"> </w:t>
      </w:r>
      <w:r>
        <w:t xml:space="preserve">“</w:t>
      </w:r>
      <w:r>
        <w:t xml:space="preserve">ス</w:t>
      </w:r>
      <w:r>
        <w:t xml:space="preserve">”</w:t>
      </w:r>
      <w:r>
        <w:t xml:space="preserve"> </w:t>
      </w:r>
      <w:r>
        <w:t xml:space="preserve">(su) is written in small katakana to the right of</w:t>
      </w:r>
      <w:r>
        <w:t xml:space="preserve"> </w:t>
      </w:r>
      <w:r>
        <w:t xml:space="preserve">“</w:t>
      </w:r>
      <w:r>
        <w:t xml:space="preserve">ル</w:t>
      </w:r>
      <w:r>
        <w:t xml:space="preserve">”</w:t>
      </w:r>
      <w:r>
        <w:t xml:space="preserve"> </w:t>
      </w:r>
      <w:r>
        <w:t xml:space="preserve">(ru) as an additional note. This indicates that the</w:t>
      </w:r>
      <w:r>
        <w:t xml:space="preserve"> </w:t>
      </w:r>
      <w:r>
        <w:rPr>
          <w:rStyle w:val="VerbatimChar"/>
          <w:bCs/>
          <w:b/>
        </w:rPr>
        <w:t xml:space="preserve">wakun</w:t>
      </w:r>
      <w:r>
        <w:t xml:space="preserve"> </w:t>
      </w:r>
      <w:r>
        <w:t xml:space="preserve">“</w:t>
      </w:r>
      <w:r>
        <w:t xml:space="preserve">マス</w:t>
      </w:r>
      <w:r>
        <w:t xml:space="preserve">”</w:t>
      </w:r>
      <w:r>
        <w:t xml:space="preserve"> </w:t>
      </w:r>
      <w:r>
        <w:t xml:space="preserve">(masu) is also noted in addition to</w:t>
      </w:r>
      <w:r>
        <w:t xml:space="preserve"> </w:t>
      </w:r>
      <w:r>
        <w:t xml:space="preserve">“</w:t>
      </w:r>
      <w:r>
        <w:t xml:space="preserve">マサル</w:t>
      </w:r>
      <w:r>
        <w:t xml:space="preserve">”</w:t>
      </w:r>
      <w:r>
        <w:t xml:space="preserve"> </w:t>
      </w:r>
      <w:r>
        <w:t xml:space="preserve">(masaru).</w:t>
      </w:r>
    </w:p>
    <w:p>
      <w:pPr>
        <w:pStyle w:val="BodyText"/>
      </w:pPr>
      <w:r>
        <w:t xml:space="preserve">Since information from the JapanKnowledge version of the</w:t>
      </w:r>
      <w:r>
        <w:t xml:space="preserve"> </w:t>
      </w:r>
      <w:r>
        <w:rPr>
          <w:iCs/>
          <w:i/>
        </w:rPr>
        <w:t xml:space="preserve">Nihon Kokugo Daijiten</w:t>
      </w:r>
      <w:r>
        <w:t xml:space="preserve"> </w:t>
      </w:r>
      <w:r>
        <w:t xml:space="preserve">(Second Edition) will be added to the</w:t>
      </w:r>
      <w:r>
        <w:t xml:space="preserve"> </w:t>
      </w:r>
      <w:r>
        <w:rPr>
          <w:rStyle w:val="VerbatimChar"/>
          <w:bCs/>
          <w:b/>
        </w:rPr>
        <w:t xml:space="preserve">wakun</w:t>
      </w:r>
      <w:r>
        <w:t xml:space="preserve"> </w:t>
      </w:r>
      <w:r>
        <w:t xml:space="preserve">data, it is necessary to accommodate cases where variant forms of</w:t>
      </w:r>
      <w:r>
        <w:t xml:space="preserve"> </w:t>
      </w:r>
      <w:r>
        <w:rPr>
          <w:rStyle w:val="VerbatimChar"/>
          <w:bCs/>
          <w:b/>
        </w:rPr>
        <w:t xml:space="preserve">wakun</w:t>
      </w:r>
      <w:r>
        <w:t xml:space="preserve"> </w:t>
      </w:r>
      <w:r>
        <w:t xml:space="preserve">are presented together.</w:t>
      </w:r>
    </w:p>
    <w:p>
      <w:pPr>
        <w:pStyle w:val="BodyText"/>
      </w:pPr>
      <w:r>
        <w:t xml:space="preserve">The correspondence with</w:t>
      </w:r>
      <w:r>
        <w:t xml:space="preserve"> </w:t>
      </w:r>
      <w:r>
        <w:rPr>
          <w:rStyle w:val="VerbatimChar"/>
          <w:bCs/>
          <w:b/>
        </w:rPr>
        <w:t xml:space="preserve">variant characters (*itaiji*)</w:t>
      </w:r>
      <w:r>
        <w:t xml:space="preserve"> </w:t>
      </w:r>
      <w:r>
        <w:t xml:space="preserve">has been adjusted because</w:t>
      </w:r>
      <w:r>
        <w:t xml:space="preserve"> </w:t>
      </w:r>
      <w:r>
        <w:rPr>
          <w:rStyle w:val="VerbatimChar"/>
          <w:bCs/>
          <w:b/>
        </w:rPr>
        <w:t xml:space="preserve">Headwords</w:t>
      </w:r>
      <w:r>
        <w:t xml:space="preserve"> </w:t>
      </w:r>
      <w:r>
        <w:t xml:space="preserve">in the</w:t>
      </w:r>
      <w:r>
        <w:t xml:space="preserve"> </w:t>
      </w:r>
      <w:r>
        <w:rPr>
          <w:iCs/>
          <w:i/>
        </w:rPr>
        <w:t xml:space="preserve">Myōgishō</w:t>
      </w:r>
      <w:r>
        <w:t xml:space="preserve"> </w:t>
      </w:r>
      <w:r>
        <w:t xml:space="preserve">sometimes indicate such variants.</w:t>
      </w:r>
      <w:r>
        <w:t xml:space="preserve"> </w:t>
      </w:r>
      <w:r>
        <w:t xml:space="preserve">For example, the</w:t>
      </w:r>
      <w:r>
        <w:t xml:space="preserve"> </w:t>
      </w:r>
      <w:r>
        <w:rPr>
          <w:rStyle w:val="VerbatimChar"/>
          <w:bCs/>
          <w:b/>
        </w:rPr>
        <w:t xml:space="preserve">wakun</w:t>
      </w:r>
      <w:r>
        <w:t xml:space="preserve"> </w:t>
      </w:r>
      <w:r>
        <w:t xml:space="preserve">“</w:t>
      </w:r>
      <w:r>
        <w:t xml:space="preserve">ヤツカレ</w:t>
      </w:r>
      <w:r>
        <w:t xml:space="preserve">”</w:t>
      </w:r>
      <w:r>
        <w:t xml:space="preserve"> </w:t>
      </w:r>
      <w:r>
        <w:t xml:space="preserve">(yatsukare) appears in the</w:t>
      </w:r>
      <w:r>
        <w:t xml:space="preserve"> </w:t>
      </w:r>
      <w:r>
        <w:rPr>
          <w:rStyle w:val="VerbatimChar"/>
          <w:bCs/>
          <w:b/>
        </w:rPr>
        <w:t xml:space="preserve">Definition (Original Glosses)</w:t>
      </w:r>
      <w:r>
        <w:t xml:space="preserve"> </w:t>
      </w:r>
      <w:r>
        <w:t xml:space="preserve">for the</w:t>
      </w:r>
      <w:r>
        <w:t xml:space="preserve"> </w:t>
      </w:r>
      <w:r>
        <w:rPr>
          <w:rStyle w:val="VerbatimChar"/>
          <w:bCs/>
          <w:b/>
        </w:rPr>
        <w:t xml:space="preserve">Headword(s)</w:t>
      </w:r>
      <w:r>
        <w:t xml:space="preserve"> </w:t>
      </w:r>
      <w:r>
        <w:t xml:space="preserve">“</w:t>
      </w:r>
      <w:r>
        <w:t xml:space="preserve">㒒／僕</w:t>
      </w:r>
      <w:r>
        <w:t xml:space="preserve">”</w:t>
      </w:r>
      <w:r>
        <w:t xml:space="preserve">. The</w:t>
      </w:r>
      <w:r>
        <w:t xml:space="preserve"> </w:t>
      </w:r>
      <w:r>
        <w:rPr>
          <w:rStyle w:val="VerbatimChar"/>
          <w:bCs/>
          <w:b/>
        </w:rPr>
        <w:t xml:space="preserve">wakun</w:t>
      </w:r>
      <w:r>
        <w:t xml:space="preserve"> </w:t>
      </w:r>
      <w:r>
        <w:t xml:space="preserve">“</w:t>
      </w:r>
      <w:r>
        <w:t xml:space="preserve">ヤツカレ</w:t>
      </w:r>
      <w:r>
        <w:t xml:space="preserve">”</w:t>
      </w:r>
      <w:r>
        <w:t xml:space="preserve"> </w:t>
      </w:r>
      <w:r>
        <w:t xml:space="preserve">is a</w:t>
      </w:r>
      <w:r>
        <w:t xml:space="preserve"> </w:t>
      </w:r>
      <w:r>
        <w:rPr>
          <w:rStyle w:val="VerbatimChar"/>
          <w:bCs/>
          <w:b/>
        </w:rPr>
        <w:t xml:space="preserve">Japanese Native Reading</w:t>
      </w:r>
      <w:r>
        <w:t xml:space="preserve"> </w:t>
      </w:r>
      <w:r>
        <w:t xml:space="preserve">for</w:t>
      </w:r>
      <w:r>
        <w:t xml:space="preserve"> </w:t>
      </w:r>
      <w:r>
        <w:t xml:space="preserve">“</w:t>
      </w:r>
      <w:r>
        <w:t xml:space="preserve">僕</w:t>
      </w:r>
      <w:r>
        <w:t xml:space="preserve">”</w:t>
      </w:r>
      <w:r>
        <w:t xml:space="preserve"> </w:t>
      </w:r>
      <w:r>
        <w:t xml:space="preserve">(boku) and simultaneously for</w:t>
      </w:r>
      <w:r>
        <w:t xml:space="preserve"> </w:t>
      </w:r>
      <w:r>
        <w:t xml:space="preserve">“</w:t>
      </w:r>
      <w:r>
        <w:t xml:space="preserve">㒒</w:t>
      </w:r>
      <w:r>
        <w:t xml:space="preserve">”</w:t>
      </w:r>
      <w:r>
        <w:t xml:space="preserve">. The relationship between standard and variant forms such as</w:t>
      </w:r>
      <w:r>
        <w:t xml:space="preserve"> </w:t>
      </w:r>
      <w:r>
        <w:t xml:space="preserve">“</w:t>
      </w:r>
      <w:r>
        <w:t xml:space="preserve">爲</w:t>
      </w:r>
      <w:r>
        <w:t xml:space="preserve">”</w:t>
      </w:r>
      <w:r>
        <w:t xml:space="preserve"> </w:t>
      </w:r>
      <w:r>
        <w:t xml:space="preserve">and</w:t>
      </w:r>
      <w:r>
        <w:t xml:space="preserve"> </w:t>
      </w:r>
      <w:r>
        <w:t xml:space="preserve">“</w:t>
      </w:r>
      <w:r>
        <w:t xml:space="preserve">為</w:t>
      </w:r>
      <w:r>
        <w:t xml:space="preserve">”</w:t>
      </w:r>
      <w:r>
        <w:t xml:space="preserve">, or</w:t>
      </w:r>
      <w:r>
        <w:t xml:space="preserve"> </w:t>
      </w:r>
      <w:r>
        <w:t xml:space="preserve">“</w:t>
      </w:r>
      <w:r>
        <w:t xml:space="preserve">來</w:t>
      </w:r>
      <w:r>
        <w:t xml:space="preserve">”</w:t>
      </w:r>
      <w:r>
        <w:t xml:space="preserve"> </w:t>
      </w:r>
      <w:r>
        <w:t xml:space="preserve">and</w:t>
      </w:r>
      <w:r>
        <w:t xml:space="preserve"> </w:t>
      </w:r>
      <w:r>
        <w:t xml:space="preserve">“</w:t>
      </w:r>
      <w:r>
        <w:t xml:space="preserve">来</w:t>
      </w:r>
      <w:r>
        <w:t xml:space="preserve">”</w:t>
      </w:r>
      <w:r>
        <w:t xml:space="preserve"> </w:t>
      </w:r>
      <w:r>
        <w:t xml:space="preserve">is handled similarly.</w:t>
      </w:r>
    </w:p>
    <w:p>
      <w:pPr>
        <w:pStyle w:val="BodyText"/>
      </w:pPr>
      <w:r>
        <w:t xml:space="preserve">The JapanKnowledge version of the</w:t>
      </w:r>
      <w:r>
        <w:t xml:space="preserve"> </w:t>
      </w:r>
      <w:r>
        <w:rPr>
          <w:iCs/>
          <w:i/>
        </w:rPr>
        <w:t xml:space="preserve">Nihon Kokugo Daijiten</w:t>
      </w:r>
      <w:r>
        <w:t xml:space="preserve"> </w:t>
      </w:r>
      <w:r>
        <w:t xml:space="preserve">(Second Edition) has a</w:t>
      </w:r>
      <w:r>
        <w:t xml:space="preserve"> </w:t>
      </w:r>
      <w:r>
        <w:t xml:space="preserve">“</w:t>
      </w:r>
      <w:r>
        <w:t xml:space="preserve">Notation</w:t>
      </w:r>
      <w:r>
        <w:t xml:space="preserve">”</w:t>
      </w:r>
      <w:r>
        <w:t xml:space="preserve"> </w:t>
      </w:r>
      <w:r>
        <w:t xml:space="preserve">(表記) field that includes</w:t>
      </w:r>
      <w:r>
        <w:t xml:space="preserve"> </w:t>
      </w:r>
      <w:r>
        <w:rPr>
          <w:rStyle w:val="VerbatimChar"/>
          <w:bCs/>
          <w:b/>
        </w:rPr>
        <w:t xml:space="preserve">Hanzi (Chinese character)</w:t>
      </w:r>
      <w:r>
        <w:t xml:space="preserve"> </w:t>
      </w:r>
      <w:r>
        <w:t xml:space="preserve">notations from the</w:t>
      </w:r>
      <w:r>
        <w:t xml:space="preserve"> </w:t>
      </w:r>
      <w:r>
        <w:rPr>
          <w:iCs/>
          <w:i/>
        </w:rPr>
        <w:t xml:space="preserve">Myōgishō</w:t>
      </w:r>
      <w:r>
        <w:t xml:space="preserve">; this adjustment is a measure to ensure correspondence with that resource.</w:t>
      </w:r>
    </w:p>
    <w:p>
      <w:pPr>
        <w:pStyle w:val="BodyText"/>
      </w:pPr>
      <w:r>
        <w:t xml:space="preserve">To explicitly indicate that these are the filenames after the specification change in March 2025, lowercase</w:t>
      </w:r>
      <w:r>
        <w:t xml:space="preserve"> </w:t>
      </w:r>
      <w:r>
        <w:t xml:space="preserve">“</w:t>
      </w:r>
      <w:r>
        <w:t xml:space="preserve">krm</w:t>
      </w:r>
      <w:r>
        <w:t xml:space="preserve">”</w:t>
      </w:r>
      <w:r>
        <w:t xml:space="preserve"> </w:t>
      </w:r>
      <w:r>
        <w:t xml:space="preserve">was used instead of uppercase</w:t>
      </w:r>
      <w:r>
        <w:t xml:space="preserve"> </w:t>
      </w:r>
      <w:r>
        <w:t xml:space="preserve">“</w:t>
      </w:r>
      <w:r>
        <w:t xml:space="preserve">KRM,</w:t>
      </w:r>
      <w:r>
        <w:t xml:space="preserve">”</w:t>
      </w:r>
      <w:r>
        <w:t xml:space="preserve"> </w:t>
      </w:r>
      <w:r>
        <w:t xml:space="preserve">resulting in the names</w:t>
      </w:r>
      <w:r>
        <w:t xml:space="preserve"> </w:t>
      </w:r>
      <w:r>
        <w:rPr>
          <w:rStyle w:val="VerbatimChar"/>
        </w:rPr>
        <w:t xml:space="preserve">krm_wakun.tsv</w:t>
      </w:r>
      <w:r>
        <w:t xml:space="preserve"> </w:t>
      </w:r>
      <w:r>
        <w:t xml:space="preserve">and</w:t>
      </w:r>
      <w:r>
        <w:t xml:space="preserve"> </w:t>
      </w:r>
      <w:r>
        <w:rPr>
          <w:rStyle w:val="VerbatimChar"/>
        </w:rPr>
        <w:t xml:space="preserve">krm_wakun.json</w:t>
      </w:r>
      <w:r>
        <w:t xml:space="preserve">.</w:t>
      </w:r>
    </w:p>
    <w:bookmarkEnd w:id="90"/>
    <w:bookmarkStart w:id="91" w:name="X813ac94ba7e9337e94f2b6ba76e9b351b748a1b"/>
    <w:p>
      <w:pPr>
        <w:pStyle w:val="Heading2"/>
      </w:pPr>
      <w:r>
        <w:rPr>
          <w:rStyle w:val="SectionNumber"/>
        </w:rPr>
        <w:t xml:space="preserve">6.2</w:t>
      </w:r>
      <w:r>
        <w:tab/>
      </w:r>
      <w:r>
        <w:t xml:space="preserve">Column name comparison</w:t>
      </w:r>
    </w:p>
    <w:p>
      <w:pPr>
        <w:pStyle w:val="FirstParagraph"/>
      </w:pPr>
      <w:r>
        <w:t xml:space="preserve">The comparison of the new and old column names is as follows: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New Column Name (v1.2.0)</w:t>
            </w:r>
          </w:p>
        </w:tc>
        <w:tc>
          <w:tcPr/>
          <w:p>
            <w:pPr>
              <w:pStyle w:val="Compact"/>
              <w:jc w:val="left"/>
            </w:pPr>
            <w:r>
              <w:t xml:space="preserve">Old Column Name (v1.1.97)</w:t>
            </w:r>
          </w:p>
        </w:tc>
      </w:tr>
      <w:tr>
        <w:tc>
          <w:tcPr/>
          <w:p>
            <w:pPr>
              <w:pStyle w:val="Compact"/>
              <w:jc w:val="left"/>
            </w:pPr>
            <w:r>
              <w:t xml:space="preserve">wakun_id</w:t>
            </w:r>
          </w:p>
        </w:tc>
        <w:tc>
          <w:tcPr/>
          <w:p>
            <w:pPr>
              <w:pStyle w:val="Compact"/>
              <w:jc w:val="left"/>
            </w:pPr>
            <w:r>
              <w:t xml:space="preserve">KRID_wakun_no</w:t>
            </w:r>
          </w:p>
        </w:tc>
      </w:tr>
      <w:tr>
        <w:tc>
          <w:tcPr/>
          <w:p>
            <w:pPr>
              <w:pStyle w:val="Compact"/>
              <w:jc w:val="left"/>
            </w:pPr>
            <w:r>
              <w:t xml:space="preserve">definition_seq_id</w:t>
            </w:r>
          </w:p>
        </w:tc>
        <w:tc>
          <w:tcPr/>
          <w:p>
            <w:pPr>
              <w:pStyle w:val="Compact"/>
              <w:jc w:val="left"/>
            </w:pPr>
            <w:r>
              <w:t xml:space="preserve">KRID_no</w:t>
            </w:r>
          </w:p>
        </w:tc>
      </w:tr>
      <w:tr>
        <w:tc>
          <w:tcPr/>
          <w:p>
            <w:pPr>
              <w:pStyle w:val="Compact"/>
              <w:jc w:val="left"/>
            </w:pPr>
            <w:r>
              <w:t xml:space="preserve">kazama_location</w:t>
            </w:r>
          </w:p>
        </w:tc>
        <w:tc>
          <w:tcPr/>
          <w:p>
            <w:pPr>
              <w:pStyle w:val="Compact"/>
              <w:jc w:val="left"/>
            </w:pPr>
            <w:r>
              <w:t xml:space="preserve">KR2ID</w:t>
            </w:r>
          </w:p>
        </w:tc>
      </w:tr>
      <w:tr>
        <w:tc>
          <w:tcPr/>
          <w:p>
            <w:pPr>
              <w:pStyle w:val="Compact"/>
              <w:jc w:val="left"/>
            </w:pPr>
            <w:r>
              <w:t xml:space="preserve">hanzi_entry</w:t>
            </w:r>
          </w:p>
        </w:tc>
        <w:tc>
          <w:tcPr/>
          <w:p>
            <w:pPr>
              <w:pStyle w:val="Compact"/>
              <w:jc w:val="left"/>
            </w:pPr>
            <w:r>
              <w:t xml:space="preserve">Entry</w:t>
            </w:r>
          </w:p>
        </w:tc>
      </w:tr>
      <w:tr>
        <w:tc>
          <w:tcPr/>
          <w:p>
            <w:pPr>
              <w:pStyle w:val="Compact"/>
              <w:jc w:val="left"/>
            </w:pPr>
            <w:r>
              <w:t xml:space="preserve">wakun_elements</w:t>
            </w:r>
          </w:p>
        </w:tc>
        <w:tc>
          <w:tcPr/>
          <w:p>
            <w:pPr>
              <w:pStyle w:val="Compact"/>
              <w:jc w:val="left"/>
            </w:pPr>
            <w:r>
              <w:t xml:space="preserve">Def</w:t>
            </w:r>
          </w:p>
        </w:tc>
      </w:tr>
      <w:tr>
        <w:tc>
          <w:tcPr/>
          <w:p>
            <w:pPr>
              <w:pStyle w:val="Compact"/>
              <w:jc w:val="left"/>
            </w:pPr>
            <w:r>
              <w:t xml:space="preserve">wakun_form</w:t>
            </w:r>
          </w:p>
        </w:tc>
        <w:tc>
          <w:tcPr/>
          <w:p>
            <w:pPr>
              <w:pStyle w:val="Compact"/>
              <w:jc w:val="left"/>
            </w:pPr>
            <w:r>
              <w:t xml:space="preserve">Word_form</w:t>
            </w:r>
          </w:p>
        </w:tc>
      </w:tr>
      <w:tr>
        <w:tc>
          <w:tcPr/>
          <w:p>
            <w:pPr>
              <w:pStyle w:val="Compact"/>
              <w:jc w:val="left"/>
            </w:pPr>
            <w:r>
              <w:t xml:space="preserve">wakun_standard_hanzi</w:t>
            </w:r>
          </w:p>
        </w:tc>
        <w:tc>
          <w:tcPr/>
          <w:p>
            <w:pPr>
              <w:pStyle w:val="Compact"/>
              <w:jc w:val="left"/>
            </w:pPr>
            <w:r>
              <w:t xml:space="preserve">Wakun_Hanzi</w:t>
            </w:r>
          </w:p>
        </w:tc>
      </w:tr>
      <w:tr>
        <w:tc>
          <w:tcPr/>
          <w:p>
            <w:pPr>
              <w:pStyle w:val="Compact"/>
              <w:jc w:val="left"/>
            </w:pPr>
            <w:r>
              <w:t xml:space="preserve">wakun_variant_in_hanzi</w:t>
            </w:r>
          </w:p>
        </w:tc>
        <w:tc>
          <w:tcPr/>
          <w:p>
            <w:pPr>
              <w:pStyle w:val="Compact"/>
              <w:jc w:val="left"/>
            </w:pPr>
            <w:r>
              <w:t xml:space="preserve">Wakun_variant</w:t>
            </w:r>
          </w:p>
        </w:tc>
      </w:tr>
      <w:tr>
        <w:tc>
          <w:tcPr/>
          <w:p>
            <w:pPr>
              <w:pStyle w:val="Compact"/>
              <w:jc w:val="left"/>
            </w:pPr>
            <w:r>
              <w:t xml:space="preserve">variant_hanzi_for_wakun</w:t>
            </w:r>
          </w:p>
        </w:tc>
        <w:tc>
          <w:tcPr/>
          <w:p>
            <w:pPr>
              <w:pStyle w:val="Compact"/>
              <w:jc w:val="left"/>
            </w:pPr>
            <w:r>
              <w:t xml:space="preserve">Hanzi_variant</w:t>
            </w:r>
          </w:p>
        </w:tc>
      </w:tr>
      <w:tr>
        <w:tc>
          <w:tcPr/>
          <w:p>
            <w:pPr>
              <w:pStyle w:val="Compact"/>
              <w:jc w:val="left"/>
            </w:pPr>
            <w:r>
              <w:t xml:space="preserve">japan_knowledge_id</w:t>
            </w:r>
          </w:p>
        </w:tc>
        <w:tc>
          <w:tcPr/>
          <w:p>
            <w:pPr>
              <w:pStyle w:val="Compact"/>
              <w:jc w:val="left"/>
            </w:pPr>
            <w:r>
              <w:t xml:space="preserve">JK_URL</w:t>
            </w:r>
          </w:p>
        </w:tc>
      </w:tr>
      <w:tr>
        <w:tc>
          <w:tcPr/>
          <w:p>
            <w:pPr>
              <w:pStyle w:val="Compact"/>
              <w:jc w:val="left"/>
            </w:pPr>
            <w:r>
              <w:t xml:space="preserve">-</w:t>
            </w:r>
          </w:p>
        </w:tc>
        <w:tc>
          <w:tcPr/>
          <w:p>
            <w:pPr>
              <w:pStyle w:val="Compact"/>
              <w:jc w:val="left"/>
            </w:pPr>
            <w:r>
              <w:t xml:space="preserve">Remarks</w:t>
            </w:r>
          </w:p>
        </w:tc>
      </w:tr>
    </w:tbl>
    <w:p>
      <w:pPr>
        <w:pStyle w:val="BodyText"/>
      </w:pPr>
      <w:r>
        <w:rPr>
          <w:rStyle w:val="VerbatimChar"/>
        </w:rPr>
        <w:t xml:space="preserve">Remarks</w:t>
      </w:r>
      <w:r>
        <w:t xml:space="preserve"> </w:t>
      </w:r>
      <w:r>
        <w:t xml:space="preserve">have been omitted as this type of information is now consolidated in the</w:t>
      </w:r>
      <w:r>
        <w:t xml:space="preserve"> </w:t>
      </w:r>
      <w:r>
        <w:rPr>
          <w:rStyle w:val="VerbatimChar"/>
        </w:rPr>
        <w:t xml:space="preserve">krm_notes</w:t>
      </w:r>
      <w:r>
        <w:t xml:space="preserve"> </w:t>
      </w:r>
      <w:r>
        <w:t xml:space="preserve">file (data for</w:t>
      </w:r>
      <w:r>
        <w:t xml:space="preserve"> </w:t>
      </w:r>
      <w:r>
        <w:rPr>
          <w:rStyle w:val="VerbatimChar"/>
          <w:bCs/>
          <w:b/>
        </w:rPr>
        <w:t xml:space="preserve">Compiler's Remarks</w:t>
      </w:r>
      <w:r>
        <w:t xml:space="preserve">).</w:t>
      </w:r>
    </w:p>
    <w:bookmarkEnd w:id="91"/>
    <w:bookmarkStart w:id="92" w:name="X1e7104f5e0efa4152a4f81f5e8e877cdeb9454b"/>
    <w:p>
      <w:pPr>
        <w:pStyle w:val="Heading2"/>
      </w:pPr>
      <w:r>
        <w:rPr>
          <w:rStyle w:val="SectionNumber"/>
        </w:rPr>
        <w:t xml:space="preserve">6.3</w:t>
      </w:r>
      <w:r>
        <w:tab/>
      </w:r>
      <w:r>
        <w:t xml:space="preserve">Description of each column</w:t>
      </w:r>
    </w:p>
    <w:p>
      <w:pPr>
        <w:pStyle w:val="FirstParagraph"/>
      </w:pPr>
      <w:r>
        <w:t xml:space="preserve">Next, the content of the column names will be explained.</w:t>
      </w:r>
    </w:p>
    <w:tbl>
      <w:tblPr>
        <w:tblStyle w:val="Table"/>
        <w:tblW w:type="pct" w:w="5000"/>
        <w:tblLook w:firstRow="1" w:lastRow="0" w:firstColumn="0" w:lastColumn="0" w:noHBand="0" w:noVBand="0" w:val="0020"/>
        <w:jc w:val="start"/>
      </w:tblPr>
      <w:tblGrid>
        <w:gridCol w:w="2674"/>
        <w:gridCol w:w="5245"/>
      </w:tblGrid>
      <w:tr>
        <w:trPr>
          <w:tblHeader w:val="true"/>
        </w:trPr>
        <w:tc>
          <w:tcPr/>
          <w:p>
            <w:pPr>
              <w:pStyle w:val="Compact"/>
              <w:jc w:val="left"/>
            </w:pPr>
            <w:r>
              <w:t xml:space="preserve">New Column Name (v1.2.0)</w:t>
            </w:r>
          </w:p>
        </w:tc>
        <w:tc>
          <w:tcPr/>
          <w:p>
            <w:pPr>
              <w:pStyle w:val="Compact"/>
              <w:jc w:val="left"/>
            </w:pPr>
            <w:r>
              <w:t xml:space="preserve">English Explanation (Final Revised)</w:t>
            </w:r>
          </w:p>
        </w:tc>
      </w:tr>
      <w:tr>
        <w:tc>
          <w:tcPr/>
          <w:p>
            <w:pPr>
              <w:pStyle w:val="Compact"/>
              <w:jc w:val="left"/>
            </w:pPr>
            <w:r>
              <w:t xml:space="preserve">wakun_id</w:t>
            </w:r>
          </w:p>
        </w:tc>
        <w:tc>
          <w:tcPr/>
          <w:p>
            <w:pPr>
              <w:pStyle w:val="Compact"/>
              <w:jc w:val="left"/>
            </w:pPr>
            <w:r>
              <w:t xml:space="preserve">An ID for each</w:t>
            </w:r>
            <w:r>
              <w:t xml:space="preserve"> </w:t>
            </w:r>
            <w:r>
              <w:rPr>
                <w:rStyle w:val="VerbatimChar"/>
                <w:bCs/>
                <w:b/>
              </w:rPr>
              <w:t xml:space="preserve">Japanese Native Reading (*wakun*)</w:t>
            </w:r>
            <w:r>
              <w:t xml:space="preserve">. This is derived from</w:t>
            </w:r>
            <w:r>
              <w:t xml:space="preserve"> </w:t>
            </w:r>
            <w:r>
              <w:rPr>
                <w:rStyle w:val="VerbatimChar"/>
              </w:rPr>
              <w:t xml:space="preserve">definition_seq_id</w:t>
            </w:r>
            <w:r>
              <w:t xml:space="preserve"> </w:t>
            </w:r>
            <w:r>
              <w:t xml:space="preserve">by extracting only those elements where the type (from</w:t>
            </w:r>
            <w:r>
              <w:t xml:space="preserve"> </w:t>
            </w:r>
            <w:r>
              <w:rPr>
                <w:rStyle w:val="VerbatimChar"/>
              </w:rPr>
              <w:t xml:space="preserve">definition_type_name</w:t>
            </w:r>
            <w:r>
              <w:t xml:space="preserve"> </w:t>
            </w:r>
            <w:r>
              <w:t xml:space="preserve">in</w:t>
            </w:r>
            <w:r>
              <w:t xml:space="preserve"> </w:t>
            </w:r>
            <w:r>
              <w:rPr>
                <w:rStyle w:val="VerbatimChar"/>
              </w:rPr>
              <w:t xml:space="preserve">krm_notes</w:t>
            </w:r>
            <w:r>
              <w:t xml:space="preserve">) is</w:t>
            </w:r>
            <w:r>
              <w:t xml:space="preserve"> </w:t>
            </w:r>
            <w:r>
              <w:rPr>
                <w:rStyle w:val="VerbatimChar"/>
                <w:bCs/>
                <w:b/>
              </w:rPr>
              <w:t xml:space="preserve">Japanese Native Reading (*wakun*)</w:t>
            </w:r>
            <w:r>
              <w:t xml:space="preserve">. Suffixes</w:t>
            </w:r>
            <w:r>
              <w:t xml:space="preserve"> </w:t>
            </w:r>
            <w:r>
              <w:t xml:space="preserve">‘</w:t>
            </w:r>
            <w:r>
              <w:t xml:space="preserve">b</w:t>
            </w:r>
            <w:r>
              <w:t xml:space="preserve">’</w:t>
            </w:r>
            <w:r>
              <w:t xml:space="preserve">,</w:t>
            </w:r>
            <w:r>
              <w:t xml:space="preserve"> </w:t>
            </w:r>
            <w:r>
              <w:t xml:space="preserve">‘</w:t>
            </w:r>
            <w:r>
              <w:t xml:space="preserve">c</w:t>
            </w:r>
            <w:r>
              <w:t xml:space="preserve">’</w:t>
            </w:r>
            <w:r>
              <w:t xml:space="preserve">,</w:t>
            </w:r>
            <w:r>
              <w:t xml:space="preserve"> </w:t>
            </w:r>
            <w:r>
              <w:t xml:space="preserve">‘</w:t>
            </w:r>
            <w:r>
              <w:t xml:space="preserve">d</w:t>
            </w:r>
            <w:r>
              <w:t xml:space="preserve">’</w:t>
            </w:r>
            <w:r>
              <w:t xml:space="preserve"> </w:t>
            </w:r>
            <w:r>
              <w:t xml:space="preserve">are appended for variant forms.</w:t>
            </w:r>
          </w:p>
        </w:tc>
      </w:tr>
      <w:tr>
        <w:tc>
          <w:tcPr/>
          <w:p>
            <w:pPr>
              <w:pStyle w:val="Compact"/>
              <w:jc w:val="left"/>
            </w:pPr>
            <w:r>
              <w:t xml:space="preserve">definition_seq_id</w:t>
            </w:r>
          </w:p>
        </w:tc>
        <w:tc>
          <w:tcPr/>
          <w:p>
            <w:pPr>
              <w:pStyle w:val="Compact"/>
              <w:jc w:val="left"/>
            </w:pPr>
            <w:r>
              <w:t xml:space="preserve">An identifier for each component of the</w:t>
            </w:r>
            <w:r>
              <w:t xml:space="preserve"> </w:t>
            </w:r>
            <w:r>
              <w:rPr>
                <w:rStyle w:val="VerbatimChar"/>
                <w:bCs/>
                <w:b/>
              </w:rPr>
              <w:t xml:space="preserve">Definition (Original Glosses)</w:t>
            </w:r>
            <w:r>
              <w:t xml:space="preserve"> </w:t>
            </w:r>
            <w:r>
              <w:t xml:space="preserve">or for the</w:t>
            </w:r>
            <w:r>
              <w:t xml:space="preserve"> </w:t>
            </w:r>
            <w:r>
              <w:rPr>
                <w:rStyle w:val="VerbatimChar"/>
                <w:bCs/>
                <w:b/>
              </w:rPr>
              <w:t xml:space="preserve">Headword</w:t>
            </w:r>
            <w:r>
              <w:t xml:space="preserve"> </w:t>
            </w:r>
            <w:r>
              <w:t xml:space="preserve">itself within an</w:t>
            </w:r>
            <w:r>
              <w:t xml:space="preserve"> </w:t>
            </w:r>
            <w:r>
              <w:rPr>
                <w:rStyle w:val="VerbatimChar"/>
                <w:bCs/>
                <w:b/>
              </w:rPr>
              <w:t xml:space="preserve">Entry</w:t>
            </w:r>
            <w:r>
              <w:t xml:space="preserve">. It is formed by appending a sequential suffix (e.g., “_00” for the</w:t>
            </w:r>
            <w:r>
              <w:t xml:space="preserve"> </w:t>
            </w:r>
            <w:r>
              <w:rPr>
                <w:rStyle w:val="VerbatimChar"/>
                <w:bCs/>
                <w:b/>
              </w:rPr>
              <w:t xml:space="preserve">Headword</w:t>
            </w:r>
            <w:r>
              <w:t xml:space="preserve"> </w:t>
            </w:r>
            <w:r>
              <w:t xml:space="preserve">or overall</w:t>
            </w:r>
            <w:r>
              <w:t xml:space="preserve"> </w:t>
            </w:r>
            <w:r>
              <w:rPr>
                <w:rStyle w:val="VerbatimChar"/>
                <w:bCs/>
                <w:b/>
              </w:rPr>
              <w:t xml:space="preserve">Entry</w:t>
            </w:r>
            <w:r>
              <w:t xml:space="preserve"> </w:t>
            </w:r>
            <w:r>
              <w:t xml:space="preserve">note, “_01”, “_02” for subsequent elements of the</w:t>
            </w:r>
            <w:r>
              <w:t xml:space="preserve"> </w:t>
            </w:r>
            <w:r>
              <w:rPr>
                <w:rStyle w:val="VerbatimChar"/>
                <w:bCs/>
                <w:b/>
              </w:rPr>
              <w:t xml:space="preserve">Definition (Original Glosses)</w:t>
            </w:r>
            <w:r>
              <w:t xml:space="preserve"> </w:t>
            </w:r>
            <w:r>
              <w:t xml:space="preserve">in order of appearance) to the 5-digit numeric part of the</w:t>
            </w:r>
            <w:r>
              <w:t xml:space="preserve"> </w:t>
            </w:r>
            <w:r>
              <w:rPr>
                <w:rStyle w:val="VerbatimChar"/>
              </w:rPr>
              <w:t xml:space="preserve">entry_id</w:t>
            </w:r>
            <w:r>
              <w:t xml:space="preserve">. (This ID links to records in</w:t>
            </w:r>
            <w:r>
              <w:t xml:space="preserve"> </w:t>
            </w:r>
            <w:r>
              <w:rPr>
                <w:rStyle w:val="VerbatimChar"/>
              </w:rPr>
              <w:t xml:space="preserve">krm_notes</w:t>
            </w:r>
            <w:r>
              <w:t xml:space="preserve">).</w:t>
            </w:r>
          </w:p>
        </w:tc>
      </w:tr>
      <w:tr>
        <w:tc>
          <w:tcPr/>
          <w:p>
            <w:pPr>
              <w:pStyle w:val="Compact"/>
              <w:jc w:val="left"/>
            </w:pPr>
            <w:r>
              <w:t xml:space="preserve">kazama_location</w:t>
            </w:r>
          </w:p>
        </w:tc>
        <w:tc>
          <w:tcPr/>
          <w:p>
            <w:pPr>
              <w:pStyle w:val="Compact"/>
              <w:jc w:val="left"/>
            </w:pPr>
            <w:r>
              <w:t xml:space="preserve">ID including location information (Kazama edition: K, Book/volume, page(xxx), line(y), column(zz)), ranked 1, 2, …, n for multiple</w:t>
            </w:r>
            <w:r>
              <w:t xml:space="preserve"> </w:t>
            </w:r>
            <w:r>
              <w:rPr>
                <w:rStyle w:val="VerbatimChar"/>
                <w:bCs/>
                <w:b/>
              </w:rPr>
              <w:t xml:space="preserve">Entries</w:t>
            </w:r>
            <w:r>
              <w:t xml:space="preserve"> </w:t>
            </w:r>
            <w:r>
              <w:t xml:space="preserve">in a column.</w:t>
            </w:r>
            <w:r>
              <w:t xml:space="preserve"> </w:t>
            </w:r>
            <w:r>
              <w:t xml:space="preserve">“</w:t>
            </w:r>
            <w:r>
              <w:t xml:space="preserve">Book(volume)</w:t>
            </w:r>
            <w:r>
              <w:t xml:space="preserve">”</w:t>
            </w:r>
            <w:r>
              <w:t xml:space="preserve"> </w:t>
            </w:r>
            <w:r>
              <w:t xml:space="preserve">represents the volume number,</w:t>
            </w:r>
            <w:r>
              <w:t xml:space="preserve"> </w:t>
            </w:r>
            <w:r>
              <w:t xml:space="preserve">“</w:t>
            </w:r>
            <w:r>
              <w:t xml:space="preserve">page(xxx)</w:t>
            </w:r>
            <w:r>
              <w:t xml:space="preserve">”</w:t>
            </w:r>
            <w:r>
              <w:t xml:space="preserve"> </w:t>
            </w:r>
            <w:r>
              <w:t xml:space="preserve">the page number,</w:t>
            </w:r>
            <w:r>
              <w:t xml:space="preserve"> </w:t>
            </w:r>
            <w:r>
              <w:t xml:space="preserve">“</w:t>
            </w:r>
            <w:r>
              <w:t xml:space="preserve">line(y)</w:t>
            </w:r>
            <w:r>
              <w:t xml:space="preserve">”</w:t>
            </w:r>
            <w:r>
              <w:t xml:space="preserve"> </w:t>
            </w:r>
            <w:r>
              <w:t xml:space="preserve">the line number, and</w:t>
            </w:r>
            <w:r>
              <w:t xml:space="preserve"> </w:t>
            </w:r>
            <w:r>
              <w:t xml:space="preserve">“</w:t>
            </w:r>
            <w:r>
              <w:t xml:space="preserve">column(zz)</w:t>
            </w:r>
            <w:r>
              <w:t xml:space="preserve">”</w:t>
            </w:r>
            <w:r>
              <w:t xml:space="preserve"> </w:t>
            </w:r>
            <w:r>
              <w:t xml:space="preserve">the column number.</w:t>
            </w:r>
          </w:p>
        </w:tc>
      </w:tr>
      <w:tr>
        <w:tc>
          <w:tcPr/>
          <w:p>
            <w:pPr>
              <w:pStyle w:val="Compact"/>
              <w:jc w:val="left"/>
            </w:pPr>
            <w:r>
              <w:t xml:space="preserve">hanzi_entry</w:t>
            </w:r>
          </w:p>
        </w:tc>
        <w:tc>
          <w:tcPr/>
          <w:p>
            <w:pPr>
              <w:pStyle w:val="Compact"/>
              <w:jc w:val="left"/>
            </w:pPr>
            <w:r>
              <w:t xml:space="preserve">The collated</w:t>
            </w:r>
            <w:r>
              <w:t xml:space="preserve"> </w:t>
            </w:r>
            <w:r>
              <w:rPr>
                <w:rStyle w:val="VerbatimChar"/>
                <w:bCs/>
                <w:b/>
              </w:rPr>
              <w:t xml:space="preserve">Headword</w:t>
            </w:r>
            <w:r>
              <w:t xml:space="preserve"> </w:t>
            </w:r>
            <w:r>
              <w:t xml:space="preserve">(using</w:t>
            </w:r>
            <w:r>
              <w:t xml:space="preserve"> </w:t>
            </w:r>
            <w:r>
              <w:rPr>
                <w:rStyle w:val="VerbatimChar"/>
                <w:bCs/>
                <w:b/>
              </w:rPr>
              <w:t xml:space="preserve">Hanzi (Chinese characters)</w:t>
            </w:r>
            <w:r>
              <w:t xml:space="preserve">) to which this</w:t>
            </w:r>
            <w:r>
              <w:t xml:space="preserve"> </w:t>
            </w:r>
            <w:r>
              <w:rPr>
                <w:rStyle w:val="VerbatimChar"/>
                <w:bCs/>
                <w:b/>
              </w:rPr>
              <w:t xml:space="preserve">Japanese Native Reading (*wakun*)</w:t>
            </w:r>
            <w:r>
              <w:t xml:space="preserve"> </w:t>
            </w:r>
            <w:r>
              <w:t xml:space="preserve">pertains. Principally Kangxi Dictionary forms, though Unicode-representable new forms (common-use, popular variants) may be retained.</w:t>
            </w:r>
          </w:p>
        </w:tc>
      </w:tr>
      <w:tr>
        <w:tc>
          <w:tcPr/>
          <w:p>
            <w:pPr>
              <w:pStyle w:val="Compact"/>
              <w:jc w:val="left"/>
            </w:pPr>
            <w:r>
              <w:t xml:space="preserve">wakun_elements</w:t>
            </w:r>
          </w:p>
        </w:tc>
        <w:tc>
          <w:tcPr/>
          <w:p>
            <w:pPr>
              <w:pStyle w:val="Compact"/>
              <w:jc w:val="left"/>
            </w:pPr>
            <w:r>
              <w:t xml:space="preserve">Extracted elements of</w:t>
            </w:r>
            <w:r>
              <w:t xml:space="preserve"> </w:t>
            </w:r>
            <w:r>
              <w:rPr>
                <w:rStyle w:val="VerbatimChar"/>
                <w:bCs/>
                <w:b/>
              </w:rPr>
              <w:t xml:space="preserve">Japanese Native Readings (*wakun*)</w:t>
            </w:r>
            <w:r>
              <w:t xml:space="preserve"> </w:t>
            </w:r>
            <w:r>
              <w:t xml:space="preserve">from the full</w:t>
            </w:r>
            <w:r>
              <w:t xml:space="preserve"> </w:t>
            </w:r>
            <w:r>
              <w:rPr>
                <w:rStyle w:val="VerbatimChar"/>
                <w:bCs/>
                <w:b/>
              </w:rPr>
              <w:t xml:space="preserve">Definition (Original Glosses)</w:t>
            </w:r>
            <w:r>
              <w:t xml:space="preserve">. Each record typically corresponds to one such element.</w:t>
            </w:r>
          </w:p>
        </w:tc>
      </w:tr>
      <w:tr>
        <w:tc>
          <w:tcPr/>
          <w:p>
            <w:pPr>
              <w:pStyle w:val="Compact"/>
              <w:jc w:val="left"/>
            </w:pPr>
            <w:r>
              <w:t xml:space="preserve">wakun_form</w:t>
            </w:r>
          </w:p>
        </w:tc>
        <w:tc>
          <w:tcPr/>
          <w:p>
            <w:pPr>
              <w:pStyle w:val="Compact"/>
              <w:jc w:val="left"/>
            </w:pPr>
            <w:r>
              <w:t xml:space="preserve">The lexical form of the</w:t>
            </w:r>
            <w:r>
              <w:t xml:space="preserve"> </w:t>
            </w:r>
            <w:r>
              <w:rPr>
                <w:rStyle w:val="VerbatimChar"/>
                <w:bCs/>
                <w:b/>
              </w:rPr>
              <w:t xml:space="preserve">Japanese Native Reading (*wakun*)</w:t>
            </w:r>
            <w:r>
              <w:t xml:space="preserve">. Inflected words are generally given in their dictionary (citation) form, excluding grammatical particles. The particles</w:t>
            </w:r>
            <w:r>
              <w:t xml:space="preserve"> </w:t>
            </w:r>
            <w:r>
              <w:t xml:space="preserve">‘</w:t>
            </w:r>
            <w:r>
              <w:t xml:space="preserve">no</w:t>
            </w:r>
            <w:r>
              <w:t xml:space="preserve">’</w:t>
            </w:r>
            <w:r>
              <w:t xml:space="preserve"> </w:t>
            </w:r>
            <w:r>
              <w:t xml:space="preserve">and</w:t>
            </w:r>
            <w:r>
              <w:t xml:space="preserve"> </w:t>
            </w:r>
            <w:r>
              <w:t xml:space="preserve">‘</w:t>
            </w:r>
            <w:r>
              <w:t xml:space="preserve">to</w:t>
            </w:r>
            <w:r>
              <w:t xml:space="preserve">’</w:t>
            </w:r>
            <w:r>
              <w:t xml:space="preserve"> </w:t>
            </w:r>
            <w:r>
              <w:t xml:space="preserve">from</w:t>
            </w:r>
            <w:r>
              <w:t xml:space="preserve"> </w:t>
            </w:r>
            <w:r>
              <w:rPr>
                <w:iCs/>
                <w:i/>
              </w:rPr>
              <w:t xml:space="preserve">Monzen</w:t>
            </w:r>
            <w:r>
              <w:t xml:space="preserve"> </w:t>
            </w:r>
            <w:r>
              <w:t xml:space="preserve">(文選) style readings are omitted.</w:t>
            </w:r>
          </w:p>
        </w:tc>
      </w:tr>
      <w:tr>
        <w:tc>
          <w:tcPr/>
          <w:p>
            <w:pPr>
              <w:pStyle w:val="Compact"/>
              <w:jc w:val="left"/>
            </w:pPr>
            <w:r>
              <w:t xml:space="preserve">wakun_standard_hanzi</w:t>
            </w:r>
          </w:p>
        </w:tc>
        <w:tc>
          <w:tcPr/>
          <w:p>
            <w:pPr>
              <w:pStyle w:val="Compact"/>
              <w:jc w:val="left"/>
            </w:pPr>
            <w:r>
              <w:t xml:space="preserve">Notation of the</w:t>
            </w:r>
            <w:r>
              <w:t xml:space="preserve"> </w:t>
            </w:r>
            <w:r>
              <w:rPr>
                <w:rStyle w:val="VerbatimChar"/>
                <w:bCs/>
                <w:b/>
              </w:rPr>
              <w:t xml:space="preserve">Japanese Native Reading (*wakun*)</w:t>
            </w:r>
            <w:r>
              <w:t xml:space="preserve"> </w:t>
            </w:r>
            <w:r>
              <w:t xml:space="preserve">using standard</w:t>
            </w:r>
            <w:r>
              <w:t xml:space="preserve"> </w:t>
            </w:r>
            <w:r>
              <w:rPr>
                <w:rStyle w:val="VerbatimChar"/>
                <w:bCs/>
                <w:b/>
              </w:rPr>
              <w:t xml:space="preserve">Hanzi (Chinese characters)</w:t>
            </w:r>
            <w:r>
              <w:t xml:space="preserve">.</w:t>
            </w:r>
          </w:p>
        </w:tc>
      </w:tr>
      <w:tr>
        <w:tc>
          <w:tcPr/>
          <w:p>
            <w:pPr>
              <w:pStyle w:val="Compact"/>
              <w:jc w:val="left"/>
            </w:pPr>
            <w:r>
              <w:t xml:space="preserve">wakun_variant_in_hanzi</w:t>
            </w:r>
          </w:p>
        </w:tc>
        <w:tc>
          <w:tcPr/>
          <w:p>
            <w:pPr>
              <w:pStyle w:val="Compact"/>
              <w:jc w:val="left"/>
            </w:pPr>
            <w:r>
              <w:t xml:space="preserve">Notation of a variant form of the</w:t>
            </w:r>
            <w:r>
              <w:t xml:space="preserve"> </w:t>
            </w:r>
            <w:r>
              <w:rPr>
                <w:rStyle w:val="VerbatimChar"/>
                <w:bCs/>
                <w:b/>
              </w:rPr>
              <w:t xml:space="preserve">Japanese Native Reading (*wakun*)</w:t>
            </w:r>
            <w:r>
              <w:t xml:space="preserve"> </w:t>
            </w:r>
            <w:r>
              <w:t xml:space="preserve">using standard</w:t>
            </w:r>
            <w:r>
              <w:t xml:space="preserve"> </w:t>
            </w:r>
            <w:r>
              <w:rPr>
                <w:rStyle w:val="VerbatimChar"/>
                <w:bCs/>
                <w:b/>
              </w:rPr>
              <w:t xml:space="preserve">Hanzi (Chinese characters)</w:t>
            </w:r>
            <w:r>
              <w:t xml:space="preserve">.</w:t>
            </w:r>
          </w:p>
        </w:tc>
      </w:tr>
      <w:tr>
        <w:tc>
          <w:tcPr/>
          <w:p>
            <w:pPr>
              <w:pStyle w:val="Compact"/>
              <w:jc w:val="left"/>
            </w:pPr>
            <w:r>
              <w:t xml:space="preserve">variant_hanzi_for_wakun</w:t>
            </w:r>
          </w:p>
        </w:tc>
        <w:tc>
          <w:tcPr/>
          <w:p>
            <w:pPr>
              <w:pStyle w:val="Compact"/>
              <w:jc w:val="left"/>
            </w:pPr>
            <w:r>
              <w:t xml:space="preserve">Notation of the</w:t>
            </w:r>
            <w:r>
              <w:t xml:space="preserve"> </w:t>
            </w:r>
            <w:r>
              <w:rPr>
                <w:rStyle w:val="VerbatimChar"/>
                <w:bCs/>
                <w:b/>
              </w:rPr>
              <w:t xml:space="preserve">Japanese Native Reading (*wakun*)</w:t>
            </w:r>
            <w:r>
              <w:t xml:space="preserve"> </w:t>
            </w:r>
            <w:r>
              <w:t xml:space="preserve">using</w:t>
            </w:r>
            <w:r>
              <w:t xml:space="preserve"> </w:t>
            </w:r>
            <w:r>
              <w:rPr>
                <w:rStyle w:val="VerbatimChar"/>
                <w:bCs/>
                <w:b/>
              </w:rPr>
              <w:t xml:space="preserve">variant characters (*itaiji*)</w:t>
            </w:r>
            <w:r>
              <w:t xml:space="preserve"> </w:t>
            </w:r>
            <w:r>
              <w:t xml:space="preserve">of</w:t>
            </w:r>
            <w:r>
              <w:t xml:space="preserve"> </w:t>
            </w:r>
            <w:r>
              <w:rPr>
                <w:rStyle w:val="VerbatimChar"/>
                <w:bCs/>
                <w:b/>
              </w:rPr>
              <w:t xml:space="preserve">Hanzi (Chinese characters)</w:t>
            </w:r>
            <w:r>
              <w:t xml:space="preserve">.</w:t>
            </w:r>
          </w:p>
        </w:tc>
      </w:tr>
      <w:tr>
        <w:tc>
          <w:tcPr/>
          <w:p>
            <w:pPr>
              <w:pStyle w:val="Compact"/>
              <w:jc w:val="left"/>
            </w:pPr>
            <w:r>
              <w:t xml:space="preserve">japan_knowledge_id</w:t>
            </w:r>
          </w:p>
        </w:tc>
        <w:tc>
          <w:tcPr/>
          <w:p>
            <w:pPr>
              <w:pStyle w:val="Compact"/>
              <w:jc w:val="left"/>
            </w:pPr>
            <w:r>
              <w:t xml:space="preserve">If this</w:t>
            </w:r>
            <w:r>
              <w:t xml:space="preserve"> </w:t>
            </w:r>
            <w:r>
              <w:rPr>
                <w:rStyle w:val="VerbatimChar"/>
                <w:bCs/>
                <w:b/>
              </w:rPr>
              <w:t xml:space="preserve">Japanese Native Reading (*wakun*)</w:t>
            </w:r>
            <w:r>
              <w:t xml:space="preserve"> </w:t>
            </w:r>
            <w:r>
              <w:t xml:space="preserve">exists as a headword in the JapanKnowledge version of the</w:t>
            </w:r>
            <w:r>
              <w:t xml:space="preserve"> </w:t>
            </w:r>
            <w:r>
              <w:rPr>
                <w:iCs/>
                <w:i/>
              </w:rPr>
              <w:t xml:space="preserve">Nihon Kokugo Daijiten</w:t>
            </w:r>
            <w:r>
              <w:t xml:space="preserve"> </w:t>
            </w:r>
            <w:r>
              <w:t xml:space="preserve">(2nd Ed.), the alphanumeric part of its URL (from</w:t>
            </w:r>
            <w:r>
              <w:t xml:space="preserve"> </w:t>
            </w:r>
            <w:r>
              <w:t xml:space="preserve">“</w:t>
            </w:r>
            <w:r>
              <w:t xml:space="preserve">20020</w:t>
            </w:r>
            <w:r>
              <w:t xml:space="preserve">”</w:t>
            </w:r>
            <w:r>
              <w:t xml:space="preserve"> </w:t>
            </w:r>
            <w:r>
              <w:t xml:space="preserve">to the end) is recorded here. If it does not exist as a headword,</w:t>
            </w:r>
            <w:r>
              <w:t xml:space="preserve"> </w:t>
            </w:r>
            <w:r>
              <w:t xml:space="preserve">“</w:t>
            </w:r>
            <w:r>
              <w:t xml:space="preserve">null</w:t>
            </w:r>
            <w:r>
              <w:t xml:space="preserve">”</w:t>
            </w:r>
            <w:r>
              <w:t xml:space="preserve"> </w:t>
            </w:r>
            <w:r>
              <w:t xml:space="preserve">is entered.</w:t>
            </w:r>
          </w:p>
        </w:tc>
      </w:tr>
    </w:tbl>
    <w:bookmarkEnd w:id="92"/>
    <w:bookmarkEnd w:id="93"/>
    <w:bookmarkEnd w:id="94"/>
    <w:bookmarkStart w:id="96" w:name="X0691032657f740c41f02bd38a489a81a208c281"/>
    <w:bookmarkStart w:id="95" w:name="Xe77bfd3e43d115045474c81c6a0d96ecb510624"/>
    <w:p>
      <w:pPr>
        <w:pStyle w:val="Heading1"/>
      </w:pPr>
      <w:r>
        <w:rPr>
          <w:rStyle w:val="SectionNumber"/>
        </w:rPr>
        <w:t xml:space="preserve">7</w:t>
      </w:r>
      <w:r>
        <w:tab/>
      </w:r>
      <w:r>
        <w:t xml:space="preserve">krm_definitions</w:t>
      </w:r>
    </w:p>
    <w:p>
      <w:pPr>
        <w:pStyle w:val="FirstParagraph"/>
      </w:pPr>
      <w:r>
        <w:t xml:space="preserve">The</w:t>
      </w:r>
      <w:r>
        <w:t xml:space="preserve"> </w:t>
      </w:r>
      <w:r>
        <w:rPr>
          <w:rStyle w:val="VerbatimChar"/>
          <w:bCs/>
          <w:b/>
        </w:rPr>
        <w:t xml:space="preserve">Definition (Original Glosses)</w:t>
      </w:r>
      <w:r>
        <w:t xml:space="preserve"> </w:t>
      </w:r>
      <w:r>
        <w:t xml:space="preserve">in the</w:t>
      </w:r>
      <w:r>
        <w:t xml:space="preserve"> </w:t>
      </w:r>
      <w:r>
        <w:rPr>
          <w:iCs/>
          <w:i/>
        </w:rPr>
        <w:t xml:space="preserve">Myōgishō</w:t>
      </w:r>
      <w:r>
        <w:t xml:space="preserve"> </w:t>
      </w:r>
      <w:r>
        <w:t xml:space="preserve">is composed not only of</w:t>
      </w:r>
      <w:r>
        <w:t xml:space="preserve"> </w:t>
      </w:r>
      <w:r>
        <w:rPr>
          <w:rStyle w:val="VerbatimChar"/>
          <w:bCs/>
          <w:b/>
        </w:rPr>
        <w:t xml:space="preserve">Japanese Native Readings (*wakun*)</w:t>
      </w:r>
      <w:r>
        <w:t xml:space="preserve"> </w:t>
      </w:r>
      <w:r>
        <w:t xml:space="preserve">but also other elements such as</w:t>
      </w:r>
      <w:r>
        <w:t xml:space="preserve"> </w:t>
      </w:r>
      <w:r>
        <w:rPr>
          <w:rStyle w:val="VerbatimChar"/>
          <w:bCs/>
          <w:b/>
        </w:rPr>
        <w:t xml:space="preserve">Notes on Character Form</w:t>
      </w:r>
      <w:r>
        <w:t xml:space="preserve">,</w:t>
      </w:r>
      <w:r>
        <w:t xml:space="preserve"> </w:t>
      </w:r>
      <w:r>
        <w:rPr>
          <w:rStyle w:val="VerbatimChar"/>
          <w:bCs/>
          <w:b/>
        </w:rPr>
        <w:t xml:space="preserve">Phonetic Glosses</w:t>
      </w:r>
      <w:r>
        <w:t xml:space="preserve">, and</w:t>
      </w:r>
      <w:r>
        <w:t xml:space="preserve"> </w:t>
      </w:r>
      <w:r>
        <w:rPr>
          <w:rStyle w:val="VerbatimChar"/>
          <w:bCs/>
          <w:b/>
        </w:rPr>
        <w:t xml:space="preserve">Semantic Glosses in Chinese</w:t>
      </w:r>
      <w:r>
        <w:t xml:space="preserve">.</w:t>
      </w:r>
    </w:p>
    <w:p>
      <w:pPr>
        <w:pStyle w:val="BodyText"/>
      </w:pPr>
      <w:r>
        <w:t xml:space="preserve">The</w:t>
      </w:r>
      <w:r>
        <w:t xml:space="preserve"> </w:t>
      </w:r>
      <w:r>
        <w:rPr>
          <w:rStyle w:val="VerbatimChar"/>
        </w:rPr>
        <w:t xml:space="preserve">KRM_definitions.tsv</w:t>
      </w:r>
      <w:r>
        <w:t xml:space="preserve"> </w:t>
      </w:r>
      <w:r>
        <w:t xml:space="preserve">file, which was previously released, provided these elements of the</w:t>
      </w:r>
      <w:r>
        <w:t xml:space="preserve"> </w:t>
      </w:r>
      <w:r>
        <w:rPr>
          <w:rStyle w:val="VerbatimChar"/>
          <w:bCs/>
          <w:b/>
        </w:rPr>
        <w:t xml:space="preserve">Definition (Original Glosses)</w:t>
      </w:r>
      <w:r>
        <w:t xml:space="preserve"> </w:t>
      </w:r>
      <w:r>
        <w:t xml:space="preserve">categorized by type and ordered by their appearance. This dataset was created to facilitate collation and source investigation.</w:t>
      </w:r>
    </w:p>
    <w:p>
      <w:pPr>
        <w:pStyle w:val="BodyText"/>
      </w:pPr>
      <w:r>
        <w:t xml:space="preserve">Following the specification changes implemented in March 2025, the data and functionalities previously found in</w:t>
      </w:r>
      <w:r>
        <w:t xml:space="preserve"> </w:t>
      </w:r>
      <w:r>
        <w:rPr>
          <w:rStyle w:val="VerbatimChar"/>
        </w:rPr>
        <w:t xml:space="preserve">KRM_definitions.tsv</w:t>
      </w:r>
      <w:r>
        <w:t xml:space="preserve"> </w:t>
      </w:r>
      <w:r>
        <w:t xml:space="preserve">have been integrated into the</w:t>
      </w:r>
      <w:r>
        <w:t xml:space="preserve"> </w:t>
      </w:r>
      <w:r>
        <w:rPr>
          <w:rStyle w:val="VerbatimChar"/>
        </w:rPr>
        <w:t xml:space="preserve">krm_notes</w:t>
      </w:r>
      <w:r>
        <w:t xml:space="preserve"> </w:t>
      </w:r>
      <w:r>
        <w:t xml:space="preserve">file (which contains data for</w:t>
      </w:r>
      <w:r>
        <w:t xml:space="preserve"> </w:t>
      </w:r>
      <w:r>
        <w:rPr>
          <w:rStyle w:val="VerbatimChar"/>
          <w:bCs/>
          <w:b/>
        </w:rPr>
        <w:t xml:space="preserve">Compiler's Remarks</w:t>
      </w:r>
      <w:r>
        <w:t xml:space="preserve"> </w:t>
      </w:r>
      <w:r>
        <w:t xml:space="preserve">and detailed analyses of these original gloss elements). Consequently, a separate detailed explanation for</w:t>
      </w:r>
      <w:r>
        <w:t xml:space="preserve"> </w:t>
      </w:r>
      <w:r>
        <w:rPr>
          <w:rStyle w:val="VerbatimChar"/>
        </w:rPr>
        <w:t xml:space="preserve">krm_definitions</w:t>
      </w:r>
      <w:r>
        <w:t xml:space="preserve"> </w:t>
      </w:r>
      <w:r>
        <w:t xml:space="preserve">is omitted here.</w:t>
      </w:r>
    </w:p>
    <w:bookmarkEnd w:id="95"/>
    <w:bookmarkEnd w:id="96"/>
    <w:bookmarkStart w:id="101" w:name="Xc2832405c6e71e02a0e1b38d26c555a3ae2c4fc"/>
    <w:bookmarkStart w:id="100" w:name="X339ea6c5fb6a907e03563563acde59a2dbd35ef"/>
    <w:p>
      <w:pPr>
        <w:pStyle w:val="Heading1"/>
      </w:pPr>
      <w:r>
        <w:rPr>
          <w:rStyle w:val="SectionNumber"/>
        </w:rPr>
        <w:t xml:space="preserve">8</w:t>
      </w:r>
      <w:r>
        <w:tab/>
      </w:r>
      <w:r>
        <w:t xml:space="preserve">krm_pronunciations</w:t>
      </w:r>
    </w:p>
    <w:bookmarkStart w:id="97" w:name="X5e9ccceaa994125e6eb36f6ad6cf7c587d0773c"/>
    <w:p>
      <w:pPr>
        <w:pStyle w:val="Heading2"/>
      </w:pPr>
      <w:r>
        <w:rPr>
          <w:rStyle w:val="SectionNumber"/>
        </w:rPr>
        <w:t xml:space="preserve">8.1</w:t>
      </w:r>
      <w:r>
        <w:tab/>
      </w:r>
      <w:r>
        <w:t xml:space="preserve">Overview and file formats</w:t>
      </w:r>
    </w:p>
    <w:p>
      <w:pPr>
        <w:pStyle w:val="FirstParagraph"/>
      </w:pPr>
      <w:r>
        <w:t xml:space="preserve">The</w:t>
      </w:r>
      <w:r>
        <w:t xml:space="preserve"> </w:t>
      </w:r>
      <w:r>
        <w:rPr>
          <w:rStyle w:val="VerbatimChar"/>
          <w:bCs/>
          <w:b/>
        </w:rPr>
        <w:t xml:space="preserve">Phonetic Glosses</w:t>
      </w:r>
      <w:r>
        <w:t xml:space="preserve"> </w:t>
      </w:r>
      <w:r>
        <w:t xml:space="preserve">in the Kanchi-in manuscript of the</w:t>
      </w:r>
      <w:r>
        <w:t xml:space="preserve"> </w:t>
      </w:r>
      <w:r>
        <w:rPr>
          <w:iCs/>
          <w:i/>
        </w:rPr>
        <w:t xml:space="preserve">Ruiju Myōgishō</w:t>
      </w:r>
      <w:r>
        <w:t xml:space="preserve"> </w:t>
      </w:r>
      <w:r>
        <w:t xml:space="preserve">(hereafter</w:t>
      </w:r>
      <w:r>
        <w:t xml:space="preserve"> </w:t>
      </w:r>
      <w:r>
        <w:rPr>
          <w:iCs/>
          <w:i/>
        </w:rPr>
        <w:t xml:space="preserve">Myōgishō</w:t>
      </w:r>
      <w:r>
        <w:t xml:space="preserve">) include</w:t>
      </w:r>
      <w:r>
        <w:t xml:space="preserve"> </w:t>
      </w:r>
      <w:r>
        <w:rPr>
          <w:rStyle w:val="VerbatimChar"/>
          <w:bCs/>
          <w:b/>
        </w:rPr>
        <w:t xml:space="preserve">Fanqie spellings</w:t>
      </w:r>
      <w:r>
        <w:t xml:space="preserve"> </w:t>
      </w:r>
      <w:r>
        <w:t xml:space="preserve">(反切),</w:t>
      </w:r>
      <w:r>
        <w:t xml:space="preserve"> </w:t>
      </w:r>
      <w:r>
        <w:rPr>
          <w:rStyle w:val="VerbatimChar"/>
          <w:bCs/>
          <w:b/>
        </w:rPr>
        <w:t xml:space="preserve">Similar sound notes</w:t>
      </w:r>
      <w:r>
        <w:t xml:space="preserve"> </w:t>
      </w:r>
      <w:r>
        <w:t xml:space="preserve">(類音注,</w:t>
      </w:r>
      <w:r>
        <w:t xml:space="preserve"> </w:t>
      </w:r>
      <w:r>
        <w:rPr>
          <w:iCs/>
          <w:i/>
        </w:rPr>
        <w:t xml:space="preserve">ruion-chū</w:t>
      </w:r>
      <w:r>
        <w:t xml:space="preserve">), and</w:t>
      </w:r>
      <w:r>
        <w:t xml:space="preserve"> </w:t>
      </w:r>
      <w:r>
        <w:rPr>
          <w:rStyle w:val="VerbatimChar"/>
          <w:bCs/>
          <w:b/>
        </w:rPr>
        <w:t xml:space="preserve">Kana glosses</w:t>
      </w:r>
      <w:r>
        <w:t xml:space="preserve"> </w:t>
      </w:r>
      <w:r>
        <w:t xml:space="preserve">(仮名注,</w:t>
      </w:r>
      <w:r>
        <w:t xml:space="preserve"> </w:t>
      </w:r>
      <w:r>
        <w:rPr>
          <w:iCs/>
          <w:i/>
        </w:rPr>
        <w:t xml:space="preserve">kana-chū</w:t>
      </w:r>
      <w:r>
        <w:t xml:space="preserve">). These are often accompanied by</w:t>
      </w:r>
      <w:r>
        <w:t xml:space="preserve"> </w:t>
      </w:r>
      <w:r>
        <w:rPr>
          <w:rStyle w:val="VerbatimChar"/>
          <w:bCs/>
          <w:b/>
        </w:rPr>
        <w:t xml:space="preserve">Tone marks</w:t>
      </w:r>
      <w:r>
        <w:t xml:space="preserve"> </w:t>
      </w:r>
      <w:r>
        <w:t xml:space="preserve">(声点,</w:t>
      </w:r>
      <w:r>
        <w:t xml:space="preserve"> </w:t>
      </w:r>
      <w:r>
        <w:rPr>
          <w:iCs/>
          <w:i/>
        </w:rPr>
        <w:t xml:space="preserve">shōten</w:t>
      </w:r>
      <w:r>
        <w:t xml:space="preserve">).</w:t>
      </w:r>
      <w:r>
        <w:t xml:space="preserve"> </w:t>
      </w:r>
      <w:r>
        <w:t xml:space="preserve">As a database for Sino-Japanese pronunciations, the</w:t>
      </w:r>
      <w:r>
        <w:t xml:space="preserve"> </w:t>
      </w:r>
      <w:r>
        <w:rPr>
          <w:bCs/>
          <w:b/>
        </w:rPr>
        <w:t xml:space="preserve">“</w:t>
      </w:r>
      <w:r>
        <w:rPr>
          <w:bCs/>
          <w:b/>
        </w:rPr>
        <w:t xml:space="preserve">Database of Historical Sino-Japanese Readings</w:t>
      </w:r>
      <w:r>
        <w:rPr>
          <w:bCs/>
          <w:b/>
        </w:rPr>
        <w:t xml:space="preserve">”</w:t>
      </w:r>
      <w:r>
        <w:t xml:space="preserve"> </w:t>
      </w:r>
      <w:r>
        <w:t xml:space="preserve">(abbreviated as DHSJR), developed by Professor Katō Taitsuru and others, offers exceptionally rich content.</w:t>
      </w:r>
      <w:r>
        <w:t xml:space="preserve"> </w:t>
      </w:r>
      <w:r>
        <w:t xml:space="preserve">Its specifications are also publicly available in detail.</w:t>
      </w:r>
      <w:r>
        <w:t xml:space="preserve"> </w:t>
      </w:r>
      <w:r>
        <w:t xml:space="preserve">Accordingly, as part of the HDIC project, we have decided to release data in accordance with the DHSJR specifications.</w:t>
      </w:r>
    </w:p>
    <w:p>
      <w:pPr>
        <w:pStyle w:val="BodyText"/>
      </w:pPr>
      <w:r>
        <w:t xml:space="preserve">The DHSJR defines a data structure with 23 column names.</w:t>
      </w:r>
    </w:p>
    <w:p>
      <w:pPr>
        <w:pStyle w:val="BodyText"/>
      </w:pPr>
      <w:r>
        <w:t xml:space="preserve">To facilitate linkage with the</w:t>
      </w:r>
      <w:r>
        <w:t xml:space="preserve"> </w:t>
      </w:r>
      <w:r>
        <w:rPr>
          <w:iCs/>
          <w:i/>
        </w:rPr>
        <w:t xml:space="preserve">Myōgishō</w:t>
      </w:r>
      <w:r>
        <w:t xml:space="preserve"> </w:t>
      </w:r>
      <w:r>
        <w:t xml:space="preserve">data included in HDIC, it is necessary for HDIC to assign unique column names to its own data files and to establish Primary Keys and Foreign Keys for interoperability between HDIC’s internal data files.</w:t>
      </w:r>
    </w:p>
    <w:p>
      <w:pPr>
        <w:pStyle w:val="BodyText"/>
      </w:pPr>
      <w:r>
        <w:t xml:space="preserve">For this purpose,</w:t>
      </w:r>
      <w:r>
        <w:t xml:space="preserve"> </w:t>
      </w:r>
      <w:r>
        <w:rPr>
          <w:rStyle w:val="VerbatimChar"/>
        </w:rPr>
        <w:t xml:space="preserve">pronunciation_id</w:t>
      </w:r>
      <w:r>
        <w:t xml:space="preserve"> </w:t>
      </w:r>
      <w:r>
        <w:t xml:space="preserve">(音注ID) has been set as the Primary Key, and</w:t>
      </w:r>
      <w:r>
        <w:t xml:space="preserve"> </w:t>
      </w:r>
      <w:r>
        <w:rPr>
          <w:rStyle w:val="VerbatimChar"/>
        </w:rPr>
        <w:t xml:space="preserve">definition_seq_id</w:t>
      </w:r>
      <w:r>
        <w:t xml:space="preserve"> </w:t>
      </w:r>
      <w:r>
        <w:t xml:space="preserve">(注文ID) as the Foreign Key.</w:t>
      </w:r>
    </w:p>
    <w:p>
      <w:pPr>
        <w:pStyle w:val="BodyText"/>
      </w:pPr>
      <w:r>
        <w:t xml:space="preserve">Since the</w:t>
      </w:r>
      <w:r>
        <w:t xml:space="preserve"> </w:t>
      </w:r>
      <w:r>
        <w:rPr>
          <w:iCs/>
          <w:i/>
        </w:rPr>
        <w:t xml:space="preserve">Myōgishō</w:t>
      </w:r>
      <w:r>
        <w:t xml:space="preserve"> </w:t>
      </w:r>
      <w:r>
        <w:t xml:space="preserve">features diverse formats for its</w:t>
      </w:r>
      <w:r>
        <w:t xml:space="preserve"> </w:t>
      </w:r>
      <w:r>
        <w:rPr>
          <w:rStyle w:val="VerbatimChar"/>
          <w:bCs/>
          <w:b/>
        </w:rPr>
        <w:t xml:space="preserve">Phonetic Glosses</w:t>
      </w:r>
      <w:r>
        <w:t xml:space="preserve">, a classification field named</w:t>
      </w:r>
      <w:r>
        <w:t xml:space="preserve"> </w:t>
      </w:r>
      <w:r>
        <w:rPr>
          <w:rStyle w:val="VerbatimChar"/>
        </w:rPr>
        <w:t xml:space="preserve">annotation_format</w:t>
      </w:r>
      <w:r>
        <w:t xml:space="preserve"> </w:t>
      </w:r>
      <w:r>
        <w:t xml:space="preserve">(音注型) has been established to categorize them.</w:t>
      </w:r>
    </w:p>
    <w:p>
      <w:pPr>
        <w:pStyle w:val="BodyText"/>
      </w:pPr>
      <w:r>
        <w:t xml:space="preserve">While DHSJR uses Japanese column names, HDIC employs English ones. Therefore, for data processing convenience within HDIC, English column names have been adopted.</w:t>
      </w:r>
    </w:p>
    <w:bookmarkEnd w:id="97"/>
    <w:bookmarkStart w:id="99" w:name="X19292b8c9ebe5d9c41d3a3d5e91da6e9ea416ef"/>
    <w:p>
      <w:pPr>
        <w:pStyle w:val="Heading2"/>
      </w:pPr>
      <w:r>
        <w:rPr>
          <w:rStyle w:val="SectionNumber"/>
        </w:rPr>
        <w:t xml:space="preserve">8.2</w:t>
      </w:r>
      <w:r>
        <w:tab/>
      </w:r>
      <w:r>
        <w:t xml:space="preserve">Column name comparison</w:t>
      </w:r>
    </w:p>
    <w:p>
      <w:pPr>
        <w:pStyle w:val="FirstParagraph"/>
      </w:pPr>
      <w:r>
        <w:t xml:space="preserve">The current draft, with English and Japanese explanations side-by-side, is as follows. The Japanese explanations are those stipulated by DHSJR. The English explanations are formulated to facilitate correspondence with HDIC. This is a provisional measure until official English explanations are released by DHSJR.</w:t>
      </w:r>
    </w:p>
    <w:p>
      <w:pPr>
        <w:pStyle w:val="BodyText"/>
      </w:pPr>
      <w:r>
        <w:t xml:space="preserve">HDIC’s original column names are indicated in</w:t>
      </w:r>
      <w:r>
        <w:t xml:space="preserve"> </w:t>
      </w:r>
      <w:r>
        <w:rPr>
          <w:bCs/>
          <w:b/>
        </w:rPr>
        <w:t xml:space="preserve">bold</w:t>
      </w:r>
      <w:r>
        <w:t xml:space="preserve">.</w:t>
      </w:r>
    </w:p>
    <w:tbl>
      <w:tblPr>
        <w:tblStyle w:val="Table"/>
        <w:tblW w:type="pct" w:w="5000"/>
        <w:tblLook w:firstRow="1" w:lastRow="0" w:firstColumn="0" w:lastColumn="0" w:noHBand="0" w:noVBand="0" w:val="0020"/>
        <w:jc w:val="start"/>
      </w:tblPr>
      <w:tblGrid>
        <w:gridCol w:w="323"/>
        <w:gridCol w:w="505"/>
        <w:gridCol w:w="222"/>
        <w:gridCol w:w="5798"/>
        <w:gridCol w:w="1070"/>
      </w:tblGrid>
      <w:tr>
        <w:trPr>
          <w:tblHeader w:val="true"/>
        </w:trPr>
        <w:tc>
          <w:tcPr/>
          <w:p>
            <w:pPr>
              <w:pStyle w:val="Compact"/>
              <w:jc w:val="left"/>
            </w:pPr>
            <w:r>
              <w:t xml:space="preserve">DHSJR (Japanese)</w:t>
            </w:r>
          </w:p>
        </w:tc>
        <w:tc>
          <w:tcPr/>
          <w:p>
            <w:pPr>
              <w:pStyle w:val="Compact"/>
              <w:jc w:val="left"/>
            </w:pPr>
            <w:r>
              <w:t xml:space="preserve">HDIC (English)</w:t>
            </w:r>
          </w:p>
        </w:tc>
        <w:tc>
          <w:tcPr/>
          <w:p>
            <w:pPr>
              <w:pStyle w:val="Compact"/>
              <w:jc w:val="left"/>
            </w:pPr>
            <w:r>
              <w:t xml:space="preserve">Key</w:t>
            </w:r>
          </w:p>
        </w:tc>
        <w:tc>
          <w:tcPr/>
          <w:p>
            <w:pPr>
              <w:pStyle w:val="Compact"/>
              <w:jc w:val="left"/>
            </w:pPr>
            <w:r>
              <w:t xml:space="preserve">English Explanation</w:t>
            </w:r>
          </w:p>
        </w:tc>
        <w:tc>
          <w:tcPr/>
          <w:p>
            <w:pPr>
              <w:pStyle w:val="Compact"/>
              <w:jc w:val="left"/>
            </w:pPr>
            <w:r>
              <w:t xml:space="preserve">Japanese Explanation (from DHSJR)</w:t>
            </w:r>
          </w:p>
        </w:tc>
      </w:tr>
      <w:tr>
        <w:tc>
          <w:tcPr/>
          <w:p>
            <w:pPr>
              <w:pStyle w:val="Compact"/>
              <w:jc w:val="left"/>
            </w:pPr>
            <w:r>
              <w:t xml:space="preserve">ID</w:t>
            </w:r>
          </w:p>
        </w:tc>
        <w:tc>
          <w:tcPr/>
          <w:p>
            <w:pPr>
              <w:pStyle w:val="Compact"/>
              <w:jc w:val="left"/>
            </w:pPr>
            <w:r>
              <w:t xml:space="preserve">dhsjr_id</w:t>
            </w:r>
          </w:p>
        </w:tc>
        <w:tc>
          <w:tcPr/>
          <w:p>
            <w:pPr>
              <w:pStyle w:val="Compact"/>
            </w:pPr>
          </w:p>
        </w:tc>
        <w:tc>
          <w:tcPr/>
          <w:p>
            <w:pPr>
              <w:pStyle w:val="Compact"/>
              <w:jc w:val="left"/>
            </w:pPr>
            <w:r>
              <w:t xml:space="preserve">DHSJR unique ID for each single</w:t>
            </w:r>
            <w:r>
              <w:t xml:space="preserve"> </w:t>
            </w:r>
            <w:r>
              <w:rPr>
                <w:rStyle w:val="VerbatimChar"/>
                <w:bCs/>
                <w:b/>
              </w:rPr>
              <w:t xml:space="preserve">Hanzi (Chinese character)</w:t>
            </w:r>
            <w:r>
              <w:t xml:space="preserve"> </w:t>
            </w:r>
            <w:r>
              <w:t xml:space="preserve">(integrated data only)</w:t>
            </w:r>
          </w:p>
        </w:tc>
        <w:tc>
          <w:tcPr/>
          <w:p>
            <w:pPr>
              <w:pStyle w:val="Compact"/>
              <w:jc w:val="left"/>
            </w:pPr>
            <w:r>
              <w:t xml:space="preserve">単字ごとのユニークID（統合データのみ）</w:t>
            </w:r>
          </w:p>
        </w:tc>
      </w:tr>
      <w:tr>
        <w:tc>
          <w:tcPr/>
          <w:p>
            <w:pPr>
              <w:pStyle w:val="Compact"/>
              <w:jc w:val="left"/>
            </w:pPr>
            <w:r>
              <w:rPr>
                <w:bCs/>
                <w:b/>
              </w:rPr>
              <w:t xml:space="preserve">音注ID</w:t>
            </w:r>
          </w:p>
        </w:tc>
        <w:tc>
          <w:tcPr/>
          <w:p>
            <w:pPr>
              <w:pStyle w:val="Compact"/>
              <w:jc w:val="left"/>
            </w:pPr>
            <w:r>
              <w:rPr>
                <w:rStyle w:val="VerbatimChar"/>
                <w:bCs/>
                <w:b/>
              </w:rPr>
              <w:t xml:space="preserve">pronunciation_id</w:t>
            </w:r>
          </w:p>
        </w:tc>
        <w:tc>
          <w:tcPr/>
          <w:p>
            <w:pPr>
              <w:pStyle w:val="Compact"/>
              <w:jc w:val="left"/>
            </w:pPr>
            <w:r>
              <w:t xml:space="preserve">Primary Key</w:t>
            </w:r>
          </w:p>
        </w:tc>
        <w:tc>
          <w:tcPr/>
          <w:p>
            <w:pPr>
              <w:pStyle w:val="Compact"/>
              <w:jc w:val="left"/>
            </w:pPr>
            <w:r>
              <w:t xml:space="preserve">ID for each</w:t>
            </w:r>
            <w:r>
              <w:t xml:space="preserve"> </w:t>
            </w:r>
            <w:r>
              <w:rPr>
                <w:rStyle w:val="VerbatimChar"/>
                <w:bCs/>
                <w:b/>
              </w:rPr>
              <w:t xml:space="preserve">Phonetic Gloss</w:t>
            </w:r>
            <w:r>
              <w:t xml:space="preserve">. This is derived from</w:t>
            </w:r>
            <w:r>
              <w:t xml:space="preserve"> </w:t>
            </w:r>
            <w:r>
              <w:rPr>
                <w:rStyle w:val="VerbatimChar"/>
              </w:rPr>
              <w:t xml:space="preserve">definition_seq_id</w:t>
            </w:r>
            <w:r>
              <w:t xml:space="preserve"> </w:t>
            </w:r>
            <w:r>
              <w:t xml:space="preserve">by extracting only those elements where the type (from</w:t>
            </w:r>
            <w:r>
              <w:t xml:space="preserve"> </w:t>
            </w:r>
            <w:r>
              <w:rPr>
                <w:rStyle w:val="VerbatimChar"/>
              </w:rPr>
              <w:t xml:space="preserve">definition_type_name</w:t>
            </w:r>
            <w:r>
              <w:t xml:space="preserve"> </w:t>
            </w:r>
            <w:r>
              <w:t xml:space="preserve">in</w:t>
            </w:r>
            <w:r>
              <w:t xml:space="preserve"> </w:t>
            </w:r>
            <w:r>
              <w:rPr>
                <w:rStyle w:val="VerbatimChar"/>
              </w:rPr>
              <w:t xml:space="preserve">krm_notes</w:t>
            </w:r>
            <w:r>
              <w:t xml:space="preserve">) is</w:t>
            </w:r>
            <w:r>
              <w:t xml:space="preserve"> </w:t>
            </w:r>
            <w:r>
              <w:rPr>
                <w:rStyle w:val="VerbatimChar"/>
                <w:bCs/>
                <w:b/>
              </w:rPr>
              <w:t xml:space="preserve">Phonetic Gloss</w:t>
            </w:r>
            <w:r>
              <w:t xml:space="preserve">. Suffixes</w:t>
            </w:r>
            <w:r>
              <w:t xml:space="preserve"> </w:t>
            </w:r>
            <w:r>
              <w:t xml:space="preserve">‘</w:t>
            </w:r>
            <w:r>
              <w:t xml:space="preserve">b</w:t>
            </w:r>
            <w:r>
              <w:t xml:space="preserve">’</w:t>
            </w:r>
            <w:r>
              <w:t xml:space="preserve">,</w:t>
            </w:r>
            <w:r>
              <w:t xml:space="preserve"> </w:t>
            </w:r>
            <w:r>
              <w:t xml:space="preserve">‘</w:t>
            </w:r>
            <w:r>
              <w:t xml:space="preserve">c</w:t>
            </w:r>
            <w:r>
              <w:t xml:space="preserve">’</w:t>
            </w:r>
            <w:r>
              <w:t xml:space="preserve">,</w:t>
            </w:r>
            <w:r>
              <w:t xml:space="preserve"> </w:t>
            </w:r>
            <w:r>
              <w:t xml:space="preserve">‘</w:t>
            </w:r>
            <w:r>
              <w:t xml:space="preserve">d</w:t>
            </w:r>
            <w:r>
              <w:t xml:space="preserve">’</w:t>
            </w:r>
            <w:r>
              <w:t xml:space="preserve"> </w:t>
            </w:r>
            <w:r>
              <w:t xml:space="preserve">are appended for variant forms.</w:t>
            </w:r>
          </w:p>
        </w:tc>
        <w:tc>
          <w:tcPr/>
          <w:p>
            <w:pPr>
              <w:pStyle w:val="Compact"/>
              <w:jc w:val="left"/>
            </w:pPr>
            <w:r>
              <w:t xml:space="preserve">音注ID。kr_definition_sequence_idから、注文の種類が音注のものだけを取り出したもの。変異形を追加したものには末尾にb, c, dを付した。</w:t>
            </w:r>
          </w:p>
        </w:tc>
      </w:tr>
      <w:tr>
        <w:tc>
          <w:tcPr/>
          <w:p>
            <w:pPr>
              <w:pStyle w:val="Compact"/>
              <w:jc w:val="left"/>
            </w:pPr>
            <w:r>
              <w:rPr>
                <w:bCs/>
                <w:b/>
              </w:rPr>
              <w:t xml:space="preserve">注文ID</w:t>
            </w:r>
          </w:p>
        </w:tc>
        <w:tc>
          <w:tcPr/>
          <w:p>
            <w:pPr>
              <w:pStyle w:val="Compact"/>
              <w:jc w:val="left"/>
            </w:pPr>
            <w:r>
              <w:rPr>
                <w:rStyle w:val="VerbatimChar"/>
                <w:bCs/>
                <w:b/>
              </w:rPr>
              <w:t xml:space="preserve">definition_seq_id</w:t>
            </w:r>
          </w:p>
        </w:tc>
        <w:tc>
          <w:tcPr/>
          <w:p>
            <w:pPr>
              <w:pStyle w:val="Compact"/>
              <w:jc w:val="left"/>
            </w:pPr>
            <w:r>
              <w:t xml:space="preserve">Foreign Key</w:t>
            </w:r>
          </w:p>
        </w:tc>
        <w:tc>
          <w:tcPr/>
          <w:p>
            <w:pPr>
              <w:pStyle w:val="Compact"/>
              <w:jc w:val="left"/>
            </w:pPr>
            <w:r>
              <w:t xml:space="preserve">An identifier for each component of the</w:t>
            </w:r>
            <w:r>
              <w:t xml:space="preserve"> </w:t>
            </w:r>
            <w:r>
              <w:rPr>
                <w:rStyle w:val="VerbatimChar"/>
                <w:bCs/>
                <w:b/>
              </w:rPr>
              <w:t xml:space="preserve">Definition (Original Glosses)</w:t>
            </w:r>
            <w:r>
              <w:t xml:space="preserve"> </w:t>
            </w:r>
            <w:r>
              <w:t xml:space="preserve">or for the</w:t>
            </w:r>
            <w:r>
              <w:t xml:space="preserve"> </w:t>
            </w:r>
            <w:r>
              <w:rPr>
                <w:rStyle w:val="VerbatimChar"/>
                <w:bCs/>
                <w:b/>
              </w:rPr>
              <w:t xml:space="preserve">Headword</w:t>
            </w:r>
            <w:r>
              <w:t xml:space="preserve"> </w:t>
            </w:r>
            <w:r>
              <w:t xml:space="preserve">itself within an</w:t>
            </w:r>
            <w:r>
              <w:t xml:space="preserve"> </w:t>
            </w:r>
            <w:r>
              <w:rPr>
                <w:rStyle w:val="VerbatimChar"/>
                <w:bCs/>
                <w:b/>
              </w:rPr>
              <w:t xml:space="preserve">Entry</w:t>
            </w:r>
            <w:r>
              <w:t xml:space="preserve">. It is formed by appending a sequential suffix (e.g.,</w:t>
            </w:r>
            <w:r>
              <w:t xml:space="preserve"> </w:t>
            </w:r>
            <w:r>
              <w:t xml:space="preserve">“</w:t>
            </w:r>
            <w:r>
              <w:t xml:space="preserve">_00</w:t>
            </w:r>
            <w:r>
              <w:t xml:space="preserve">”</w:t>
            </w:r>
            <w:r>
              <w:t xml:space="preserve"> </w:t>
            </w:r>
            <w:r>
              <w:t xml:space="preserve">for the</w:t>
            </w:r>
            <w:r>
              <w:t xml:space="preserve"> </w:t>
            </w:r>
            <w:r>
              <w:rPr>
                <w:rStyle w:val="VerbatimChar"/>
                <w:bCs/>
                <w:b/>
              </w:rPr>
              <w:t xml:space="preserve">Headword</w:t>
            </w:r>
            <w:r>
              <w:t xml:space="preserve">,</w:t>
            </w:r>
            <w:r>
              <w:t xml:space="preserve"> </w:t>
            </w:r>
            <w:r>
              <w:t xml:space="preserve">“</w:t>
            </w:r>
            <w:r>
              <w:t xml:space="preserve">_01</w:t>
            </w:r>
            <w:r>
              <w:t xml:space="preserve">”</w:t>
            </w:r>
            <w:r>
              <w:t xml:space="preserve">,</w:t>
            </w:r>
            <w:r>
              <w:t xml:space="preserve"> </w:t>
            </w:r>
            <w:r>
              <w:t xml:space="preserve">“</w:t>
            </w:r>
            <w:r>
              <w:t xml:space="preserve">_02</w:t>
            </w:r>
            <w:r>
              <w:t xml:space="preserve">”</w:t>
            </w:r>
            <w:r>
              <w:t xml:space="preserve"> </w:t>
            </w:r>
            <w:r>
              <w:t xml:space="preserve">for subsequent elements) to the corresponding</w:t>
            </w:r>
            <w:r>
              <w:t xml:space="preserve"> </w:t>
            </w:r>
            <w:r>
              <w:rPr>
                <w:rStyle w:val="VerbatimChar"/>
              </w:rPr>
              <w:t xml:space="preserve">entry_id</w:t>
            </w:r>
            <w:r>
              <w:t xml:space="preserve">.</w:t>
            </w:r>
          </w:p>
        </w:tc>
        <w:tc>
          <w:tcPr/>
          <w:p>
            <w:pPr>
              <w:pStyle w:val="Compact"/>
              <w:jc w:val="left"/>
            </w:pPr>
            <w:r>
              <w:t xml:space="preserve">連番で与えられるFで始まる5桁の見出しの数値IDに加えて、見出しの下に記される注文の各要素を出現順に区分し、出現の順番に_01、_02のように追加したもの。見出しには_00を追加する。</w:t>
            </w:r>
          </w:p>
        </w:tc>
      </w:tr>
      <w:tr>
        <w:tc>
          <w:tcPr/>
          <w:p>
            <w:pPr>
              <w:pStyle w:val="Compact"/>
              <w:jc w:val="left"/>
            </w:pPr>
            <w:r>
              <w:t xml:space="preserve">資料番号</w:t>
            </w:r>
          </w:p>
        </w:tc>
        <w:tc>
          <w:tcPr/>
          <w:p>
            <w:pPr>
              <w:pStyle w:val="Compact"/>
              <w:jc w:val="left"/>
            </w:pPr>
            <w:r>
              <w:t xml:space="preserve">material_id</w:t>
            </w:r>
          </w:p>
        </w:tc>
        <w:tc>
          <w:tcPr/>
          <w:p>
            <w:pPr>
              <w:pStyle w:val="Compact"/>
            </w:pPr>
          </w:p>
        </w:tc>
        <w:tc>
          <w:tcPr/>
          <w:p>
            <w:pPr>
              <w:pStyle w:val="Compact"/>
              <w:jc w:val="left"/>
            </w:pPr>
            <w:r>
              <w:t xml:space="preserve">Material ID</w:t>
            </w:r>
          </w:p>
        </w:tc>
        <w:tc>
          <w:tcPr/>
          <w:p>
            <w:pPr>
              <w:pStyle w:val="Compact"/>
              <w:jc w:val="left"/>
            </w:pPr>
            <w:r>
              <w:t xml:space="preserve">資料ID</w:t>
            </w:r>
          </w:p>
        </w:tc>
      </w:tr>
      <w:tr>
        <w:tc>
          <w:tcPr/>
          <w:p>
            <w:pPr>
              <w:pStyle w:val="Compact"/>
              <w:jc w:val="left"/>
            </w:pPr>
            <w:r>
              <w:t xml:space="preserve">資料名</w:t>
            </w:r>
          </w:p>
        </w:tc>
        <w:tc>
          <w:tcPr/>
          <w:p>
            <w:pPr>
              <w:pStyle w:val="Compact"/>
              <w:jc w:val="left"/>
            </w:pPr>
            <w:r>
              <w:t xml:space="preserve">material_name</w:t>
            </w:r>
          </w:p>
        </w:tc>
        <w:tc>
          <w:tcPr/>
          <w:p>
            <w:pPr>
              <w:pStyle w:val="Compact"/>
            </w:pPr>
          </w:p>
        </w:tc>
        <w:tc>
          <w:tcPr/>
          <w:p>
            <w:pPr>
              <w:pStyle w:val="Compact"/>
              <w:jc w:val="left"/>
            </w:pPr>
            <w:r>
              <w:t xml:space="preserve">Name of the material</w:t>
            </w:r>
          </w:p>
        </w:tc>
        <w:tc>
          <w:tcPr/>
          <w:p>
            <w:pPr>
              <w:pStyle w:val="Compact"/>
              <w:jc w:val="left"/>
            </w:pPr>
            <w:r>
              <w:t xml:space="preserve">資料の名称</w:t>
            </w:r>
          </w:p>
        </w:tc>
      </w:tr>
      <w:tr>
        <w:tc>
          <w:tcPr/>
          <w:p>
            <w:pPr>
              <w:pStyle w:val="Compact"/>
              <w:jc w:val="left"/>
            </w:pPr>
            <w:r>
              <w:t xml:space="preserve">資料内漢字番号</w:t>
            </w:r>
          </w:p>
        </w:tc>
        <w:tc>
          <w:tcPr/>
          <w:p>
            <w:pPr>
              <w:pStyle w:val="Compact"/>
              <w:jc w:val="left"/>
            </w:pPr>
            <w:r>
              <w:t xml:space="preserve">material_character_index</w:t>
            </w:r>
          </w:p>
        </w:tc>
        <w:tc>
          <w:tcPr/>
          <w:p>
            <w:pPr>
              <w:pStyle w:val="Compact"/>
            </w:pPr>
          </w:p>
        </w:tc>
        <w:tc>
          <w:tcPr/>
          <w:p>
            <w:pPr>
              <w:pStyle w:val="Compact"/>
              <w:jc w:val="left"/>
            </w:pPr>
            <w:r>
              <w:t xml:space="preserve">Sequential number of a</w:t>
            </w:r>
            <w:r>
              <w:t xml:space="preserve"> </w:t>
            </w:r>
            <w:r>
              <w:rPr>
                <w:rStyle w:val="VerbatimChar"/>
                <w:bCs/>
                <w:b/>
              </w:rPr>
              <w:t xml:space="preserve">Hanzi (Chinese character)</w:t>
            </w:r>
            <w:r>
              <w:t xml:space="preserve">’s appearance in the material</w:t>
            </w:r>
          </w:p>
        </w:tc>
        <w:tc>
          <w:tcPr/>
          <w:p>
            <w:pPr>
              <w:pStyle w:val="Compact"/>
              <w:jc w:val="left"/>
            </w:pPr>
            <w:r>
              <w:t xml:space="preserve">漢字の資料内出現順の通し番号</w:t>
            </w:r>
          </w:p>
        </w:tc>
      </w:tr>
      <w:tr>
        <w:tc>
          <w:tcPr/>
          <w:p>
            <w:pPr>
              <w:pStyle w:val="Compact"/>
              <w:jc w:val="left"/>
            </w:pPr>
            <w:r>
              <w:t xml:space="preserve">資料内漢語番号</w:t>
            </w:r>
          </w:p>
        </w:tc>
        <w:tc>
          <w:tcPr/>
          <w:p>
            <w:pPr>
              <w:pStyle w:val="Compact"/>
              <w:jc w:val="left"/>
            </w:pPr>
            <w:r>
              <w:t xml:space="preserve">material_word_index</w:t>
            </w:r>
          </w:p>
        </w:tc>
        <w:tc>
          <w:tcPr/>
          <w:p>
            <w:pPr>
              <w:pStyle w:val="Compact"/>
            </w:pPr>
          </w:p>
        </w:tc>
        <w:tc>
          <w:tcPr/>
          <w:p>
            <w:pPr>
              <w:pStyle w:val="Compact"/>
              <w:jc w:val="left"/>
            </w:pPr>
            <w:r>
              <w:t xml:space="preserve">Sequential number of a Chinese word’s appearance in the material</w:t>
            </w:r>
          </w:p>
        </w:tc>
        <w:tc>
          <w:tcPr/>
          <w:p>
            <w:pPr>
              <w:pStyle w:val="Compact"/>
              <w:jc w:val="left"/>
            </w:pPr>
            <w:r>
              <w:t xml:space="preserve">漢語の資料内出現順の通し番号</w:t>
            </w:r>
          </w:p>
        </w:tc>
      </w:tr>
      <w:tr>
        <w:tc>
          <w:tcPr/>
          <w:p>
            <w:pPr>
              <w:pStyle w:val="Compact"/>
              <w:jc w:val="left"/>
            </w:pPr>
            <w:r>
              <w:t xml:space="preserve">単字_見出し</w:t>
            </w:r>
          </w:p>
        </w:tc>
        <w:tc>
          <w:tcPr/>
          <w:p>
            <w:pPr>
              <w:pStyle w:val="Compact"/>
              <w:jc w:val="left"/>
            </w:pPr>
            <w:r>
              <w:t xml:space="preserve">character_headword</w:t>
            </w:r>
          </w:p>
        </w:tc>
        <w:tc>
          <w:tcPr/>
          <w:p>
            <w:pPr>
              <w:pStyle w:val="Compact"/>
            </w:pPr>
          </w:p>
        </w:tc>
        <w:tc>
          <w:tcPr/>
          <w:p>
            <w:pPr>
              <w:pStyle w:val="Compact"/>
              <w:jc w:val="left"/>
            </w:pPr>
            <w:r>
              <w:rPr>
                <w:rStyle w:val="VerbatimChar"/>
                <w:bCs/>
                <w:b/>
              </w:rPr>
              <w:t xml:space="preserve">Headword</w:t>
            </w:r>
            <w:r>
              <w:t xml:space="preserve"> </w:t>
            </w:r>
            <w:r>
              <w:t xml:space="preserve">column for</w:t>
            </w:r>
            <w:r>
              <w:t xml:space="preserve"> </w:t>
            </w:r>
            <w:r>
              <w:rPr>
                <w:rStyle w:val="VerbatimChar"/>
                <w:bCs/>
                <w:b/>
              </w:rPr>
              <w:t xml:space="preserve">Hanzi (Chinese characters)</w:t>
            </w:r>
            <w:r>
              <w:t xml:space="preserve"> </w:t>
            </w:r>
            <w:r>
              <w:t xml:space="preserve">with</w:t>
            </w:r>
            <w:r>
              <w:t xml:space="preserve"> </w:t>
            </w:r>
            <w:r>
              <w:rPr>
                <w:rStyle w:val="VerbatimChar"/>
                <w:bCs/>
                <w:b/>
              </w:rPr>
              <w:t xml:space="preserve">Phonetic Glosses</w:t>
            </w:r>
          </w:p>
        </w:tc>
        <w:tc>
          <w:tcPr/>
          <w:p>
            <w:pPr>
              <w:pStyle w:val="Compact"/>
              <w:jc w:val="left"/>
            </w:pPr>
            <w:r>
              <w:t xml:space="preserve">音注が付された漢字の見出し列</w:t>
            </w:r>
          </w:p>
        </w:tc>
      </w:tr>
      <w:tr>
        <w:tc>
          <w:tcPr/>
          <w:p>
            <w:pPr>
              <w:pStyle w:val="Compact"/>
              <w:jc w:val="left"/>
            </w:pPr>
            <w:r>
              <w:t xml:space="preserve">単字_出現形</w:t>
            </w:r>
          </w:p>
        </w:tc>
        <w:tc>
          <w:tcPr/>
          <w:p>
            <w:pPr>
              <w:pStyle w:val="Compact"/>
              <w:jc w:val="left"/>
            </w:pPr>
            <w:r>
              <w:t xml:space="preserve">character_form</w:t>
            </w:r>
          </w:p>
        </w:tc>
        <w:tc>
          <w:tcPr/>
          <w:p>
            <w:pPr>
              <w:pStyle w:val="Compact"/>
            </w:pPr>
          </w:p>
        </w:tc>
        <w:tc>
          <w:tcPr/>
          <w:p>
            <w:pPr>
              <w:pStyle w:val="Compact"/>
              <w:jc w:val="left"/>
            </w:pPr>
            <w:r>
              <w:rPr>
                <w:rStyle w:val="VerbatimChar"/>
                <w:bCs/>
                <w:b/>
              </w:rPr>
              <w:t xml:space="preserve">Hanzi (Chinese characters)</w:t>
            </w:r>
            <w:r>
              <w:t xml:space="preserve"> </w:t>
            </w:r>
            <w:r>
              <w:t xml:space="preserve">that have</w:t>
            </w:r>
            <w:r>
              <w:t xml:space="preserve"> </w:t>
            </w:r>
            <w:r>
              <w:rPr>
                <w:rStyle w:val="VerbatimChar"/>
                <w:bCs/>
                <w:b/>
              </w:rPr>
              <w:t xml:space="preserve">Phonetic Glosses</w:t>
            </w:r>
          </w:p>
        </w:tc>
        <w:tc>
          <w:tcPr/>
          <w:p>
            <w:pPr>
              <w:pStyle w:val="Compact"/>
              <w:jc w:val="left"/>
            </w:pPr>
            <w:r>
              <w:t xml:space="preserve">音注が付された漢字</w:t>
            </w:r>
          </w:p>
        </w:tc>
      </w:tr>
      <w:tr>
        <w:tc>
          <w:tcPr/>
          <w:p>
            <w:pPr>
              <w:pStyle w:val="Compact"/>
              <w:jc w:val="left"/>
            </w:pPr>
            <w:r>
              <w:t xml:space="preserve">漢語_見出し</w:t>
            </w:r>
          </w:p>
        </w:tc>
        <w:tc>
          <w:tcPr/>
          <w:p>
            <w:pPr>
              <w:pStyle w:val="Compact"/>
              <w:jc w:val="left"/>
            </w:pPr>
            <w:r>
              <w:t xml:space="preserve">word_headword</w:t>
            </w:r>
          </w:p>
        </w:tc>
        <w:tc>
          <w:tcPr/>
          <w:p>
            <w:pPr>
              <w:pStyle w:val="Compact"/>
            </w:pPr>
          </w:p>
        </w:tc>
        <w:tc>
          <w:tcPr/>
          <w:p>
            <w:pPr>
              <w:pStyle w:val="Compact"/>
              <w:jc w:val="left"/>
            </w:pPr>
            <w:r>
              <w:rPr>
                <w:rStyle w:val="VerbatimChar"/>
                <w:bCs/>
                <w:b/>
              </w:rPr>
              <w:t xml:space="preserve">Headword</w:t>
            </w:r>
            <w:r>
              <w:t xml:space="preserve"> </w:t>
            </w:r>
            <w:r>
              <w:t xml:space="preserve">column of Chinese words containing</w:t>
            </w:r>
            <w:r>
              <w:t xml:space="preserve"> </w:t>
            </w:r>
            <w:r>
              <w:rPr>
                <w:rStyle w:val="VerbatimChar"/>
                <w:bCs/>
                <w:b/>
              </w:rPr>
              <w:t xml:space="preserve">Hanzi (Chinese characters)</w:t>
            </w:r>
            <w:r>
              <w:t xml:space="preserve"> </w:t>
            </w:r>
            <w:r>
              <w:t xml:space="preserve">with</w:t>
            </w:r>
            <w:r>
              <w:t xml:space="preserve"> </w:t>
            </w:r>
            <w:r>
              <w:rPr>
                <w:rStyle w:val="VerbatimChar"/>
                <w:bCs/>
                <w:b/>
              </w:rPr>
              <w:t xml:space="preserve">Phonetic Glosses</w:t>
            </w:r>
          </w:p>
        </w:tc>
        <w:tc>
          <w:tcPr/>
          <w:p>
            <w:pPr>
              <w:pStyle w:val="Compact"/>
              <w:jc w:val="left"/>
            </w:pPr>
            <w:r>
              <w:t xml:space="preserve">音注が付された漢字を含む漢語の見出し列</w:t>
            </w:r>
          </w:p>
        </w:tc>
      </w:tr>
      <w:tr>
        <w:tc>
          <w:tcPr/>
          <w:p>
            <w:pPr>
              <w:pStyle w:val="Compact"/>
              <w:jc w:val="left"/>
            </w:pPr>
            <w:r>
              <w:t xml:space="preserve">漢語_出現形</w:t>
            </w:r>
          </w:p>
        </w:tc>
        <w:tc>
          <w:tcPr/>
          <w:p>
            <w:pPr>
              <w:pStyle w:val="Compact"/>
              <w:jc w:val="left"/>
            </w:pPr>
            <w:r>
              <w:t xml:space="preserve">word_form</w:t>
            </w:r>
          </w:p>
        </w:tc>
        <w:tc>
          <w:tcPr/>
          <w:p>
            <w:pPr>
              <w:pStyle w:val="Compact"/>
            </w:pPr>
          </w:p>
        </w:tc>
        <w:tc>
          <w:tcPr/>
          <w:p>
            <w:pPr>
              <w:pStyle w:val="Compact"/>
              <w:jc w:val="left"/>
            </w:pPr>
            <w:r>
              <w:t xml:space="preserve">Chinese words containing</w:t>
            </w:r>
            <w:r>
              <w:t xml:space="preserve"> </w:t>
            </w:r>
            <w:r>
              <w:rPr>
                <w:rStyle w:val="VerbatimChar"/>
                <w:bCs/>
                <w:b/>
              </w:rPr>
              <w:t xml:space="preserve">Hanzi (Chinese characters)</w:t>
            </w:r>
            <w:r>
              <w:t xml:space="preserve"> </w:t>
            </w:r>
            <w:r>
              <w:t xml:space="preserve">with</w:t>
            </w:r>
            <w:r>
              <w:t xml:space="preserve"> </w:t>
            </w:r>
            <w:r>
              <w:rPr>
                <w:rStyle w:val="VerbatimChar"/>
                <w:bCs/>
                <w:b/>
              </w:rPr>
              <w:t xml:space="preserve">Phonetic Glosses</w:t>
            </w:r>
          </w:p>
        </w:tc>
        <w:tc>
          <w:tcPr/>
          <w:p>
            <w:pPr>
              <w:pStyle w:val="Compact"/>
              <w:jc w:val="left"/>
            </w:pPr>
            <w:r>
              <w:t xml:space="preserve">音注が付された漢字を含む漢語</w:t>
            </w:r>
          </w:p>
        </w:tc>
      </w:tr>
      <w:tr>
        <w:tc>
          <w:tcPr/>
          <w:p>
            <w:pPr>
              <w:pStyle w:val="Compact"/>
              <w:jc w:val="left"/>
            </w:pPr>
            <w:r>
              <w:t xml:space="preserve">漢語_alphabet</w:t>
            </w:r>
          </w:p>
        </w:tc>
        <w:tc>
          <w:tcPr/>
          <w:p>
            <w:pPr>
              <w:pStyle w:val="Compact"/>
              <w:jc w:val="left"/>
            </w:pPr>
            <w:r>
              <w:t xml:space="preserve">word_alpha</w:t>
            </w:r>
          </w:p>
        </w:tc>
        <w:tc>
          <w:tcPr/>
          <w:p>
            <w:pPr>
              <w:pStyle w:val="Compact"/>
            </w:pPr>
          </w:p>
        </w:tc>
        <w:tc>
          <w:tcPr/>
          <w:p>
            <w:pPr>
              <w:pStyle w:val="Compact"/>
              <w:jc w:val="left"/>
            </w:pPr>
            <w:r>
              <w:t xml:space="preserve">Entered when there is an alphabetic representation of the Chinese word</w:t>
            </w:r>
          </w:p>
        </w:tc>
        <w:tc>
          <w:tcPr/>
          <w:p>
            <w:pPr>
              <w:pStyle w:val="Compact"/>
              <w:jc w:val="left"/>
            </w:pPr>
            <w:r>
              <w:t xml:space="preserve">欧文による漢語の表記がある場合に入力されている。</w:t>
            </w:r>
          </w:p>
        </w:tc>
      </w:tr>
      <w:tr>
        <w:tc>
          <w:tcPr/>
          <w:p>
            <w:pPr>
              <w:pStyle w:val="Compact"/>
              <w:jc w:val="left"/>
            </w:pPr>
            <w:r>
              <w:t xml:space="preserve">語種</w:t>
            </w:r>
          </w:p>
        </w:tc>
        <w:tc>
          <w:tcPr/>
          <w:p>
            <w:pPr>
              <w:pStyle w:val="Compact"/>
              <w:jc w:val="left"/>
            </w:pPr>
            <w:r>
              <w:t xml:space="preserve">word_type</w:t>
            </w:r>
          </w:p>
        </w:tc>
        <w:tc>
          <w:tcPr/>
          <w:p>
            <w:pPr>
              <w:pStyle w:val="Compact"/>
            </w:pPr>
          </w:p>
        </w:tc>
        <w:tc>
          <w:tcPr/>
          <w:p>
            <w:pPr>
              <w:pStyle w:val="Compact"/>
              <w:jc w:val="left"/>
            </w:pPr>
            <w:r>
              <w:t xml:space="preserve">Indicates the word type when there are mixed-language words (e.g., hybrid Sino-Japanese words)</w:t>
            </w:r>
          </w:p>
        </w:tc>
        <w:tc>
          <w:tcPr/>
          <w:p>
            <w:pPr>
              <w:pStyle w:val="Compact"/>
              <w:jc w:val="left"/>
            </w:pPr>
            <w:r>
              <w:t xml:space="preserve">混種語がある場合に、語種を示す。</w:t>
            </w:r>
          </w:p>
        </w:tc>
      </w:tr>
      <w:tr>
        <w:tc>
          <w:tcPr/>
          <w:p>
            <w:pPr>
              <w:pStyle w:val="Compact"/>
              <w:jc w:val="left"/>
            </w:pPr>
            <w:r>
              <w:t xml:space="preserve">漢語内位置</w:t>
            </w:r>
          </w:p>
        </w:tc>
        <w:tc>
          <w:tcPr/>
          <w:p>
            <w:pPr>
              <w:pStyle w:val="Compact"/>
              <w:jc w:val="left"/>
            </w:pPr>
            <w:r>
              <w:t xml:space="preserve">word_position</w:t>
            </w:r>
          </w:p>
        </w:tc>
        <w:tc>
          <w:tcPr/>
          <w:p>
            <w:pPr>
              <w:pStyle w:val="Compact"/>
            </w:pPr>
          </w:p>
        </w:tc>
        <w:tc>
          <w:tcPr/>
          <w:p>
            <w:pPr>
              <w:pStyle w:val="Compact"/>
              <w:jc w:val="left"/>
            </w:pPr>
            <w:r>
              <w:t xml:space="preserve">Position of the single</w:t>
            </w:r>
            <w:r>
              <w:t xml:space="preserve"> </w:t>
            </w:r>
            <w:r>
              <w:rPr>
                <w:rStyle w:val="VerbatimChar"/>
                <w:bCs/>
                <w:b/>
              </w:rPr>
              <w:t xml:space="preserve">Hanzi (Chinese character)</w:t>
            </w:r>
            <w:r>
              <w:t xml:space="preserve"> </w:t>
            </w:r>
            <w:r>
              <w:t xml:space="preserve">within the Chinese word</w:t>
            </w:r>
          </w:p>
        </w:tc>
        <w:tc>
          <w:tcPr/>
          <w:p>
            <w:pPr>
              <w:pStyle w:val="Compact"/>
              <w:jc w:val="left"/>
            </w:pPr>
            <w:r>
              <w:t xml:space="preserve">漢語内での単字の位置</w:t>
            </w:r>
          </w:p>
        </w:tc>
      </w:tr>
      <w:tr>
        <w:tc>
          <w:tcPr/>
          <w:p>
            <w:pPr>
              <w:pStyle w:val="Compact"/>
              <w:jc w:val="left"/>
            </w:pPr>
            <w:r>
              <w:t xml:space="preserve">単字長</w:t>
            </w:r>
          </w:p>
        </w:tc>
        <w:tc>
          <w:tcPr/>
          <w:p>
            <w:pPr>
              <w:pStyle w:val="Compact"/>
              <w:jc w:val="left"/>
            </w:pPr>
            <w:r>
              <w:t xml:space="preserve">character_mora_count</w:t>
            </w:r>
          </w:p>
        </w:tc>
        <w:tc>
          <w:tcPr/>
          <w:p>
            <w:pPr>
              <w:pStyle w:val="Compact"/>
            </w:pPr>
          </w:p>
        </w:tc>
        <w:tc>
          <w:tcPr/>
          <w:p>
            <w:pPr>
              <w:pStyle w:val="Compact"/>
              <w:jc w:val="left"/>
            </w:pPr>
            <w:r>
              <w:t xml:space="preserve">Number of morae for the single</w:t>
            </w:r>
            <w:r>
              <w:t xml:space="preserve"> </w:t>
            </w:r>
            <w:r>
              <w:rPr>
                <w:rStyle w:val="VerbatimChar"/>
                <w:bCs/>
                <w:b/>
              </w:rPr>
              <w:t xml:space="preserve">Hanzi (Chinese character)</w:t>
            </w:r>
          </w:p>
        </w:tc>
        <w:tc>
          <w:tcPr/>
          <w:p>
            <w:pPr>
              <w:pStyle w:val="Compact"/>
              <w:jc w:val="left"/>
            </w:pPr>
            <w:r>
              <w:t xml:space="preserve">単字の拍数</w:t>
            </w:r>
          </w:p>
        </w:tc>
      </w:tr>
      <w:tr>
        <w:tc>
          <w:tcPr/>
          <w:p>
            <w:pPr>
              <w:pStyle w:val="Compact"/>
              <w:jc w:val="left"/>
            </w:pPr>
            <w:r>
              <w:t xml:space="preserve">声点</w:t>
            </w:r>
          </w:p>
        </w:tc>
        <w:tc>
          <w:tcPr/>
          <w:p>
            <w:pPr>
              <w:pStyle w:val="Compact"/>
              <w:jc w:val="left"/>
            </w:pPr>
            <w:r>
              <w:t xml:space="preserve">tone_marks</w:t>
            </w:r>
          </w:p>
        </w:tc>
        <w:tc>
          <w:tcPr/>
          <w:p>
            <w:pPr>
              <w:pStyle w:val="Compact"/>
            </w:pPr>
          </w:p>
        </w:tc>
        <w:tc>
          <w:tcPr/>
          <w:p>
            <w:pPr>
              <w:pStyle w:val="Compact"/>
              <w:jc w:val="left"/>
            </w:pPr>
            <w:r>
              <w:rPr>
                <w:rStyle w:val="VerbatimChar"/>
                <w:bCs/>
                <w:b/>
              </w:rPr>
              <w:t xml:space="preserve">Tone marks</w:t>
            </w:r>
            <w:r>
              <w:t xml:space="preserve"> </w:t>
            </w:r>
            <w:r>
              <w:t xml:space="preserve">for single</w:t>
            </w:r>
            <w:r>
              <w:t xml:space="preserve"> </w:t>
            </w:r>
            <w:r>
              <w:rPr>
                <w:rStyle w:val="VerbatimChar"/>
                <w:bCs/>
                <w:b/>
              </w:rPr>
              <w:t xml:space="preserve">Hanzi (Chinese characters)</w:t>
            </w:r>
            <w:r>
              <w:t xml:space="preserve">, indicating Four Tones (平上去入), Six Tones (平平軽上去入軽入), and voicing (清濁).</w:t>
            </w:r>
          </w:p>
        </w:tc>
        <w:tc>
          <w:tcPr/>
          <w:p>
            <w:pPr>
              <w:pStyle w:val="Compact"/>
              <w:jc w:val="left"/>
            </w:pPr>
            <w:r>
              <w:t xml:space="preserve">単字に対する四声（平上去入）、六声（平平軽上去入軽入）及び清濁。</w:t>
            </w:r>
          </w:p>
        </w:tc>
      </w:tr>
      <w:tr>
        <w:tc>
          <w:tcPr/>
          <w:p>
            <w:pPr>
              <w:pStyle w:val="Compact"/>
              <w:jc w:val="left"/>
            </w:pPr>
            <w:r>
              <w:t xml:space="preserve">声点型</w:t>
            </w:r>
          </w:p>
        </w:tc>
        <w:tc>
          <w:tcPr/>
          <w:p>
            <w:pPr>
              <w:pStyle w:val="Compact"/>
              <w:jc w:val="left"/>
            </w:pPr>
            <w:r>
              <w:t xml:space="preserve">tone_pattern</w:t>
            </w:r>
          </w:p>
        </w:tc>
        <w:tc>
          <w:tcPr/>
          <w:p>
            <w:pPr>
              <w:pStyle w:val="Compact"/>
            </w:pPr>
          </w:p>
        </w:tc>
        <w:tc>
          <w:tcPr/>
          <w:p>
            <w:pPr>
              <w:pStyle w:val="Compact"/>
              <w:jc w:val="left"/>
            </w:pPr>
            <w:r>
              <w:t xml:space="preserve">Combination of</w:t>
            </w:r>
            <w:r>
              <w:t xml:space="preserve"> </w:t>
            </w:r>
            <w:r>
              <w:rPr>
                <w:rStyle w:val="VerbatimChar"/>
                <w:bCs/>
                <w:b/>
              </w:rPr>
              <w:t xml:space="preserve">Tone marks</w:t>
            </w:r>
            <w:r>
              <w:t xml:space="preserve"> </w:t>
            </w:r>
            <w:r>
              <w:t xml:space="preserve">for Chinese words.</w:t>
            </w:r>
            <w:r>
              <w:t xml:space="preserve"> </w:t>
            </w:r>
            <w:r>
              <w:rPr>
                <w:rStyle w:val="VerbatimChar"/>
                <w:bCs/>
                <w:b/>
              </w:rPr>
              <w:t xml:space="preserve">Hanzi (Chinese characters)</w:t>
            </w:r>
            <w:r>
              <w:t xml:space="preserve"> </w:t>
            </w:r>
            <w:r>
              <w:t xml:space="preserve">without</w:t>
            </w:r>
            <w:r>
              <w:t xml:space="preserve"> </w:t>
            </w:r>
            <w:r>
              <w:rPr>
                <w:rStyle w:val="VerbatimChar"/>
                <w:bCs/>
                <w:b/>
              </w:rPr>
              <w:t xml:space="preserve">Tone marks</w:t>
            </w:r>
            <w:r>
              <w:t xml:space="preserve"> </w:t>
            </w:r>
            <w:r>
              <w:t xml:space="preserve">are represented by a full-width asterisk (＊).</w:t>
            </w:r>
          </w:p>
        </w:tc>
        <w:tc>
          <w:tcPr/>
          <w:p>
            <w:pPr>
              <w:pStyle w:val="Compact"/>
              <w:jc w:val="left"/>
            </w:pPr>
            <w:r>
              <w:t xml:space="preserve">漢語に対する声点の組合せ。声点がない単字については＊で表す。</w:t>
            </w:r>
          </w:p>
        </w:tc>
      </w:tr>
      <w:tr>
        <w:tc>
          <w:tcPr/>
          <w:p>
            <w:pPr>
              <w:pStyle w:val="Compact"/>
              <w:jc w:val="left"/>
            </w:pPr>
            <w:r>
              <w:t xml:space="preserve">仮名注</w:t>
            </w:r>
          </w:p>
        </w:tc>
        <w:tc>
          <w:tcPr/>
          <w:p>
            <w:pPr>
              <w:pStyle w:val="Compact"/>
              <w:jc w:val="left"/>
            </w:pPr>
            <w:r>
              <w:t xml:space="preserve">kana_notes</w:t>
            </w:r>
          </w:p>
        </w:tc>
        <w:tc>
          <w:tcPr/>
          <w:p>
            <w:pPr>
              <w:pStyle w:val="Compact"/>
            </w:pPr>
          </w:p>
        </w:tc>
        <w:tc>
          <w:tcPr/>
          <w:p>
            <w:pPr>
              <w:pStyle w:val="Compact"/>
              <w:jc w:val="left"/>
            </w:pPr>
            <w:r>
              <w:rPr>
                <w:rStyle w:val="VerbatimChar"/>
                <w:bCs/>
                <w:b/>
              </w:rPr>
              <w:t xml:space="preserve">Kana glosses</w:t>
            </w:r>
            <w:r>
              <w:t xml:space="preserve"> </w:t>
            </w:r>
            <w:r>
              <w:t xml:space="preserve">(仮名注) for</w:t>
            </w:r>
            <w:r>
              <w:t xml:space="preserve"> </w:t>
            </w:r>
            <w:r>
              <w:rPr>
                <w:rStyle w:val="VerbatimChar"/>
                <w:bCs/>
                <w:b/>
              </w:rPr>
              <w:t xml:space="preserve">Hanzi (Chinese characters)</w:t>
            </w:r>
            <w:r>
              <w:t xml:space="preserve">, including kana-based</w:t>
            </w:r>
            <w:r>
              <w:t xml:space="preserve"> </w:t>
            </w:r>
            <w:r>
              <w:rPr>
                <w:iCs/>
                <w:i/>
              </w:rPr>
              <w:t xml:space="preserve">fanqie</w:t>
            </w:r>
            <w:r>
              <w:t xml:space="preserve">.</w:t>
            </w:r>
          </w:p>
        </w:tc>
        <w:tc>
          <w:tcPr/>
          <w:p>
            <w:pPr>
              <w:pStyle w:val="Compact"/>
              <w:jc w:val="left"/>
            </w:pPr>
            <w:r>
              <w:t xml:space="preserve">仮名表記による字音注（仮名反切を含む）</w:t>
            </w:r>
          </w:p>
        </w:tc>
      </w:tr>
      <w:tr>
        <w:tc>
          <w:tcPr/>
          <w:p>
            <w:pPr>
              <w:pStyle w:val="Compact"/>
              <w:jc w:val="left"/>
            </w:pPr>
            <w:r>
              <w:t xml:space="preserve">仮名型</w:t>
            </w:r>
          </w:p>
        </w:tc>
        <w:tc>
          <w:tcPr/>
          <w:p>
            <w:pPr>
              <w:pStyle w:val="Compact"/>
              <w:jc w:val="left"/>
            </w:pPr>
            <w:r>
              <w:t xml:space="preserve">kana_pattern</w:t>
            </w:r>
          </w:p>
        </w:tc>
        <w:tc>
          <w:tcPr/>
          <w:p>
            <w:pPr>
              <w:pStyle w:val="Compact"/>
            </w:pPr>
          </w:p>
        </w:tc>
        <w:tc>
          <w:tcPr/>
          <w:p>
            <w:pPr>
              <w:pStyle w:val="Compact"/>
              <w:jc w:val="left"/>
            </w:pPr>
            <w:r>
              <w:t xml:space="preserve">Combination of</w:t>
            </w:r>
            <w:r>
              <w:t xml:space="preserve"> </w:t>
            </w:r>
            <w:r>
              <w:rPr>
                <w:rStyle w:val="VerbatimChar"/>
                <w:bCs/>
                <w:b/>
              </w:rPr>
              <w:t xml:space="preserve">Kana glosses</w:t>
            </w:r>
            <w:r>
              <w:t xml:space="preserve"> </w:t>
            </w:r>
            <w:r>
              <w:t xml:space="preserve">for Chinese words.</w:t>
            </w:r>
            <w:r>
              <w:t xml:space="preserve"> </w:t>
            </w:r>
            <w:r>
              <w:rPr>
                <w:rStyle w:val="VerbatimChar"/>
                <w:bCs/>
                <w:b/>
              </w:rPr>
              <w:t xml:space="preserve">Hanzi (Chinese characters)</w:t>
            </w:r>
            <w:r>
              <w:t xml:space="preserve"> </w:t>
            </w:r>
            <w:r>
              <w:t xml:space="preserve">without</w:t>
            </w:r>
            <w:r>
              <w:t xml:space="preserve"> </w:t>
            </w:r>
            <w:r>
              <w:rPr>
                <w:rStyle w:val="VerbatimChar"/>
                <w:bCs/>
                <w:b/>
              </w:rPr>
              <w:t xml:space="preserve">Kana glosses</w:t>
            </w:r>
            <w:r>
              <w:t xml:space="preserve"> </w:t>
            </w:r>
            <w:r>
              <w:t xml:space="preserve">are represented by a full-width asterisk (＊).</w:t>
            </w:r>
          </w:p>
        </w:tc>
        <w:tc>
          <w:tcPr/>
          <w:p>
            <w:pPr>
              <w:pStyle w:val="Compact"/>
              <w:jc w:val="left"/>
            </w:pPr>
            <w:r>
              <w:t xml:space="preserve">漢語に対する仮名注の組合せ。仮名注がない単字については＊で表す。</w:t>
            </w:r>
          </w:p>
        </w:tc>
      </w:tr>
      <w:tr>
        <w:tc>
          <w:tcPr/>
          <w:p>
            <w:pPr>
              <w:pStyle w:val="Compact"/>
              <w:jc w:val="left"/>
            </w:pPr>
            <w:r>
              <w:t xml:space="preserve">反切</w:t>
            </w:r>
          </w:p>
        </w:tc>
        <w:tc>
          <w:tcPr/>
          <w:p>
            <w:pPr>
              <w:pStyle w:val="Compact"/>
              <w:jc w:val="left"/>
            </w:pPr>
            <w:r>
              <w:t xml:space="preserve">fanqie</w:t>
            </w:r>
          </w:p>
        </w:tc>
        <w:tc>
          <w:tcPr/>
          <w:p>
            <w:pPr>
              <w:pStyle w:val="Compact"/>
            </w:pPr>
          </w:p>
        </w:tc>
        <w:tc>
          <w:tcPr/>
          <w:p>
            <w:pPr>
              <w:pStyle w:val="Compact"/>
              <w:jc w:val="left"/>
            </w:pPr>
            <w:r>
              <w:rPr>
                <w:rStyle w:val="VerbatimChar"/>
                <w:bCs/>
                <w:b/>
              </w:rPr>
              <w:t xml:space="preserve">Fanqie spellings</w:t>
            </w:r>
            <w:r>
              <w:t xml:space="preserve"> </w:t>
            </w:r>
            <w:r>
              <w:t xml:space="preserve">(反切) for single</w:t>
            </w:r>
            <w:r>
              <w:t xml:space="preserve"> </w:t>
            </w:r>
            <w:r>
              <w:rPr>
                <w:rStyle w:val="VerbatimChar"/>
                <w:bCs/>
                <w:b/>
              </w:rPr>
              <w:t xml:space="preserve">Hanzi (Chinese characters)</w:t>
            </w:r>
            <w:r>
              <w:t xml:space="preserve">.</w:t>
            </w:r>
          </w:p>
        </w:tc>
        <w:tc>
          <w:tcPr/>
          <w:p>
            <w:pPr>
              <w:pStyle w:val="Compact"/>
              <w:jc w:val="left"/>
            </w:pPr>
            <w:r>
              <w:t xml:space="preserve">単字に対する反切注</w:t>
            </w:r>
          </w:p>
        </w:tc>
      </w:tr>
      <w:tr>
        <w:tc>
          <w:tcPr/>
          <w:p>
            <w:pPr>
              <w:pStyle w:val="Compact"/>
              <w:jc w:val="left"/>
            </w:pPr>
            <w:r>
              <w:t xml:space="preserve">類音</w:t>
            </w:r>
          </w:p>
        </w:tc>
        <w:tc>
          <w:tcPr/>
          <w:p>
            <w:pPr>
              <w:pStyle w:val="Compact"/>
              <w:jc w:val="left"/>
            </w:pPr>
            <w:r>
              <w:t xml:space="preserve">similar_sound</w:t>
            </w:r>
          </w:p>
        </w:tc>
        <w:tc>
          <w:tcPr/>
          <w:p>
            <w:pPr>
              <w:pStyle w:val="Compact"/>
            </w:pPr>
          </w:p>
        </w:tc>
        <w:tc>
          <w:tcPr/>
          <w:p>
            <w:pPr>
              <w:pStyle w:val="Compact"/>
              <w:jc w:val="left"/>
            </w:pPr>
            <w:r>
              <w:rPr>
                <w:rStyle w:val="VerbatimChar"/>
                <w:bCs/>
                <w:b/>
              </w:rPr>
              <w:t xml:space="preserve">Similar sound notes</w:t>
            </w:r>
            <w:r>
              <w:t xml:space="preserve"> </w:t>
            </w:r>
            <w:r>
              <w:t xml:space="preserve">(類音注) for single</w:t>
            </w:r>
            <w:r>
              <w:t xml:space="preserve"> </w:t>
            </w:r>
            <w:r>
              <w:rPr>
                <w:rStyle w:val="VerbatimChar"/>
                <w:bCs/>
                <w:b/>
              </w:rPr>
              <w:t xml:space="preserve">Hanzi (Chinese characters)</w:t>
            </w:r>
            <w:r>
              <w:t xml:space="preserve">.</w:t>
            </w:r>
          </w:p>
        </w:tc>
        <w:tc>
          <w:tcPr/>
          <w:p>
            <w:pPr>
              <w:pStyle w:val="Compact"/>
              <w:jc w:val="left"/>
            </w:pPr>
            <w:r>
              <w:t xml:space="preserve">単字に対する類音注</w:t>
            </w:r>
          </w:p>
        </w:tc>
      </w:tr>
      <w:tr>
        <w:tc>
          <w:tcPr/>
          <w:p>
            <w:pPr>
              <w:pStyle w:val="Compact"/>
              <w:jc w:val="left"/>
            </w:pPr>
            <w:r>
              <w:rPr>
                <w:bCs/>
                <w:b/>
              </w:rPr>
              <w:t xml:space="preserve">音注型</w:t>
            </w:r>
          </w:p>
        </w:tc>
        <w:tc>
          <w:tcPr/>
          <w:p>
            <w:pPr>
              <w:pStyle w:val="Compact"/>
              <w:jc w:val="left"/>
            </w:pPr>
            <w:r>
              <w:rPr>
                <w:rStyle w:val="VerbatimChar"/>
                <w:bCs/>
                <w:b/>
              </w:rPr>
              <w:t xml:space="preserve">annotation_format</w:t>
            </w:r>
          </w:p>
        </w:tc>
        <w:tc>
          <w:tcPr/>
          <w:p>
            <w:pPr>
              <w:pStyle w:val="Compact"/>
            </w:pPr>
          </w:p>
        </w:tc>
        <w:tc>
          <w:tcPr/>
          <w:p>
            <w:pPr>
              <w:pStyle w:val="Compact"/>
              <w:jc w:val="left"/>
            </w:pPr>
            <w:r>
              <w:t xml:space="preserve">Pattern of combined phonetic information (e.g.,</w:t>
            </w:r>
            <w:r>
              <w:t xml:space="preserve"> </w:t>
            </w:r>
            <w:r>
              <w:rPr>
                <w:rStyle w:val="VerbatimChar"/>
                <w:bCs/>
                <w:b/>
              </w:rPr>
              <w:t xml:space="preserve">Kana glosses</w:t>
            </w:r>
            <w:r>
              <w:t xml:space="preserve">,</w:t>
            </w:r>
            <w:r>
              <w:t xml:space="preserve"> </w:t>
            </w:r>
            <w:r>
              <w:rPr>
                <w:rStyle w:val="VerbatimChar"/>
                <w:bCs/>
                <w:b/>
              </w:rPr>
              <w:t xml:space="preserve">Fanqie spellings</w:t>
            </w:r>
            <w:r>
              <w:t xml:space="preserve">,</w:t>
            </w:r>
            <w:r>
              <w:t xml:space="preserve"> </w:t>
            </w:r>
            <w:r>
              <w:rPr>
                <w:rStyle w:val="VerbatimChar"/>
                <w:bCs/>
                <w:b/>
              </w:rPr>
              <w:t xml:space="preserve">Similar sound notes</w:t>
            </w:r>
            <w:r>
              <w:t xml:space="preserve">,</w:t>
            </w:r>
            <w:r>
              <w:t xml:space="preserve"> </w:t>
            </w:r>
            <w:r>
              <w:rPr>
                <w:rStyle w:val="VerbatimChar"/>
                <w:bCs/>
                <w:b/>
              </w:rPr>
              <w:t xml:space="preserve">Tone marks</w:t>
            </w:r>
            <w:r>
              <w:t xml:space="preserve">).</w:t>
            </w:r>
          </w:p>
        </w:tc>
        <w:tc>
          <w:tcPr/>
          <w:p>
            <w:pPr>
              <w:pStyle w:val="Compact"/>
              <w:jc w:val="left"/>
            </w:pPr>
            <w:r>
              <w:t xml:space="preserve">仮名注、反切、類音、声点などの複数の音注が組み合わさった形式のパターン。</w:t>
            </w:r>
          </w:p>
        </w:tc>
      </w:tr>
      <w:tr>
        <w:tc>
          <w:tcPr/>
          <w:p>
            <w:pPr>
              <w:pStyle w:val="Compact"/>
              <w:jc w:val="left"/>
            </w:pPr>
            <w:r>
              <w:t xml:space="preserve">節博士</w:t>
            </w:r>
          </w:p>
        </w:tc>
        <w:tc>
          <w:tcPr/>
          <w:p>
            <w:pPr>
              <w:pStyle w:val="Compact"/>
              <w:jc w:val="left"/>
            </w:pPr>
            <w:r>
              <w:t xml:space="preserve">fushi_hakase</w:t>
            </w:r>
          </w:p>
        </w:tc>
        <w:tc>
          <w:tcPr/>
          <w:p>
            <w:pPr>
              <w:pStyle w:val="Compact"/>
            </w:pPr>
          </w:p>
        </w:tc>
        <w:tc>
          <w:tcPr/>
          <w:p>
            <w:pPr>
              <w:pStyle w:val="Compact"/>
              <w:jc w:val="left"/>
            </w:pPr>
            <w:r>
              <w:rPr>
                <w:rStyle w:val="VerbatimChar"/>
                <w:bCs/>
                <w:b/>
              </w:rPr>
              <w:t xml:space="preserve">Fushi-hakase notations</w:t>
            </w:r>
            <w:r>
              <w:t xml:space="preserve"> </w:t>
            </w:r>
            <w:r>
              <w:t xml:space="preserve">(melodic or intonational markings) attached to musical materials such as</w:t>
            </w:r>
            <w:r>
              <w:t xml:space="preserve"> </w:t>
            </w:r>
            <w:r>
              <w:rPr>
                <w:iCs/>
                <w:i/>
              </w:rPr>
              <w:t xml:space="preserve">Shōmyō</w:t>
            </w:r>
            <w:r>
              <w:t xml:space="preserve"> </w:t>
            </w:r>
            <w:r>
              <w:t xml:space="preserve">(Buddhist chant).</w:t>
            </w:r>
          </w:p>
        </w:tc>
        <w:tc>
          <w:tcPr/>
          <w:p>
            <w:pPr>
              <w:pStyle w:val="Compact"/>
              <w:jc w:val="left"/>
            </w:pPr>
            <w:r>
              <w:t xml:space="preserve">声明等音楽資料に付される博士譜など</w:t>
            </w:r>
          </w:p>
        </w:tc>
      </w:tr>
      <w:tr>
        <w:tc>
          <w:tcPr/>
          <w:p>
            <w:pPr>
              <w:pStyle w:val="Compact"/>
              <w:jc w:val="left"/>
            </w:pPr>
            <w:r>
              <w:t xml:space="preserve">その他</w:t>
            </w:r>
          </w:p>
        </w:tc>
        <w:tc>
          <w:tcPr/>
          <w:p>
            <w:pPr>
              <w:pStyle w:val="Compact"/>
              <w:jc w:val="left"/>
            </w:pPr>
            <w:r>
              <w:t xml:space="preserve">other_phonetic_annotations</w:t>
            </w:r>
          </w:p>
        </w:tc>
        <w:tc>
          <w:tcPr/>
          <w:p>
            <w:pPr>
              <w:pStyle w:val="Compact"/>
            </w:pPr>
          </w:p>
        </w:tc>
        <w:tc>
          <w:tcPr/>
          <w:p>
            <w:pPr>
              <w:pStyle w:val="Compact"/>
              <w:jc w:val="left"/>
            </w:pPr>
            <w:r>
              <w:t xml:space="preserve">Other types of</w:t>
            </w:r>
            <w:r>
              <w:t xml:space="preserve"> </w:t>
            </w:r>
            <w:r>
              <w:rPr>
                <w:rStyle w:val="VerbatimChar"/>
                <w:bCs/>
                <w:b/>
              </w:rPr>
              <w:t xml:space="preserve">Phonetic Glosses</w:t>
            </w:r>
            <w:r>
              <w:t xml:space="preserve">.</w:t>
            </w:r>
          </w:p>
        </w:tc>
        <w:tc>
          <w:tcPr/>
          <w:p>
            <w:pPr>
              <w:pStyle w:val="Compact"/>
              <w:jc w:val="left"/>
            </w:pPr>
            <w:r>
              <w:t xml:space="preserve">その他の音注</w:t>
            </w:r>
          </w:p>
        </w:tc>
      </w:tr>
      <w:tr>
        <w:tc>
          <w:tcPr/>
          <w:p>
            <w:pPr>
              <w:pStyle w:val="Compact"/>
              <w:jc w:val="left"/>
            </w:pPr>
            <w:r>
              <w:t xml:space="preserve">出現位置</w:t>
            </w:r>
          </w:p>
        </w:tc>
        <w:tc>
          <w:tcPr/>
          <w:p>
            <w:pPr>
              <w:pStyle w:val="Compact"/>
              <w:jc w:val="left"/>
            </w:pPr>
            <w:r>
              <w:t xml:space="preserve">material_location</w:t>
            </w:r>
          </w:p>
        </w:tc>
        <w:tc>
          <w:tcPr/>
          <w:p>
            <w:pPr>
              <w:pStyle w:val="Compact"/>
            </w:pPr>
          </w:p>
        </w:tc>
        <w:tc>
          <w:tcPr/>
          <w:p>
            <w:pPr>
              <w:pStyle w:val="Compact"/>
              <w:jc w:val="left"/>
            </w:pPr>
            <w:r>
              <w:t xml:space="preserve">Location of single</w:t>
            </w:r>
            <w:r>
              <w:t xml:space="preserve"> </w:t>
            </w:r>
            <w:r>
              <w:rPr>
                <w:rStyle w:val="VerbatimChar"/>
                <w:bCs/>
                <w:b/>
              </w:rPr>
              <w:t xml:space="preserve">Hanzi (Chinese characters)</w:t>
            </w:r>
            <w:r>
              <w:t xml:space="preserve"> </w:t>
            </w:r>
            <w:r>
              <w:t xml:space="preserve">and Chinese words within the material.</w:t>
            </w:r>
          </w:p>
        </w:tc>
        <w:tc>
          <w:tcPr/>
          <w:p>
            <w:pPr>
              <w:pStyle w:val="Compact"/>
              <w:jc w:val="left"/>
            </w:pPr>
            <w:r>
              <w:t xml:space="preserve">資料内の単字・漢語の所在</w:t>
            </w:r>
          </w:p>
        </w:tc>
      </w:tr>
      <w:tr>
        <w:tc>
          <w:tcPr/>
          <w:p>
            <w:pPr>
              <w:pStyle w:val="Compact"/>
              <w:jc w:val="left"/>
            </w:pPr>
            <w:r>
              <w:t xml:space="preserve">備考</w:t>
            </w:r>
          </w:p>
        </w:tc>
        <w:tc>
          <w:tcPr/>
          <w:p>
            <w:pPr>
              <w:pStyle w:val="Compact"/>
              <w:jc w:val="left"/>
            </w:pPr>
            <w:r>
              <w:t xml:space="preserve">remarks_pronunciation</w:t>
            </w:r>
          </w:p>
        </w:tc>
        <w:tc>
          <w:tcPr/>
          <w:p>
            <w:pPr>
              <w:pStyle w:val="Compact"/>
            </w:pPr>
          </w:p>
        </w:tc>
        <w:tc>
          <w:tcPr/>
          <w:p>
            <w:pPr>
              <w:pStyle w:val="Compact"/>
              <w:jc w:val="left"/>
            </w:pPr>
            <w:r>
              <w:t xml:space="preserve">Matters to be noted regarding these phonetic elements.</w:t>
            </w:r>
          </w:p>
        </w:tc>
        <w:tc>
          <w:tcPr/>
          <w:p>
            <w:pPr>
              <w:pStyle w:val="Compact"/>
              <w:jc w:val="left"/>
            </w:pPr>
            <w:r>
              <w:t xml:space="preserve">注記すべき事柄</w:t>
            </w:r>
          </w:p>
        </w:tc>
      </w:tr>
    </w:tbl>
    <w:p>
      <w:pPr>
        <w:pStyle w:val="BodyText"/>
      </w:pPr>
      <w:r>
        <w:t xml:space="preserve">The</w:t>
      </w:r>
      <w:r>
        <w:t xml:space="preserve"> </w:t>
      </w:r>
      <w:r>
        <w:rPr>
          <w:rStyle w:val="VerbatimChar"/>
        </w:rPr>
        <w:t xml:space="preserve">material_location</w:t>
      </w:r>
      <w:r>
        <w:t xml:space="preserve"> </w:t>
      </w:r>
      <w:r>
        <w:t xml:space="preserve">is indicated in the format: K + Volume (2 digits) + Kazama Edition Page (3 digits) + Line (1 digit) + Segment (1 digit). For example,</w:t>
      </w:r>
      <w:r>
        <w:t xml:space="preserve"> </w:t>
      </w:r>
      <w:r>
        <w:rPr>
          <w:rStyle w:val="VerbatimChar"/>
        </w:rPr>
        <w:t xml:space="preserve">K0201474</w:t>
      </w:r>
      <w:r>
        <w:t xml:space="preserve"> </w:t>
      </w:r>
      <w:r>
        <w:t xml:space="preserve">indicates an appearance in Volume 2, Page 14, Line 7, Segment 4.</w:t>
      </w:r>
    </w:p>
    <w:p>
      <w:pPr>
        <w:pStyle w:val="BodyText"/>
      </w:pPr>
      <w:r>
        <w:t xml:space="preserve">Currently, this is under consideration in the case study</w:t>
      </w:r>
      <w:r>
        <w:t xml:space="preserve"> </w:t>
      </w:r>
      <w:r>
        <w:t xml:space="preserve">“</w:t>
      </w:r>
      <w:hyperlink r:id="rId98">
        <w:r>
          <w:rPr>
            <w:rStyle w:val="Hyperlink"/>
          </w:rPr>
          <w:t xml:space="preserve">Linkage with DHSJR</w:t>
        </w:r>
      </w:hyperlink>
      <w:r>
        <w:t xml:space="preserve">,</w:t>
      </w:r>
      <w:r>
        <w:t xml:space="preserve">”</w:t>
      </w:r>
      <w:r>
        <w:t xml:space="preserve"> </w:t>
      </w:r>
      <w:r>
        <w:t xml:space="preserve">which should also be consulted.</w:t>
      </w:r>
    </w:p>
    <w:bookmarkEnd w:id="99"/>
    <w:bookmarkEnd w:id="100"/>
    <w:bookmarkEnd w:id="101"/>
    <w:bookmarkStart w:id="111" w:name="X7e28457e01b81e8d8167cbd728f16b5f1483751"/>
    <w:bookmarkStart w:id="110" w:name="X5970db9e0e25b5628639422a72877391e3e32de"/>
    <w:p>
      <w:pPr>
        <w:pStyle w:val="Heading1"/>
      </w:pPr>
      <w:r>
        <w:rPr>
          <w:rStyle w:val="SectionNumber"/>
        </w:rPr>
        <w:t xml:space="preserve">9</w:t>
      </w:r>
      <w:r>
        <w:tab/>
      </w:r>
      <w:r>
        <w:t xml:space="preserve">krm_ndl</w:t>
      </w:r>
    </w:p>
    <w:p>
      <w:pPr>
        <w:pStyle w:val="FirstParagraph"/>
      </w:pPr>
      <w:r>
        <w:t xml:space="preserve">This file compiles links to the images of the Kanchi-in manuscript of the</w:t>
      </w:r>
      <w:r>
        <w:t xml:space="preserve"> </w:t>
      </w:r>
      <w:r>
        <w:rPr>
          <w:iCs/>
          <w:i/>
        </w:rPr>
        <w:t xml:space="preserve">Ruiju Myōgishō</w:t>
      </w:r>
      <w:r>
        <w:t xml:space="preserve"> </w:t>
      </w:r>
      <w:r>
        <w:t xml:space="preserve">that are publicly available in the National Diet Library Digital Collections.</w:t>
      </w:r>
    </w:p>
    <w:p>
      <w:pPr>
        <w:pStyle w:val="BodyText"/>
      </w:pPr>
      <w:r>
        <w:t xml:space="preserve">This data cross-references the locations within the Kanchi-in manuscript of the</w:t>
      </w:r>
      <w:r>
        <w:t xml:space="preserve"> </w:t>
      </w:r>
      <w:r>
        <w:rPr>
          <w:iCs/>
          <w:i/>
        </w:rPr>
        <w:t xml:space="preserve">Ruiju Myōgishō</w:t>
      </w:r>
      <w:r>
        <w:t xml:space="preserve"> </w:t>
      </w:r>
      <w:r>
        <w:t xml:space="preserve">with their corresponding URLs in the National Diet Library Digital Collections. The file name is</w:t>
      </w:r>
      <w:r>
        <w:t xml:space="preserve"> </w:t>
      </w:r>
      <w:r>
        <w:rPr>
          <w:rStyle w:val="VerbatimChar"/>
        </w:rPr>
        <w:t xml:space="preserve">KRM_ndl.tsv</w:t>
      </w:r>
      <w:r>
        <w:t xml:space="preserve">.</w:t>
      </w:r>
    </w:p>
    <w:p>
      <w:pPr>
        <w:pStyle w:val="BodyText"/>
      </w:pPr>
      <w:r>
        <w:t xml:space="preserve">This data indicates the volume name, radical character, Kazama edition page number, Tenri edition page number, and the URL for the National Diet Library Digital Collections.</w:t>
      </w:r>
    </w:p>
    <w:p>
      <w:pPr>
        <w:pStyle w:val="BodyText"/>
      </w:pPr>
      <w:r>
        <w:t xml:space="preserve">Next, a sample of the beginning of the data is shown below.</w:t>
      </w:r>
    </w:p>
    <w:tbl>
      <w:tblPr>
        <w:tblStyle w:val="Table"/>
        <w:tblW w:type="pct" w:w="5000"/>
        <w:tblLook w:firstRow="1" w:lastRow="0" w:firstColumn="0" w:lastColumn="0" w:noHBand="0" w:noVBand="0" w:val="0020"/>
        <w:jc w:val="start"/>
      </w:tblPr>
      <w:tblGrid>
        <w:gridCol w:w="617"/>
        <w:gridCol w:w="925"/>
        <w:gridCol w:w="822"/>
        <w:gridCol w:w="720"/>
        <w:gridCol w:w="4834"/>
      </w:tblGrid>
      <w:tr>
        <w:trPr>
          <w:tblHeader w:val="true"/>
        </w:trPr>
        <w:tc>
          <w:tcPr/>
          <w:p>
            <w:pPr>
              <w:pStyle w:val="Compact"/>
              <w:jc w:val="left"/>
            </w:pPr>
            <w:r>
              <w:t xml:space="preserve">Book</w:t>
            </w:r>
          </w:p>
        </w:tc>
        <w:tc>
          <w:tcPr/>
          <w:p>
            <w:pPr>
              <w:pStyle w:val="Compact"/>
              <w:jc w:val="left"/>
            </w:pPr>
            <w:r>
              <w:t xml:space="preserve">Radical</w:t>
            </w:r>
          </w:p>
        </w:tc>
        <w:tc>
          <w:tcPr/>
          <w:p>
            <w:pPr>
              <w:pStyle w:val="Compact"/>
              <w:jc w:val="left"/>
            </w:pPr>
            <w:r>
              <w:t xml:space="preserve">Kazama</w:t>
            </w:r>
          </w:p>
        </w:tc>
        <w:tc>
          <w:tcPr/>
          <w:p>
            <w:pPr>
              <w:pStyle w:val="Compact"/>
              <w:jc w:val="left"/>
            </w:pPr>
            <w:r>
              <w:t xml:space="preserve">Tenri</w:t>
            </w:r>
          </w:p>
        </w:tc>
        <w:tc>
          <w:tcPr/>
          <w:p>
            <w:pPr>
              <w:pStyle w:val="Compact"/>
              <w:jc w:val="left"/>
            </w:pPr>
            <w:r>
              <w:t xml:space="preserve">NDL_url</w:t>
            </w:r>
          </w:p>
        </w:tc>
      </w:tr>
      <w:tr>
        <w:tc>
          <w:tcPr/>
          <w:p>
            <w:pPr>
              <w:pStyle w:val="Compact"/>
              <w:jc w:val="left"/>
            </w:pPr>
            <w:r>
              <w:t xml:space="preserve">仏上</w:t>
            </w:r>
          </w:p>
        </w:tc>
        <w:tc>
          <w:tcPr/>
          <w:p>
            <w:pPr>
              <w:pStyle w:val="Compact"/>
              <w:jc w:val="left"/>
            </w:pPr>
            <w:r>
              <w:t xml:space="preserve">人</w:t>
            </w:r>
          </w:p>
        </w:tc>
        <w:tc>
          <w:tcPr/>
          <w:p>
            <w:pPr>
              <w:pStyle w:val="Compact"/>
              <w:jc w:val="left"/>
            </w:pPr>
            <w:r>
              <w:t xml:space="preserve">1</w:t>
            </w:r>
          </w:p>
        </w:tc>
        <w:tc>
          <w:tcPr/>
          <w:p>
            <w:pPr>
              <w:pStyle w:val="Compact"/>
              <w:jc w:val="left"/>
            </w:pPr>
            <w:r>
              <w:t xml:space="preserve">23</w:t>
            </w:r>
          </w:p>
        </w:tc>
        <w:tc>
          <w:tcPr/>
          <w:p>
            <w:pPr>
              <w:pStyle w:val="Compact"/>
              <w:jc w:val="left"/>
            </w:pPr>
            <w:r>
              <w:t xml:space="preserve">https://dl.ndl.go.jp/info:ndljp/pid/2586891/6</w:t>
            </w:r>
          </w:p>
        </w:tc>
      </w:tr>
      <w:tr>
        <w:tc>
          <w:tcPr/>
          <w:p>
            <w:pPr>
              <w:pStyle w:val="Compact"/>
              <w:jc w:val="left"/>
            </w:pPr>
            <w:r>
              <w:t xml:space="preserve">仏上</w:t>
            </w:r>
          </w:p>
        </w:tc>
        <w:tc>
          <w:tcPr/>
          <w:p>
            <w:pPr>
              <w:pStyle w:val="Compact"/>
              <w:jc w:val="left"/>
            </w:pPr>
            <w:r>
              <w:t xml:space="preserve">人</w:t>
            </w:r>
          </w:p>
        </w:tc>
        <w:tc>
          <w:tcPr/>
          <w:p>
            <w:pPr>
              <w:pStyle w:val="Compact"/>
              <w:jc w:val="left"/>
            </w:pPr>
            <w:r>
              <w:t xml:space="preserve">2</w:t>
            </w:r>
          </w:p>
        </w:tc>
        <w:tc>
          <w:tcPr/>
          <w:p>
            <w:pPr>
              <w:pStyle w:val="Compact"/>
              <w:jc w:val="left"/>
            </w:pPr>
            <w:r>
              <w:t xml:space="preserve">24</w:t>
            </w:r>
          </w:p>
        </w:tc>
        <w:tc>
          <w:tcPr/>
          <w:p>
            <w:pPr>
              <w:pStyle w:val="Compact"/>
              <w:jc w:val="left"/>
            </w:pPr>
            <w:r>
              <w:t xml:space="preserve">https://dl.ndl.go.jp/info:ndljp/pid/2586891/7</w:t>
            </w:r>
          </w:p>
        </w:tc>
      </w:tr>
    </w:tbl>
    <w:bookmarkStart w:id="109" w:name="Xf6aa92484726cadd7c02d67903f922b185190c2"/>
    <w:p>
      <w:pPr>
        <w:pStyle w:val="Heading2"/>
      </w:pPr>
      <w:r>
        <w:rPr>
          <w:rStyle w:val="SectionNumber"/>
        </w:rPr>
        <w:t xml:space="preserve">9.1</w:t>
      </w:r>
      <w:r>
        <w:tab/>
      </w:r>
      <w:r>
        <w:t xml:space="preserve">Integration with krm_main</w:t>
      </w:r>
    </w:p>
    <w:p>
      <w:pPr>
        <w:pStyle w:val="FirstParagraph"/>
      </w:pPr>
      <w:r>
        <w:t xml:space="preserve">To integrate with krm_main, you can ask the following questions using generative AI tools like ChatGPT or Gemini to get appropriate answers. While the instructions here are to use Excel, if you wish to process the data with Python, simply replace Excel with Python.</w:t>
      </w:r>
    </w:p>
    <w:p>
      <w:pPr>
        <w:pStyle w:val="BodyText"/>
      </w:pPr>
      <w:r>
        <w:t xml:space="preserve">Below are examples of questions and answers for ChatGPT.</w:t>
      </w:r>
    </w:p>
    <w:bookmarkStart w:id="106" w:name="Xee2834ffa138e61603888828a008c96534d15d6"/>
    <w:p>
      <w:pPr>
        <w:pStyle w:val="Heading3"/>
      </w:pPr>
      <w:r>
        <w:rPr>
          <w:rStyle w:val="SectionNumber"/>
        </w:rPr>
        <w:t xml:space="preserve">9.1.1</w:t>
      </w:r>
      <w:r>
        <w:tab/>
      </w:r>
      <w:r>
        <w:t xml:space="preserve">Questions</w:t>
      </w:r>
    </w:p>
    <w:p>
      <w:pPr>
        <w:pStyle w:val="FirstParagraph"/>
      </w:pPr>
      <w:r>
        <w:t xml:space="preserve">How can I join the</w:t>
      </w:r>
      <w:r>
        <w:t xml:space="preserve"> </w:t>
      </w:r>
      <w:r>
        <w:rPr>
          <w:rStyle w:val="VerbatimChar"/>
        </w:rPr>
        <w:t xml:space="preserve">krm_main.tsv</w:t>
      </w:r>
      <w:r>
        <w:t xml:space="preserve"> </w:t>
      </w:r>
      <w:r>
        <w:t xml:space="preserve">and</w:t>
      </w:r>
      <w:r>
        <w:t xml:space="preserve"> </w:t>
      </w:r>
      <w:r>
        <w:rPr>
          <w:rStyle w:val="VerbatimChar"/>
        </w:rPr>
        <w:t xml:space="preserve">krm_ndl.tsv</w:t>
      </w:r>
      <w:r>
        <w:t xml:space="preserve"> </w:t>
      </w:r>
      <w:r>
        <w:t xml:space="preserve">files in Excel using the</w:t>
      </w:r>
      <w:r>
        <w:t xml:space="preserve"> </w:t>
      </w:r>
      <w:r>
        <w:rPr>
          <w:rStyle w:val="VerbatimChar"/>
        </w:rPr>
        <w:t xml:space="preserve">kazama_location</w:t>
      </w:r>
      <w:r>
        <w:t xml:space="preserve"> </w:t>
      </w:r>
      <w:r>
        <w:t xml:space="preserve">column in</w:t>
      </w:r>
      <w:r>
        <w:t xml:space="preserve"> </w:t>
      </w:r>
      <w:r>
        <w:rPr>
          <w:rStyle w:val="VerbatimChar"/>
        </w:rPr>
        <w:t xml:space="preserve">krm_main.tsv</w:t>
      </w:r>
      <w:r>
        <w:t xml:space="preserve"> </w:t>
      </w:r>
      <w:r>
        <w:t xml:space="preserve">and the</w:t>
      </w:r>
      <w:r>
        <w:t xml:space="preserve"> </w:t>
      </w:r>
      <w:r>
        <w:rPr>
          <w:rStyle w:val="VerbatimChar"/>
        </w:rPr>
        <w:t xml:space="preserve">Kazama</w:t>
      </w:r>
      <w:r>
        <w:t xml:space="preserve"> </w:t>
      </w:r>
      <w:r>
        <w:t xml:space="preserve">column in</w:t>
      </w:r>
      <w:r>
        <w:t xml:space="preserve"> </w:t>
      </w:r>
      <w:r>
        <w:rPr>
          <w:rStyle w:val="VerbatimChar"/>
        </w:rPr>
        <w:t xml:space="preserve">krm_ndl.tsv</w:t>
      </w:r>
      <w:r>
        <w:t xml:space="preserve">? Please also include the following mapping:</w:t>
      </w:r>
    </w:p>
    <w:p>
      <w:pPr>
        <w:numPr>
          <w:ilvl w:val="0"/>
          <w:numId w:val="1101"/>
        </w:numPr>
        <w:pStyle w:val="Compact"/>
      </w:pPr>
      <w:r>
        <w:t xml:space="preserve">“</w:t>
      </w:r>
      <w:r>
        <w:t xml:space="preserve">仏上</w:t>
      </w:r>
      <w:r>
        <w:t xml:space="preserve">”</w:t>
      </w:r>
      <w:r>
        <w:t xml:space="preserve"> </w:t>
      </w:r>
      <w:r>
        <w:t xml:space="preserve">→</w:t>
      </w:r>
      <w:r>
        <w:t xml:space="preserve"> </w:t>
      </w:r>
      <w:r>
        <w:t xml:space="preserve">“</w:t>
      </w:r>
      <w:r>
        <w:t xml:space="preserve">K01</w:t>
      </w:r>
      <w:r>
        <w:t xml:space="preserve">”</w:t>
      </w:r>
    </w:p>
    <w:p>
      <w:pPr>
        <w:numPr>
          <w:ilvl w:val="0"/>
          <w:numId w:val="1101"/>
        </w:numPr>
        <w:pStyle w:val="Compact"/>
      </w:pPr>
      <w:r>
        <w:t xml:space="preserve">“</w:t>
      </w:r>
      <w:r>
        <w:t xml:space="preserve">仏中</w:t>
      </w:r>
      <w:r>
        <w:t xml:space="preserve">”</w:t>
      </w:r>
      <w:r>
        <w:t xml:space="preserve"> </w:t>
      </w:r>
      <w:r>
        <w:t xml:space="preserve">→</w:t>
      </w:r>
      <w:r>
        <w:t xml:space="preserve"> </w:t>
      </w:r>
      <w:r>
        <w:t xml:space="preserve">“</w:t>
      </w:r>
      <w:r>
        <w:t xml:space="preserve">K02</w:t>
      </w:r>
      <w:r>
        <w:t xml:space="preserve">”</w:t>
      </w:r>
    </w:p>
    <w:p>
      <w:pPr>
        <w:numPr>
          <w:ilvl w:val="0"/>
          <w:numId w:val="1101"/>
        </w:numPr>
        <w:pStyle w:val="Compact"/>
      </w:pPr>
      <w:r>
        <w:t xml:space="preserve">“</w:t>
      </w:r>
      <w:r>
        <w:t xml:space="preserve">仏下本</w:t>
      </w:r>
      <w:r>
        <w:t xml:space="preserve">”</w:t>
      </w:r>
      <w:r>
        <w:t xml:space="preserve"> </w:t>
      </w:r>
      <w:r>
        <w:t xml:space="preserve">→</w:t>
      </w:r>
      <w:r>
        <w:t xml:space="preserve"> </w:t>
      </w:r>
      <w:r>
        <w:t xml:space="preserve">“</w:t>
      </w:r>
      <w:r>
        <w:t xml:space="preserve">K03</w:t>
      </w:r>
      <w:r>
        <w:t xml:space="preserve">”</w:t>
      </w:r>
    </w:p>
    <w:p>
      <w:pPr>
        <w:numPr>
          <w:ilvl w:val="0"/>
          <w:numId w:val="1101"/>
        </w:numPr>
        <w:pStyle w:val="Compact"/>
      </w:pPr>
      <w:r>
        <w:t xml:space="preserve">“</w:t>
      </w:r>
      <w:r>
        <w:t xml:space="preserve">仏下末</w:t>
      </w:r>
      <w:r>
        <w:t xml:space="preserve">”</w:t>
      </w:r>
      <w:r>
        <w:t xml:space="preserve"> </w:t>
      </w:r>
      <w:r>
        <w:t xml:space="preserve">→</w:t>
      </w:r>
      <w:r>
        <w:t xml:space="preserve"> </w:t>
      </w:r>
      <w:r>
        <w:t xml:space="preserve">“</w:t>
      </w:r>
      <w:r>
        <w:t xml:space="preserve">K04</w:t>
      </w:r>
      <w:r>
        <w:t xml:space="preserve">”</w:t>
      </w:r>
    </w:p>
    <w:p>
      <w:pPr>
        <w:numPr>
          <w:ilvl w:val="0"/>
          <w:numId w:val="1101"/>
        </w:numPr>
        <w:pStyle w:val="Compact"/>
      </w:pPr>
      <w:r>
        <w:t xml:space="preserve">“</w:t>
      </w:r>
      <w:r>
        <w:t xml:space="preserve">法上</w:t>
      </w:r>
      <w:r>
        <w:t xml:space="preserve">”</w:t>
      </w:r>
      <w:r>
        <w:t xml:space="preserve"> </w:t>
      </w:r>
      <w:r>
        <w:t xml:space="preserve">→</w:t>
      </w:r>
      <w:r>
        <w:t xml:space="preserve"> </w:t>
      </w:r>
      <w:r>
        <w:t xml:space="preserve">“</w:t>
      </w:r>
      <w:r>
        <w:t xml:space="preserve">K05</w:t>
      </w:r>
      <w:r>
        <w:t xml:space="preserve">”</w:t>
      </w:r>
    </w:p>
    <w:p>
      <w:pPr>
        <w:numPr>
          <w:ilvl w:val="0"/>
          <w:numId w:val="1101"/>
        </w:numPr>
        <w:pStyle w:val="Compact"/>
      </w:pPr>
      <w:r>
        <w:t xml:space="preserve">“</w:t>
      </w:r>
      <w:r>
        <w:t xml:space="preserve">法中</w:t>
      </w:r>
      <w:r>
        <w:t xml:space="preserve">”</w:t>
      </w:r>
      <w:r>
        <w:t xml:space="preserve"> </w:t>
      </w:r>
      <w:r>
        <w:t xml:space="preserve">→</w:t>
      </w:r>
      <w:r>
        <w:t xml:space="preserve"> </w:t>
      </w:r>
      <w:r>
        <w:t xml:space="preserve">“</w:t>
      </w:r>
      <w:r>
        <w:t xml:space="preserve">K06</w:t>
      </w:r>
      <w:r>
        <w:t xml:space="preserve">”</w:t>
      </w:r>
    </w:p>
    <w:p>
      <w:pPr>
        <w:numPr>
          <w:ilvl w:val="0"/>
          <w:numId w:val="1101"/>
        </w:numPr>
        <w:pStyle w:val="Compact"/>
      </w:pPr>
      <w:r>
        <w:t xml:space="preserve">“</w:t>
      </w:r>
      <w:r>
        <w:t xml:space="preserve">法下</w:t>
      </w:r>
      <w:r>
        <w:t xml:space="preserve">”</w:t>
      </w:r>
      <w:r>
        <w:t xml:space="preserve"> </w:t>
      </w:r>
      <w:r>
        <w:t xml:space="preserve">→</w:t>
      </w:r>
      <w:r>
        <w:t xml:space="preserve"> </w:t>
      </w:r>
      <w:r>
        <w:t xml:space="preserve">“</w:t>
      </w:r>
      <w:r>
        <w:t xml:space="preserve">K07</w:t>
      </w:r>
      <w:r>
        <w:t xml:space="preserve">”</w:t>
      </w:r>
    </w:p>
    <w:p>
      <w:pPr>
        <w:numPr>
          <w:ilvl w:val="0"/>
          <w:numId w:val="1101"/>
        </w:numPr>
        <w:pStyle w:val="Compact"/>
      </w:pPr>
      <w:r>
        <w:t xml:space="preserve">“</w:t>
      </w:r>
      <w:r>
        <w:t xml:space="preserve">僧上</w:t>
      </w:r>
      <w:r>
        <w:t xml:space="preserve">”</w:t>
      </w:r>
      <w:r>
        <w:t xml:space="preserve"> </w:t>
      </w:r>
      <w:r>
        <w:t xml:space="preserve">→</w:t>
      </w:r>
      <w:r>
        <w:t xml:space="preserve"> </w:t>
      </w:r>
      <w:r>
        <w:t xml:space="preserve">“</w:t>
      </w:r>
      <w:r>
        <w:t xml:space="preserve">K08</w:t>
      </w:r>
      <w:r>
        <w:t xml:space="preserve">”</w:t>
      </w:r>
    </w:p>
    <w:p>
      <w:pPr>
        <w:numPr>
          <w:ilvl w:val="0"/>
          <w:numId w:val="1101"/>
        </w:numPr>
        <w:pStyle w:val="Compact"/>
      </w:pPr>
      <w:r>
        <w:t xml:space="preserve">“</w:t>
      </w:r>
      <w:r>
        <w:t xml:space="preserve">僧中</w:t>
      </w:r>
      <w:r>
        <w:t xml:space="preserve">”</w:t>
      </w:r>
      <w:r>
        <w:t xml:space="preserve"> </w:t>
      </w:r>
      <w:r>
        <w:t xml:space="preserve">→</w:t>
      </w:r>
      <w:r>
        <w:t xml:space="preserve"> </w:t>
      </w:r>
      <w:r>
        <w:t xml:space="preserve">“</w:t>
      </w:r>
      <w:r>
        <w:t xml:space="preserve">K09</w:t>
      </w:r>
      <w:r>
        <w:t xml:space="preserve">”</w:t>
      </w:r>
    </w:p>
    <w:p>
      <w:pPr>
        <w:numPr>
          <w:ilvl w:val="0"/>
          <w:numId w:val="1101"/>
        </w:numPr>
        <w:pStyle w:val="Compact"/>
      </w:pPr>
      <w:r>
        <w:t xml:space="preserve">“</w:t>
      </w:r>
      <w:r>
        <w:t xml:space="preserve">僧下</w:t>
      </w:r>
      <w:r>
        <w:t xml:space="preserve">”</w:t>
      </w:r>
      <w:r>
        <w:t xml:space="preserve"> </w:t>
      </w:r>
      <w:r>
        <w:t xml:space="preserve">→</w:t>
      </w:r>
      <w:r>
        <w:t xml:space="preserve"> </w:t>
      </w:r>
      <w:r>
        <w:t xml:space="preserve">“</w:t>
      </w:r>
      <w:r>
        <w:t xml:space="preserve">K10</w:t>
      </w:r>
      <w:r>
        <w:t xml:space="preserve">”</w:t>
      </w:r>
    </w:p>
    <w:p>
      <w:pPr>
        <w:pStyle w:val="FirstParagraph"/>
      </w:pPr>
      <w:r>
        <w:t xml:space="preserve">Here are the sample data for the files:</w:t>
      </w:r>
    </w:p>
    <w:bookmarkStart w:id="102" w:name="X60e9ef63570a8cb935459aa365ed4c76bee1c2f"/>
    <w:p>
      <w:pPr>
        <w:pStyle w:val="Heading4"/>
      </w:pPr>
      <w:r>
        <w:rPr>
          <w:rStyle w:val="SectionNumber"/>
        </w:rPr>
        <w:t xml:space="preserve">9.1.1.1</w:t>
      </w:r>
      <w:r>
        <w:tab/>
      </w:r>
      <w:r>
        <w:t xml:space="preserve">Sample</w:t>
      </w:r>
      <w:r>
        <w:t xml:space="preserve"> </w:t>
      </w:r>
      <w:r>
        <w:rPr>
          <w:rStyle w:val="VerbatimChar"/>
        </w:rPr>
        <w:t xml:space="preserve">krm_main.tsv</w:t>
      </w:r>
      <w:r>
        <w:t xml:space="preserve">:</w:t>
      </w:r>
    </w:p>
    <w:tbl>
      <w:tblPr>
        <w:tblStyle w:val="Table"/>
        <w:tblW w:type="pct" w:w="5000"/>
        <w:tblLook w:firstRow="1" w:lastRow="0" w:firstColumn="0" w:lastColumn="0" w:noHBand="0" w:noVBand="0" w:val="0020"/>
        <w:jc w:val="start"/>
      </w:tblPr>
      <w:tblGrid>
        <w:gridCol w:w="454"/>
        <w:gridCol w:w="454"/>
        <w:gridCol w:w="807"/>
        <w:gridCol w:w="756"/>
        <w:gridCol w:w="605"/>
        <w:gridCol w:w="655"/>
        <w:gridCol w:w="1109"/>
        <w:gridCol w:w="605"/>
        <w:gridCol w:w="756"/>
        <w:gridCol w:w="1715"/>
      </w:tblGrid>
      <w:tr>
        <w:trPr>
          <w:tblHeader w:val="true"/>
        </w:trPr>
        <w:tc>
          <w:tcPr/>
          <w:p>
            <w:pPr>
              <w:pStyle w:val="Compact"/>
              <w:jc w:val="left"/>
            </w:pPr>
            <w:r>
              <w:t xml:space="preserve">entry_id</w:t>
            </w:r>
          </w:p>
        </w:tc>
        <w:tc>
          <w:tcPr/>
          <w:p>
            <w:pPr>
              <w:pStyle w:val="Compact"/>
              <w:jc w:val="left"/>
            </w:pPr>
            <w:r>
              <w:t xml:space="preserve">hanzi_id</w:t>
            </w:r>
          </w:p>
        </w:tc>
        <w:tc>
          <w:tcPr/>
          <w:p>
            <w:pPr>
              <w:pStyle w:val="Compact"/>
              <w:jc w:val="left"/>
            </w:pPr>
            <w:r>
              <w:t xml:space="preserve">kazama_location</w:t>
            </w:r>
          </w:p>
        </w:tc>
        <w:tc>
          <w:tcPr/>
          <w:p>
            <w:pPr>
              <w:pStyle w:val="Compact"/>
              <w:jc w:val="left"/>
            </w:pPr>
            <w:r>
              <w:t xml:space="preserve">tenri_location</w:t>
            </w:r>
          </w:p>
        </w:tc>
        <w:tc>
          <w:tcPr/>
          <w:p>
            <w:pPr>
              <w:pStyle w:val="Compact"/>
              <w:jc w:val="left"/>
            </w:pPr>
            <w:r>
              <w:t xml:space="preserve">volume_name</w:t>
            </w:r>
          </w:p>
        </w:tc>
        <w:tc>
          <w:tcPr/>
          <w:p>
            <w:pPr>
              <w:pStyle w:val="Compact"/>
              <w:jc w:val="left"/>
            </w:pPr>
            <w:r>
              <w:t xml:space="preserve">radical_name</w:t>
            </w:r>
          </w:p>
        </w:tc>
        <w:tc>
          <w:tcPr/>
          <w:p>
            <w:pPr>
              <w:pStyle w:val="Compact"/>
              <w:jc w:val="left"/>
            </w:pPr>
            <w:r>
              <w:t xml:space="preserve">volume_radical_index</w:t>
            </w:r>
          </w:p>
        </w:tc>
        <w:tc>
          <w:tcPr/>
          <w:p>
            <w:pPr>
              <w:pStyle w:val="Compact"/>
              <w:jc w:val="left"/>
            </w:pPr>
            <w:r>
              <w:t xml:space="preserve">hanzi_entry</w:t>
            </w:r>
          </w:p>
        </w:tc>
        <w:tc>
          <w:tcPr/>
          <w:p>
            <w:pPr>
              <w:pStyle w:val="Compact"/>
              <w:jc w:val="left"/>
            </w:pPr>
            <w:r>
              <w:t xml:space="preserve">original_entry</w:t>
            </w:r>
          </w:p>
        </w:tc>
        <w:tc>
          <w:tcPr/>
          <w:p>
            <w:pPr>
              <w:pStyle w:val="Compact"/>
              <w:jc w:val="left"/>
            </w:pPr>
            <w:r>
              <w:t xml:space="preserve">definition</w:t>
            </w:r>
          </w:p>
        </w:tc>
      </w:tr>
      <w:tr>
        <w:tc>
          <w:tcPr/>
          <w:p>
            <w:pPr>
              <w:pStyle w:val="Compact"/>
              <w:jc w:val="left"/>
            </w:pPr>
            <w:r>
              <w:t xml:space="preserve">F00001</w:t>
            </w:r>
          </w:p>
        </w:tc>
        <w:tc>
          <w:tcPr/>
          <w:p>
            <w:pPr>
              <w:pStyle w:val="Compact"/>
              <w:jc w:val="left"/>
            </w:pPr>
            <w:r>
              <w:t xml:space="preserve">S00001</w:t>
            </w:r>
          </w:p>
        </w:tc>
        <w:tc>
          <w:tcPr/>
          <w:p>
            <w:pPr>
              <w:pStyle w:val="Compact"/>
              <w:jc w:val="left"/>
            </w:pPr>
            <w:r>
              <w:t xml:space="preserve">K01001310</w:t>
            </w:r>
          </w:p>
        </w:tc>
        <w:tc>
          <w:tcPr/>
          <w:p>
            <w:pPr>
              <w:pStyle w:val="Compact"/>
              <w:jc w:val="left"/>
            </w:pPr>
            <w:r>
              <w:t xml:space="preserve">Ta023310</w:t>
            </w:r>
          </w:p>
        </w:tc>
        <w:tc>
          <w:tcPr/>
          <w:p>
            <w:pPr>
              <w:pStyle w:val="Compact"/>
              <w:jc w:val="left"/>
            </w:pPr>
            <w:r>
              <w:t xml:space="preserve">仏上</w:t>
            </w:r>
          </w:p>
        </w:tc>
        <w:tc>
          <w:tcPr/>
          <w:p>
            <w:pPr>
              <w:pStyle w:val="Compact"/>
              <w:jc w:val="left"/>
            </w:pPr>
            <w:r>
              <w:t xml:space="preserve">人</w:t>
            </w:r>
          </w:p>
        </w:tc>
        <w:tc>
          <w:tcPr/>
          <w:p>
            <w:pPr>
              <w:pStyle w:val="Compact"/>
              <w:jc w:val="left"/>
            </w:pPr>
            <w:r>
              <w:t xml:space="preserve">v1#1</w:t>
            </w:r>
          </w:p>
        </w:tc>
        <w:tc>
          <w:tcPr/>
          <w:p>
            <w:pPr>
              <w:pStyle w:val="Compact"/>
              <w:jc w:val="left"/>
            </w:pPr>
            <w:r>
              <w:t xml:space="preserve">人</w:t>
            </w:r>
          </w:p>
        </w:tc>
        <w:tc>
          <w:tcPr/>
          <w:p>
            <w:pPr>
              <w:pStyle w:val="Compact"/>
              <w:jc w:val="left"/>
            </w:pPr>
            <w:r>
              <w:t xml:space="preserve">〇</w:t>
            </w:r>
          </w:p>
        </w:tc>
        <w:tc>
          <w:tcPr/>
          <w:p>
            <w:pPr>
              <w:pStyle w:val="Compact"/>
              <w:jc w:val="left"/>
            </w:pPr>
            <w:r>
              <w:t xml:space="preserve">音仁（LV）「ニン」　ヒト（HL）　ワレ（LL）　サネ　マホル　ユク</w:t>
            </w:r>
          </w:p>
        </w:tc>
      </w:tr>
      <w:tr>
        <w:tc>
          <w:tcPr/>
          <w:p>
            <w:pPr>
              <w:pStyle w:val="Compact"/>
              <w:jc w:val="left"/>
            </w:pPr>
            <w:r>
              <w:t xml:space="preserve">F00002</w:t>
            </w:r>
          </w:p>
        </w:tc>
        <w:tc>
          <w:tcPr/>
          <w:p>
            <w:pPr>
              <w:pStyle w:val="Compact"/>
              <w:jc w:val="left"/>
            </w:pPr>
            <w:r>
              <w:t xml:space="preserve">S00002</w:t>
            </w:r>
          </w:p>
        </w:tc>
        <w:tc>
          <w:tcPr/>
          <w:p>
            <w:pPr>
              <w:pStyle w:val="Compact"/>
              <w:jc w:val="left"/>
            </w:pPr>
            <w:r>
              <w:t xml:space="preserve">K01001331</w:t>
            </w:r>
          </w:p>
        </w:tc>
        <w:tc>
          <w:tcPr/>
          <w:p>
            <w:pPr>
              <w:pStyle w:val="Compact"/>
              <w:jc w:val="left"/>
            </w:pPr>
            <w:r>
              <w:t xml:space="preserve">Ta023331</w:t>
            </w:r>
          </w:p>
        </w:tc>
        <w:tc>
          <w:tcPr/>
          <w:p>
            <w:pPr>
              <w:pStyle w:val="Compact"/>
              <w:jc w:val="left"/>
            </w:pPr>
            <w:r>
              <w:t xml:space="preserve">仏上</w:t>
            </w:r>
          </w:p>
        </w:tc>
        <w:tc>
          <w:tcPr/>
          <w:p>
            <w:pPr>
              <w:pStyle w:val="Compact"/>
              <w:jc w:val="left"/>
            </w:pPr>
            <w:r>
              <w:t xml:space="preserve">人</w:t>
            </w:r>
          </w:p>
        </w:tc>
        <w:tc>
          <w:tcPr/>
          <w:p>
            <w:pPr>
              <w:pStyle w:val="Compact"/>
              <w:jc w:val="left"/>
            </w:pPr>
            <w:r>
              <w:t xml:space="preserve">v1#1</w:t>
            </w:r>
          </w:p>
        </w:tc>
        <w:tc>
          <w:tcPr/>
          <w:p>
            <w:pPr>
              <w:pStyle w:val="Compact"/>
              <w:jc w:val="left"/>
            </w:pPr>
            <w:r>
              <w:t xml:space="preserve">一／人</w:t>
            </w:r>
          </w:p>
        </w:tc>
        <w:tc>
          <w:tcPr/>
          <w:p>
            <w:pPr>
              <w:pStyle w:val="Compact"/>
              <w:jc w:val="left"/>
            </w:pPr>
            <w:r>
              <w:t xml:space="preserve">〇／〇</w:t>
            </w:r>
          </w:p>
        </w:tc>
        <w:tc>
          <w:tcPr/>
          <w:p>
            <w:pPr>
              <w:pStyle w:val="Compact"/>
              <w:jc w:val="left"/>
            </w:pPr>
            <w:r>
              <w:t xml:space="preserve">ヒトリ（LH_）</w:t>
            </w:r>
          </w:p>
        </w:tc>
      </w:tr>
      <w:tr>
        <w:tc>
          <w:tcPr/>
          <w:p>
            <w:pPr>
              <w:pStyle w:val="Compact"/>
              <w:jc w:val="left"/>
            </w:pPr>
            <w:r>
              <w:t xml:space="preserve">F00003</w:t>
            </w:r>
          </w:p>
        </w:tc>
        <w:tc>
          <w:tcPr/>
          <w:p>
            <w:pPr>
              <w:pStyle w:val="Compact"/>
              <w:jc w:val="left"/>
            </w:pPr>
            <w:r>
              <w:t xml:space="preserve">S00004</w:t>
            </w:r>
          </w:p>
        </w:tc>
        <w:tc>
          <w:tcPr/>
          <w:p>
            <w:pPr>
              <w:pStyle w:val="Compact"/>
              <w:jc w:val="left"/>
            </w:pPr>
            <w:r>
              <w:t xml:space="preserve">K01001341</w:t>
            </w:r>
          </w:p>
        </w:tc>
        <w:tc>
          <w:tcPr/>
          <w:p>
            <w:pPr>
              <w:pStyle w:val="Compact"/>
              <w:jc w:val="left"/>
            </w:pPr>
            <w:r>
              <w:t xml:space="preserve">Ta023341</w:t>
            </w:r>
          </w:p>
        </w:tc>
        <w:tc>
          <w:tcPr/>
          <w:p>
            <w:pPr>
              <w:pStyle w:val="Compact"/>
              <w:jc w:val="left"/>
            </w:pPr>
            <w:r>
              <w:t xml:space="preserve">仏上</w:t>
            </w:r>
          </w:p>
        </w:tc>
        <w:tc>
          <w:tcPr/>
          <w:p>
            <w:pPr>
              <w:pStyle w:val="Compact"/>
              <w:jc w:val="left"/>
            </w:pPr>
            <w:r>
              <w:t xml:space="preserve">人</w:t>
            </w:r>
          </w:p>
        </w:tc>
        <w:tc>
          <w:tcPr/>
          <w:p>
            <w:pPr>
              <w:pStyle w:val="Compact"/>
              <w:jc w:val="left"/>
            </w:pPr>
            <w:r>
              <w:t xml:space="preserve">v1#1</w:t>
            </w:r>
          </w:p>
        </w:tc>
        <w:tc>
          <w:tcPr/>
          <w:p>
            <w:pPr>
              <w:pStyle w:val="Compact"/>
              <w:jc w:val="left"/>
            </w:pPr>
            <w:r>
              <w:t xml:space="preserve">二／人</w:t>
            </w:r>
          </w:p>
        </w:tc>
        <w:tc>
          <w:tcPr/>
          <w:p>
            <w:pPr>
              <w:pStyle w:val="Compact"/>
              <w:jc w:val="left"/>
            </w:pPr>
            <w:r>
              <w:t xml:space="preserve">〇／〇</w:t>
            </w:r>
          </w:p>
        </w:tc>
        <w:tc>
          <w:tcPr/>
          <w:p>
            <w:pPr>
              <w:pStyle w:val="Compact"/>
              <w:jc w:val="left"/>
            </w:pPr>
            <w:r>
              <w:t xml:space="preserve">フタリ（HHL）</w:t>
            </w:r>
          </w:p>
        </w:tc>
      </w:tr>
    </w:tbl>
    <w:bookmarkEnd w:id="102"/>
    <w:bookmarkStart w:id="105" w:name="X7280128ce5f80dee420bc244517e67eeb49fe96"/>
    <w:p>
      <w:pPr>
        <w:pStyle w:val="Heading4"/>
      </w:pPr>
      <w:r>
        <w:rPr>
          <w:rStyle w:val="SectionNumber"/>
        </w:rPr>
        <w:t xml:space="preserve">9.1.1.2</w:t>
      </w:r>
      <w:r>
        <w:tab/>
      </w:r>
      <w:r>
        <w:t xml:space="preserve">Sample</w:t>
      </w:r>
      <w:r>
        <w:t xml:space="preserve"> </w:t>
      </w:r>
      <w:r>
        <w:rPr>
          <w:rStyle w:val="VerbatimChar"/>
        </w:rPr>
        <w:t xml:space="preserve">krm_ndl.tsv</w:t>
      </w:r>
      <w:r>
        <w:t xml:space="preserve">:</w:t>
      </w:r>
    </w:p>
    <w:tbl>
      <w:tblPr>
        <w:tblStyle w:val="Table"/>
        <w:tblW w:type="pct" w:w="5000"/>
        <w:tblLook w:firstRow="1" w:lastRow="0" w:firstColumn="0" w:lastColumn="0" w:noHBand="0" w:noVBand="0" w:val="0020"/>
        <w:jc w:val="start"/>
      </w:tblPr>
      <w:tblGrid>
        <w:gridCol w:w="270"/>
        <w:gridCol w:w="473"/>
        <w:gridCol w:w="406"/>
        <w:gridCol w:w="338"/>
        <w:gridCol w:w="6430"/>
      </w:tblGrid>
      <w:tr>
        <w:trPr>
          <w:tblHeader w:val="true"/>
        </w:trPr>
        <w:tc>
          <w:tcPr/>
          <w:p>
            <w:pPr>
              <w:pStyle w:val="Compact"/>
              <w:jc w:val="left"/>
            </w:pPr>
            <w:r>
              <w:t xml:space="preserve">Book</w:t>
            </w:r>
          </w:p>
        </w:tc>
        <w:tc>
          <w:tcPr/>
          <w:p>
            <w:pPr>
              <w:pStyle w:val="Compact"/>
              <w:jc w:val="left"/>
            </w:pPr>
            <w:r>
              <w:t xml:space="preserve">Radical</w:t>
            </w:r>
          </w:p>
        </w:tc>
        <w:tc>
          <w:tcPr/>
          <w:p>
            <w:pPr>
              <w:pStyle w:val="Compact"/>
              <w:jc w:val="left"/>
            </w:pPr>
            <w:r>
              <w:t xml:space="preserve">Kazama</w:t>
            </w:r>
          </w:p>
        </w:tc>
        <w:tc>
          <w:tcPr/>
          <w:p>
            <w:pPr>
              <w:pStyle w:val="Compact"/>
              <w:jc w:val="left"/>
            </w:pPr>
            <w:r>
              <w:t xml:space="preserve">Tenri</w:t>
            </w:r>
          </w:p>
        </w:tc>
        <w:tc>
          <w:tcPr/>
          <w:p>
            <w:pPr>
              <w:pStyle w:val="Compact"/>
              <w:jc w:val="left"/>
            </w:pPr>
            <w:r>
              <w:t xml:space="preserve">NDL_url</w:t>
            </w:r>
          </w:p>
        </w:tc>
      </w:tr>
      <w:tr>
        <w:tc>
          <w:tcPr/>
          <w:p>
            <w:pPr>
              <w:pStyle w:val="Compact"/>
              <w:jc w:val="left"/>
            </w:pPr>
            <w:r>
              <w:t xml:space="preserve">仏上</w:t>
            </w:r>
          </w:p>
        </w:tc>
        <w:tc>
          <w:tcPr/>
          <w:p>
            <w:pPr>
              <w:pStyle w:val="Compact"/>
              <w:jc w:val="left"/>
            </w:pPr>
            <w:r>
              <w:t xml:space="preserve">人</w:t>
            </w:r>
          </w:p>
        </w:tc>
        <w:tc>
          <w:tcPr/>
          <w:p>
            <w:pPr>
              <w:pStyle w:val="Compact"/>
              <w:jc w:val="left"/>
            </w:pPr>
            <w:r>
              <w:t xml:space="preserve">1</w:t>
            </w:r>
          </w:p>
        </w:tc>
        <w:tc>
          <w:tcPr/>
          <w:p>
            <w:pPr>
              <w:pStyle w:val="Compact"/>
              <w:jc w:val="left"/>
            </w:pPr>
            <w:r>
              <w:t xml:space="preserve">23</w:t>
            </w:r>
          </w:p>
        </w:tc>
        <w:tc>
          <w:tcPr/>
          <w:p>
            <w:pPr>
              <w:pStyle w:val="Compact"/>
              <w:jc w:val="left"/>
            </w:pPr>
            <w:hyperlink r:id="rId103">
              <w:r>
                <w:rPr>
                  <w:rStyle w:val="Hyperlink"/>
                </w:rPr>
                <w:t xml:space="preserve">https://dl.ndl.go.jp/info:ndljp/pid/2586891/6</w:t>
              </w:r>
            </w:hyperlink>
          </w:p>
        </w:tc>
      </w:tr>
      <w:tr>
        <w:tc>
          <w:tcPr/>
          <w:p>
            <w:pPr>
              <w:pStyle w:val="Compact"/>
              <w:jc w:val="left"/>
            </w:pPr>
            <w:r>
              <w:t xml:space="preserve">仏上</w:t>
            </w:r>
          </w:p>
        </w:tc>
        <w:tc>
          <w:tcPr/>
          <w:p>
            <w:pPr>
              <w:pStyle w:val="Compact"/>
              <w:jc w:val="left"/>
            </w:pPr>
            <w:r>
              <w:t xml:space="preserve">人</w:t>
            </w:r>
          </w:p>
        </w:tc>
        <w:tc>
          <w:tcPr/>
          <w:p>
            <w:pPr>
              <w:pStyle w:val="Compact"/>
              <w:jc w:val="left"/>
            </w:pPr>
            <w:r>
              <w:t xml:space="preserve">2</w:t>
            </w:r>
          </w:p>
        </w:tc>
        <w:tc>
          <w:tcPr/>
          <w:p>
            <w:pPr>
              <w:pStyle w:val="Compact"/>
              <w:jc w:val="left"/>
            </w:pPr>
            <w:r>
              <w:t xml:space="preserve">24</w:t>
            </w:r>
          </w:p>
        </w:tc>
        <w:tc>
          <w:tcPr/>
          <w:p>
            <w:pPr>
              <w:pStyle w:val="Compact"/>
              <w:jc w:val="left"/>
            </w:pPr>
            <w:hyperlink r:id="rId104">
              <w:r>
                <w:rPr>
                  <w:rStyle w:val="Hyperlink"/>
                </w:rPr>
                <w:t xml:space="preserve">https://dl.ndl.go.jp/info:ndljp/pid/2586891/7</w:t>
              </w:r>
            </w:hyperlink>
          </w:p>
        </w:tc>
      </w:tr>
      <w:tr>
        <w:tc>
          <w:tcPr/>
          <w:p>
            <w:pPr>
              <w:pStyle w:val="Compact"/>
              <w:jc w:val="left"/>
            </w:pPr>
            <w:r>
              <w:t xml:space="preserve">仏上</w:t>
            </w:r>
          </w:p>
        </w:tc>
        <w:tc>
          <w:tcPr/>
          <w:p>
            <w:pPr>
              <w:pStyle w:val="Compact"/>
              <w:jc w:val="left"/>
            </w:pPr>
            <w:r>
              <w:t xml:space="preserve">人</w:t>
            </w:r>
          </w:p>
        </w:tc>
        <w:tc>
          <w:tcPr/>
          <w:p>
            <w:pPr>
              <w:pStyle w:val="Compact"/>
              <w:jc w:val="left"/>
            </w:pPr>
            <w:r>
              <w:t xml:space="preserve">3</w:t>
            </w:r>
          </w:p>
        </w:tc>
        <w:tc>
          <w:tcPr/>
          <w:p>
            <w:pPr>
              <w:pStyle w:val="Compact"/>
              <w:jc w:val="left"/>
            </w:pPr>
            <w:r>
              <w:t xml:space="preserve">25</w:t>
            </w:r>
          </w:p>
        </w:tc>
        <w:tc>
          <w:tcPr/>
          <w:p>
            <w:pPr>
              <w:pStyle w:val="Compact"/>
              <w:jc w:val="left"/>
            </w:pPr>
            <w:hyperlink r:id="rId104">
              <w:r>
                <w:rPr>
                  <w:rStyle w:val="Hyperlink"/>
                </w:rPr>
                <w:t xml:space="preserve">https://dl.ndl.go.jp/info:ndljp/pid/2586891/7</w:t>
              </w:r>
            </w:hyperlink>
          </w:p>
        </w:tc>
      </w:tr>
    </w:tbl>
    <w:bookmarkEnd w:id="105"/>
    <w:bookmarkEnd w:id="106"/>
    <w:bookmarkStart w:id="107" w:name="X3766f6663c3ac475f28638b7ec60568dba67b16"/>
    <w:p>
      <w:pPr>
        <w:pStyle w:val="Heading3"/>
      </w:pPr>
      <w:r>
        <w:rPr>
          <w:rStyle w:val="SectionNumber"/>
        </w:rPr>
        <w:t xml:space="preserve">9.1.2</w:t>
      </w:r>
      <w:r>
        <w:tab/>
      </w:r>
      <w:r>
        <w:t xml:space="preserve">Answers</w:t>
      </w:r>
    </w:p>
    <w:p>
      <w:pPr>
        <w:pStyle w:val="FirstParagraph"/>
      </w:pPr>
      <w:r>
        <w:t xml:space="preserve">To join the</w:t>
      </w:r>
      <w:r>
        <w:t xml:space="preserve"> </w:t>
      </w:r>
      <w:r>
        <w:rPr>
          <w:rStyle w:val="VerbatimChar"/>
        </w:rPr>
        <w:t xml:space="preserve">krm_main.tsv</w:t>
      </w:r>
      <w:r>
        <w:t xml:space="preserve"> </w:t>
      </w:r>
      <w:r>
        <w:t xml:space="preserve">and</w:t>
      </w:r>
      <w:r>
        <w:t xml:space="preserve"> </w:t>
      </w:r>
      <w:r>
        <w:rPr>
          <w:rStyle w:val="VerbatimChar"/>
        </w:rPr>
        <w:t xml:space="preserve">krm_ndl.tsv</w:t>
      </w:r>
      <w:r>
        <w:t xml:space="preserve"> </w:t>
      </w:r>
      <w:r>
        <w:t xml:space="preserve">files in Excel using the</w:t>
      </w:r>
      <w:r>
        <w:t xml:space="preserve"> </w:t>
      </w:r>
      <w:r>
        <w:rPr>
          <w:rStyle w:val="VerbatimChar"/>
        </w:rPr>
        <w:t xml:space="preserve">kazama_location</w:t>
      </w:r>
      <w:r>
        <w:t xml:space="preserve"> </w:t>
      </w:r>
      <w:r>
        <w:t xml:space="preserve">column in</w:t>
      </w:r>
      <w:r>
        <w:t xml:space="preserve"> </w:t>
      </w:r>
      <w:r>
        <w:rPr>
          <w:rStyle w:val="VerbatimChar"/>
        </w:rPr>
        <w:t xml:space="preserve">krm_main.tsv</w:t>
      </w:r>
      <w:r>
        <w:t xml:space="preserve"> </w:t>
      </w:r>
      <w:r>
        <w:t xml:space="preserve">and the</w:t>
      </w:r>
      <w:r>
        <w:t xml:space="preserve"> </w:t>
      </w:r>
      <w:r>
        <w:rPr>
          <w:rStyle w:val="VerbatimChar"/>
        </w:rPr>
        <w:t xml:space="preserve">Kazama</w:t>
      </w:r>
      <w:r>
        <w:t xml:space="preserve"> </w:t>
      </w:r>
      <w:r>
        <w:t xml:space="preserve">column in</w:t>
      </w:r>
      <w:r>
        <w:t xml:space="preserve"> </w:t>
      </w:r>
      <w:r>
        <w:rPr>
          <w:rStyle w:val="VerbatimChar"/>
        </w:rPr>
        <w:t xml:space="preserve">krm_ndl.tsv</w:t>
      </w:r>
      <w:r>
        <w:t xml:space="preserve">, follow these steps:</w:t>
      </w:r>
    </w:p>
    <w:p>
      <w:pPr>
        <w:numPr>
          <w:ilvl w:val="0"/>
          <w:numId w:val="1102"/>
        </w:numPr>
      </w:pPr>
      <w:r>
        <w:rPr>
          <w:bCs/>
          <w:b/>
        </w:rPr>
        <w:t xml:space="preserve">Prepare the Data:</w:t>
      </w:r>
    </w:p>
    <w:p>
      <w:pPr>
        <w:numPr>
          <w:ilvl w:val="1"/>
          <w:numId w:val="1103"/>
        </w:numPr>
        <w:pStyle w:val="Compact"/>
      </w:pPr>
      <w:r>
        <w:t xml:space="preserve">Import both the</w:t>
      </w:r>
      <w:r>
        <w:t xml:space="preserve"> </w:t>
      </w:r>
      <w:r>
        <w:rPr>
          <w:rStyle w:val="VerbatimChar"/>
        </w:rPr>
        <w:t xml:space="preserve">krm_main.tsv</w:t>
      </w:r>
      <w:r>
        <w:t xml:space="preserve"> </w:t>
      </w:r>
      <w:r>
        <w:t xml:space="preserve">and</w:t>
      </w:r>
      <w:r>
        <w:t xml:space="preserve"> </w:t>
      </w:r>
      <w:r>
        <w:rPr>
          <w:rStyle w:val="VerbatimChar"/>
        </w:rPr>
        <w:t xml:space="preserve">krm_ndl.tsv</w:t>
      </w:r>
      <w:r>
        <w:t xml:space="preserve"> </w:t>
      </w:r>
      <w:r>
        <w:t xml:space="preserve">files into Excel as separate sheets. Name them</w:t>
      </w:r>
      <w:r>
        <w:t xml:space="preserve"> </w:t>
      </w:r>
      <w:r>
        <w:rPr>
          <w:rStyle w:val="VerbatimChar"/>
        </w:rPr>
        <w:t xml:space="preserve">krm_main</w:t>
      </w:r>
      <w:r>
        <w:t xml:space="preserve"> </w:t>
      </w:r>
      <w:r>
        <w:t xml:space="preserve">and</w:t>
      </w:r>
      <w:r>
        <w:t xml:space="preserve"> </w:t>
      </w:r>
      <w:r>
        <w:rPr>
          <w:rStyle w:val="VerbatimChar"/>
        </w:rPr>
        <w:t xml:space="preserve">krm_ndl</w:t>
      </w:r>
      <w:r>
        <w:t xml:space="preserve">.</w:t>
      </w:r>
    </w:p>
    <w:p>
      <w:pPr>
        <w:numPr>
          <w:ilvl w:val="0"/>
          <w:numId w:val="1102"/>
        </w:numPr>
      </w:pPr>
      <w:r>
        <w:rPr>
          <w:bCs/>
          <w:b/>
        </w:rPr>
        <w:t xml:space="preserve">Create a Mapping Table:</w:t>
      </w:r>
    </w:p>
    <w:p>
      <w:pPr>
        <w:numPr>
          <w:ilvl w:val="1"/>
          <w:numId w:val="1104"/>
        </w:numPr>
        <w:pStyle w:val="Compact"/>
      </w:pPr>
      <w:r>
        <w:t xml:space="preserve">Create a new sheet (for example, named</w:t>
      </w:r>
      <w:r>
        <w:t xml:space="preserve"> </w:t>
      </w:r>
      <w:r>
        <w:t xml:space="preserve">“</w:t>
      </w:r>
      <w:r>
        <w:t xml:space="preserve">Mapping</w:t>
      </w:r>
      <w:r>
        <w:t xml:space="preserve">”</w:t>
      </w:r>
      <w:r>
        <w:t xml:space="preserve">) to include the mapping between</w:t>
      </w:r>
      <w:r>
        <w:t xml:space="preserve"> </w:t>
      </w:r>
      <w:r>
        <w:rPr>
          <w:rStyle w:val="VerbatimChar"/>
        </w:rPr>
        <w:t xml:space="preserve">kazama_location</w:t>
      </w:r>
      <w:r>
        <w:t xml:space="preserve"> </w:t>
      </w:r>
      <w:r>
        <w:t xml:space="preserve">and</w:t>
      </w:r>
      <w:r>
        <w:t xml:space="preserve"> </w:t>
      </w:r>
      <w:r>
        <w:rPr>
          <w:rStyle w:val="VerbatimChar"/>
        </w:rPr>
        <w:t xml:space="preserve">Kazama</w:t>
      </w:r>
      <w:r>
        <w:t xml:space="preserve"> </w:t>
      </w:r>
      <w:r>
        <w:t xml:space="preserve">codes. Use the following mapping:</w:t>
      </w:r>
    </w:p>
    <w:tbl>
      <w:tblPr>
        <w:tblStyle w:val="Table"/>
        <w:tblW w:type="auto" w:w="0"/>
        <w:tblLook w:firstRow="1" w:lastRow="0" w:firstColumn="0" w:lastColumn="0" w:noHBand="0" w:noVBand="0" w:val="0020"/>
        <w:jc w:val="start"/>
        <w:tblInd w:w="720" w:type="dxa"/>
      </w:tblPr>
      <w:tblGrid>
        <w:gridCol w:w="3960"/>
        <w:gridCol w:w="3960"/>
      </w:tblGrid>
      <w:tr>
        <w:trPr>
          <w:tblHeader w:val="true"/>
        </w:trPr>
        <w:tc>
          <w:tcPr/>
          <w:p>
            <w:pPr>
              <w:pStyle w:val="Compact"/>
              <w:jc w:val="left"/>
            </w:pPr>
            <w:r>
              <w:t xml:space="preserve">kazama_location</w:t>
            </w:r>
          </w:p>
        </w:tc>
        <w:tc>
          <w:tcPr/>
          <w:p>
            <w:pPr>
              <w:pStyle w:val="Compact"/>
              <w:jc w:val="left"/>
            </w:pPr>
            <w:r>
              <w:t xml:space="preserve">Kazama</w:t>
            </w:r>
          </w:p>
        </w:tc>
      </w:tr>
      <w:tr>
        <w:tc>
          <w:tcPr/>
          <w:p>
            <w:pPr>
              <w:pStyle w:val="Compact"/>
              <w:jc w:val="left"/>
            </w:pPr>
            <w:r>
              <w:t xml:space="preserve">仏上</w:t>
            </w:r>
          </w:p>
        </w:tc>
        <w:tc>
          <w:tcPr/>
          <w:p>
            <w:pPr>
              <w:pStyle w:val="Compact"/>
              <w:jc w:val="left"/>
            </w:pPr>
            <w:r>
              <w:t xml:space="preserve">K01</w:t>
            </w:r>
          </w:p>
        </w:tc>
      </w:tr>
      <w:tr>
        <w:tc>
          <w:tcPr/>
          <w:p>
            <w:pPr>
              <w:pStyle w:val="Compact"/>
              <w:jc w:val="left"/>
            </w:pPr>
            <w:r>
              <w:t xml:space="preserve">仏中</w:t>
            </w:r>
          </w:p>
        </w:tc>
        <w:tc>
          <w:tcPr/>
          <w:p>
            <w:pPr>
              <w:pStyle w:val="Compact"/>
              <w:jc w:val="left"/>
            </w:pPr>
            <w:r>
              <w:t xml:space="preserve">K02</w:t>
            </w:r>
          </w:p>
        </w:tc>
      </w:tr>
      <w:tr>
        <w:tc>
          <w:tcPr/>
          <w:p>
            <w:pPr>
              <w:pStyle w:val="Compact"/>
              <w:jc w:val="left"/>
            </w:pPr>
            <w:r>
              <w:t xml:space="preserve">仏下本</w:t>
            </w:r>
          </w:p>
        </w:tc>
        <w:tc>
          <w:tcPr/>
          <w:p>
            <w:pPr>
              <w:pStyle w:val="Compact"/>
              <w:jc w:val="left"/>
            </w:pPr>
            <w:r>
              <w:t xml:space="preserve">K03</w:t>
            </w:r>
          </w:p>
        </w:tc>
      </w:tr>
      <w:tr>
        <w:tc>
          <w:tcPr/>
          <w:p>
            <w:pPr>
              <w:pStyle w:val="Compact"/>
              <w:jc w:val="left"/>
            </w:pPr>
            <w:r>
              <w:t xml:space="preserve">仏下末</w:t>
            </w:r>
          </w:p>
        </w:tc>
        <w:tc>
          <w:tcPr/>
          <w:p>
            <w:pPr>
              <w:pStyle w:val="Compact"/>
              <w:jc w:val="left"/>
            </w:pPr>
            <w:r>
              <w:t xml:space="preserve">K04</w:t>
            </w:r>
          </w:p>
        </w:tc>
      </w:tr>
      <w:tr>
        <w:tc>
          <w:tcPr/>
          <w:p>
            <w:pPr>
              <w:pStyle w:val="Compact"/>
              <w:jc w:val="left"/>
            </w:pPr>
            <w:r>
              <w:t xml:space="preserve">法上</w:t>
            </w:r>
          </w:p>
        </w:tc>
        <w:tc>
          <w:tcPr/>
          <w:p>
            <w:pPr>
              <w:pStyle w:val="Compact"/>
              <w:jc w:val="left"/>
            </w:pPr>
            <w:r>
              <w:t xml:space="preserve">K05</w:t>
            </w:r>
          </w:p>
        </w:tc>
      </w:tr>
      <w:tr>
        <w:tc>
          <w:tcPr/>
          <w:p>
            <w:pPr>
              <w:pStyle w:val="Compact"/>
              <w:jc w:val="left"/>
            </w:pPr>
            <w:r>
              <w:t xml:space="preserve">法中</w:t>
            </w:r>
          </w:p>
        </w:tc>
        <w:tc>
          <w:tcPr/>
          <w:p>
            <w:pPr>
              <w:pStyle w:val="Compact"/>
              <w:jc w:val="left"/>
            </w:pPr>
            <w:r>
              <w:t xml:space="preserve">K06</w:t>
            </w:r>
          </w:p>
        </w:tc>
      </w:tr>
      <w:tr>
        <w:tc>
          <w:tcPr/>
          <w:p>
            <w:pPr>
              <w:pStyle w:val="Compact"/>
              <w:jc w:val="left"/>
            </w:pPr>
            <w:r>
              <w:t xml:space="preserve">法下</w:t>
            </w:r>
          </w:p>
        </w:tc>
        <w:tc>
          <w:tcPr/>
          <w:p>
            <w:pPr>
              <w:pStyle w:val="Compact"/>
              <w:jc w:val="left"/>
            </w:pPr>
            <w:r>
              <w:t xml:space="preserve">K07</w:t>
            </w:r>
          </w:p>
        </w:tc>
      </w:tr>
      <w:tr>
        <w:tc>
          <w:tcPr/>
          <w:p>
            <w:pPr>
              <w:pStyle w:val="Compact"/>
              <w:jc w:val="left"/>
            </w:pPr>
            <w:r>
              <w:t xml:space="preserve">僧上</w:t>
            </w:r>
          </w:p>
        </w:tc>
        <w:tc>
          <w:tcPr/>
          <w:p>
            <w:pPr>
              <w:pStyle w:val="Compact"/>
              <w:jc w:val="left"/>
            </w:pPr>
            <w:r>
              <w:t xml:space="preserve">K08</w:t>
            </w:r>
          </w:p>
        </w:tc>
      </w:tr>
      <w:tr>
        <w:tc>
          <w:tcPr/>
          <w:p>
            <w:pPr>
              <w:pStyle w:val="Compact"/>
              <w:jc w:val="left"/>
            </w:pPr>
            <w:r>
              <w:t xml:space="preserve">僧中</w:t>
            </w:r>
          </w:p>
        </w:tc>
        <w:tc>
          <w:tcPr/>
          <w:p>
            <w:pPr>
              <w:pStyle w:val="Compact"/>
              <w:jc w:val="left"/>
            </w:pPr>
            <w:r>
              <w:t xml:space="preserve">K09</w:t>
            </w:r>
          </w:p>
        </w:tc>
      </w:tr>
      <w:tr>
        <w:tc>
          <w:tcPr/>
          <w:p>
            <w:pPr>
              <w:pStyle w:val="Compact"/>
              <w:jc w:val="left"/>
            </w:pPr>
            <w:r>
              <w:t xml:space="preserve">僧下</w:t>
            </w:r>
          </w:p>
        </w:tc>
        <w:tc>
          <w:tcPr/>
          <w:p>
            <w:pPr>
              <w:pStyle w:val="Compact"/>
              <w:jc w:val="left"/>
            </w:pPr>
            <w:r>
              <w:t xml:space="preserve">K10</w:t>
            </w:r>
          </w:p>
        </w:tc>
      </w:tr>
    </w:tbl>
    <w:p>
      <w:pPr>
        <w:numPr>
          <w:ilvl w:val="0"/>
          <w:numId w:val="1102"/>
        </w:numPr>
      </w:pPr>
      <w:r>
        <w:rPr>
          <w:bCs/>
          <w:b/>
        </w:rPr>
        <w:t xml:space="preserve">Lookup the Kazama Code:</w:t>
      </w:r>
    </w:p>
    <w:p>
      <w:pPr>
        <w:numPr>
          <w:ilvl w:val="1"/>
          <w:numId w:val="1105"/>
        </w:numPr>
        <w:pStyle w:val="Compact"/>
      </w:pPr>
      <w:r>
        <w:t xml:space="preserve">In the</w:t>
      </w:r>
      <w:r>
        <w:t xml:space="preserve"> </w:t>
      </w:r>
      <w:r>
        <w:rPr>
          <w:rStyle w:val="VerbatimChar"/>
        </w:rPr>
        <w:t xml:space="preserve">krm_main</w:t>
      </w:r>
      <w:r>
        <w:t xml:space="preserve"> </w:t>
      </w:r>
      <w:r>
        <w:t xml:space="preserve">sheet, add a new column (e.g.,</w:t>
      </w:r>
      <w:r>
        <w:t xml:space="preserve"> </w:t>
      </w:r>
      <w:r>
        <w:t xml:space="preserve">“</w:t>
      </w:r>
      <w:r>
        <w:t xml:space="preserve">Kazama Code</w:t>
      </w:r>
      <w:r>
        <w:t xml:space="preserve">”</w:t>
      </w:r>
      <w:r>
        <w:t xml:space="preserve">).</w:t>
      </w:r>
    </w:p>
    <w:p>
      <w:pPr>
        <w:numPr>
          <w:ilvl w:val="1"/>
          <w:numId w:val="1105"/>
        </w:numPr>
        <w:pStyle w:val="Compact"/>
      </w:pPr>
      <w:r>
        <w:t xml:space="preserve">Use the</w:t>
      </w:r>
      <w:r>
        <w:t xml:space="preserve"> </w:t>
      </w:r>
      <w:r>
        <w:rPr>
          <w:rStyle w:val="VerbatimChar"/>
        </w:rPr>
        <w:t xml:space="preserve">VLOOKUP</w:t>
      </w:r>
      <w:r>
        <w:t xml:space="preserve"> </w:t>
      </w:r>
      <w:r>
        <w:t xml:space="preserve">function to lookup the value in</w:t>
      </w:r>
      <w:r>
        <w:t xml:space="preserve"> </w:t>
      </w:r>
      <w:r>
        <w:rPr>
          <w:rStyle w:val="VerbatimChar"/>
        </w:rPr>
        <w:t xml:space="preserve">kazama_location</w:t>
      </w:r>
      <w:r>
        <w:t xml:space="preserve"> </w:t>
      </w:r>
      <w:r>
        <w:t xml:space="preserve">and return the corresponding</w:t>
      </w:r>
      <w:r>
        <w:t xml:space="preserve"> </w:t>
      </w:r>
      <w:r>
        <w:rPr>
          <w:rStyle w:val="VerbatimChar"/>
        </w:rPr>
        <w:t xml:space="preserve">Kazama</w:t>
      </w:r>
      <w:r>
        <w:t xml:space="preserve"> </w:t>
      </w:r>
      <w:r>
        <w:t xml:space="preserve">code from the</w:t>
      </w:r>
      <w:r>
        <w:t xml:space="preserve"> </w:t>
      </w:r>
      <w:r>
        <w:t xml:space="preserve">“</w:t>
      </w:r>
      <w:r>
        <w:t xml:space="preserve">Mapping</w:t>
      </w:r>
      <w:r>
        <w:t xml:space="preserve">”</w:t>
      </w:r>
      <w:r>
        <w:t xml:space="preserve"> </w:t>
      </w:r>
      <w:r>
        <w:t xml:space="preserve">sheet.</w:t>
      </w:r>
    </w:p>
    <w:p>
      <w:pPr>
        <w:numPr>
          <w:ilvl w:val="0"/>
          <w:numId w:val="1000"/>
        </w:numPr>
      </w:pPr>
      <w:r>
        <w:t xml:space="preserve">Enter the following formula in the new column (e.g., G2):</w:t>
      </w:r>
    </w:p>
    <w:p>
      <w:pPr>
        <w:numPr>
          <w:ilvl w:val="0"/>
          <w:numId w:val="1000"/>
        </w:numPr>
        <w:pStyle w:val="SourceCode"/>
      </w:pPr>
      <w:r>
        <w:rPr>
          <w:rStyle w:val="VerbatimChar"/>
        </w:rPr>
        <w:t xml:space="preserve">=VLOOKUP(D2, Mapping!$A$2:$B$11, 2, FALSE)</w:t>
      </w:r>
    </w:p>
    <w:p>
      <w:pPr>
        <w:numPr>
          <w:ilvl w:val="1"/>
          <w:numId w:val="1106"/>
        </w:numPr>
        <w:pStyle w:val="Compact"/>
      </w:pPr>
      <w:r>
        <w:rPr>
          <w:rStyle w:val="VerbatimChar"/>
        </w:rPr>
        <w:t xml:space="preserve">D2</w:t>
      </w:r>
      <w:r>
        <w:t xml:space="preserve"> </w:t>
      </w:r>
      <w:r>
        <w:t xml:space="preserve">is the cell in the</w:t>
      </w:r>
      <w:r>
        <w:t xml:space="preserve"> </w:t>
      </w:r>
      <w:r>
        <w:rPr>
          <w:rStyle w:val="VerbatimChar"/>
        </w:rPr>
        <w:t xml:space="preserve">kazama_location</w:t>
      </w:r>
      <w:r>
        <w:t xml:space="preserve"> </w:t>
      </w:r>
      <w:r>
        <w:t xml:space="preserve">column in the</w:t>
      </w:r>
      <w:r>
        <w:t xml:space="preserve"> </w:t>
      </w:r>
      <w:r>
        <w:rPr>
          <w:rStyle w:val="VerbatimChar"/>
        </w:rPr>
        <w:t xml:space="preserve">krm_main</w:t>
      </w:r>
      <w:r>
        <w:t xml:space="preserve"> </w:t>
      </w:r>
      <w:r>
        <w:t xml:space="preserve">sheet.</w:t>
      </w:r>
    </w:p>
    <w:p>
      <w:pPr>
        <w:numPr>
          <w:ilvl w:val="1"/>
          <w:numId w:val="1106"/>
        </w:numPr>
        <w:pStyle w:val="Compact"/>
      </w:pPr>
      <w:r>
        <w:rPr>
          <w:rStyle w:val="VerbatimChar"/>
        </w:rPr>
        <w:t xml:space="preserve">Mapping!$A$2:$B$11</w:t>
      </w:r>
      <w:r>
        <w:t xml:space="preserve"> </w:t>
      </w:r>
      <w:r>
        <w:t xml:space="preserve">refers to the range in the</w:t>
      </w:r>
      <w:r>
        <w:t xml:space="preserve"> </w:t>
      </w:r>
      <w:r>
        <w:t xml:space="preserve">“</w:t>
      </w:r>
      <w:r>
        <w:t xml:space="preserve">Mapping</w:t>
      </w:r>
      <w:r>
        <w:t xml:space="preserve">”</w:t>
      </w:r>
      <w:r>
        <w:t xml:space="preserve"> </w:t>
      </w:r>
      <w:r>
        <w:t xml:space="preserve">sheet that contains the</w:t>
      </w:r>
      <w:r>
        <w:t xml:space="preserve"> </w:t>
      </w:r>
      <w:r>
        <w:rPr>
          <w:rStyle w:val="VerbatimChar"/>
        </w:rPr>
        <w:t xml:space="preserve">kazama_location</w:t>
      </w:r>
      <w:r>
        <w:t xml:space="preserve"> </w:t>
      </w:r>
      <w:r>
        <w:t xml:space="preserve">and</w:t>
      </w:r>
      <w:r>
        <w:t xml:space="preserve"> </w:t>
      </w:r>
      <w:r>
        <w:rPr>
          <w:rStyle w:val="VerbatimChar"/>
        </w:rPr>
        <w:t xml:space="preserve">Kazama</w:t>
      </w:r>
      <w:r>
        <w:t xml:space="preserve"> </w:t>
      </w:r>
      <w:r>
        <w:t xml:space="preserve">values.</w:t>
      </w:r>
    </w:p>
    <w:p>
      <w:pPr>
        <w:numPr>
          <w:ilvl w:val="0"/>
          <w:numId w:val="1102"/>
        </w:numPr>
      </w:pPr>
      <w:r>
        <w:rPr>
          <w:bCs/>
          <w:b/>
        </w:rPr>
        <w:t xml:space="preserve">Join the Data:</w:t>
      </w:r>
    </w:p>
    <w:p>
      <w:pPr>
        <w:numPr>
          <w:ilvl w:val="1"/>
          <w:numId w:val="1107"/>
        </w:numPr>
        <w:pStyle w:val="Compact"/>
      </w:pPr>
      <w:r>
        <w:t xml:space="preserve">Use</w:t>
      </w:r>
      <w:r>
        <w:t xml:space="preserve"> </w:t>
      </w:r>
      <w:r>
        <w:rPr>
          <w:rStyle w:val="VerbatimChar"/>
        </w:rPr>
        <w:t xml:space="preserve">VLOOKUP</w:t>
      </w:r>
      <w:r>
        <w:t xml:space="preserve"> </w:t>
      </w:r>
      <w:r>
        <w:t xml:space="preserve">again to join</w:t>
      </w:r>
      <w:r>
        <w:t xml:space="preserve"> </w:t>
      </w:r>
      <w:r>
        <w:rPr>
          <w:rStyle w:val="VerbatimChar"/>
        </w:rPr>
        <w:t xml:space="preserve">krm_main</w:t>
      </w:r>
      <w:r>
        <w:t xml:space="preserve"> </w:t>
      </w:r>
      <w:r>
        <w:t xml:space="preserve">and</w:t>
      </w:r>
      <w:r>
        <w:t xml:space="preserve"> </w:t>
      </w:r>
      <w:r>
        <w:rPr>
          <w:rStyle w:val="VerbatimChar"/>
        </w:rPr>
        <w:t xml:space="preserve">krm_ndl</w:t>
      </w:r>
      <w:r>
        <w:t xml:space="preserve"> </w:t>
      </w:r>
      <w:r>
        <w:t xml:space="preserve">based on the</w:t>
      </w:r>
      <w:r>
        <w:t xml:space="preserve"> </w:t>
      </w:r>
      <w:r>
        <w:rPr>
          <w:rStyle w:val="VerbatimChar"/>
        </w:rPr>
        <w:t xml:space="preserve">Kazama</w:t>
      </w:r>
      <w:r>
        <w:t xml:space="preserve"> </w:t>
      </w:r>
      <w:r>
        <w:t xml:space="preserve">code.</w:t>
      </w:r>
    </w:p>
    <w:p>
      <w:pPr>
        <w:numPr>
          <w:ilvl w:val="1"/>
          <w:numId w:val="1107"/>
        </w:numPr>
        <w:pStyle w:val="Compact"/>
      </w:pPr>
      <w:r>
        <w:t xml:space="preserve">For example, in the</w:t>
      </w:r>
      <w:r>
        <w:t xml:space="preserve"> </w:t>
      </w:r>
      <w:r>
        <w:rPr>
          <w:rStyle w:val="VerbatimChar"/>
        </w:rPr>
        <w:t xml:space="preserve">krm_main</w:t>
      </w:r>
      <w:r>
        <w:t xml:space="preserve"> </w:t>
      </w:r>
      <w:r>
        <w:t xml:space="preserve">sheet, use this formula to retrieve the</w:t>
      </w:r>
      <w:r>
        <w:t xml:space="preserve"> </w:t>
      </w:r>
      <w:r>
        <w:rPr>
          <w:rStyle w:val="VerbatimChar"/>
        </w:rPr>
        <w:t xml:space="preserve">NDL_url</w:t>
      </w:r>
      <w:r>
        <w:t xml:space="preserve"> </w:t>
      </w:r>
      <w:r>
        <w:t xml:space="preserve">from the</w:t>
      </w:r>
      <w:r>
        <w:t xml:space="preserve"> </w:t>
      </w:r>
      <w:r>
        <w:rPr>
          <w:rStyle w:val="VerbatimChar"/>
        </w:rPr>
        <w:t xml:space="preserve">krm_ndl</w:t>
      </w:r>
      <w:r>
        <w:t xml:space="preserve"> </w:t>
      </w:r>
      <w:r>
        <w:t xml:space="preserve">sheet:</w:t>
      </w:r>
    </w:p>
    <w:p>
      <w:pPr>
        <w:numPr>
          <w:ilvl w:val="0"/>
          <w:numId w:val="1000"/>
        </w:numPr>
        <w:pStyle w:val="SourceCode"/>
      </w:pPr>
      <w:r>
        <w:rPr>
          <w:rStyle w:val="VerbatimChar"/>
        </w:rPr>
        <w:t xml:space="preserve">=VLOOKUP(G2, krm_ndl!$C$2:$E$100, 3, FALSE)</w:t>
      </w:r>
    </w:p>
    <w:p>
      <w:pPr>
        <w:numPr>
          <w:ilvl w:val="1"/>
          <w:numId w:val="1108"/>
        </w:numPr>
        <w:pStyle w:val="Compact"/>
      </w:pPr>
      <w:r>
        <w:rPr>
          <w:rStyle w:val="VerbatimChar"/>
        </w:rPr>
        <w:t xml:space="preserve">G2</w:t>
      </w:r>
      <w:r>
        <w:t xml:space="preserve"> </w:t>
      </w:r>
      <w:r>
        <w:t xml:space="preserve">is the</w:t>
      </w:r>
      <w:r>
        <w:t xml:space="preserve"> </w:t>
      </w:r>
      <w:r>
        <w:t xml:space="preserve">“</w:t>
      </w:r>
      <w:r>
        <w:t xml:space="preserve">Kazama Code</w:t>
      </w:r>
      <w:r>
        <w:t xml:space="preserve">”</w:t>
      </w:r>
      <w:r>
        <w:t xml:space="preserve"> </w:t>
      </w:r>
      <w:r>
        <w:t xml:space="preserve">column in the</w:t>
      </w:r>
      <w:r>
        <w:t xml:space="preserve"> </w:t>
      </w:r>
      <w:r>
        <w:rPr>
          <w:rStyle w:val="VerbatimChar"/>
        </w:rPr>
        <w:t xml:space="preserve">krm_main</w:t>
      </w:r>
      <w:r>
        <w:t xml:space="preserve"> </w:t>
      </w:r>
      <w:r>
        <w:t xml:space="preserve">sheet.</w:t>
      </w:r>
    </w:p>
    <w:p>
      <w:pPr>
        <w:numPr>
          <w:ilvl w:val="1"/>
          <w:numId w:val="1108"/>
        </w:numPr>
        <w:pStyle w:val="Compact"/>
      </w:pPr>
      <w:r>
        <w:rPr>
          <w:rStyle w:val="VerbatimChar"/>
        </w:rPr>
        <w:t xml:space="preserve">krm_ndl!$C$2:$E$100</w:t>
      </w:r>
      <w:r>
        <w:t xml:space="preserve"> </w:t>
      </w:r>
      <w:r>
        <w:t xml:space="preserve">refers to the range in the</w:t>
      </w:r>
      <w:r>
        <w:t xml:space="preserve"> </w:t>
      </w:r>
      <w:r>
        <w:rPr>
          <w:rStyle w:val="VerbatimChar"/>
        </w:rPr>
        <w:t xml:space="preserve">krm_ndl</w:t>
      </w:r>
      <w:r>
        <w:t xml:space="preserve"> </w:t>
      </w:r>
      <w:r>
        <w:t xml:space="preserve">sheet that includes the</w:t>
      </w:r>
      <w:r>
        <w:t xml:space="preserve"> </w:t>
      </w:r>
      <w:r>
        <w:rPr>
          <w:rStyle w:val="VerbatimChar"/>
        </w:rPr>
        <w:t xml:space="preserve">Kazama</w:t>
      </w:r>
      <w:r>
        <w:t xml:space="preserve"> </w:t>
      </w:r>
      <w:r>
        <w:t xml:space="preserve">and</w:t>
      </w:r>
      <w:r>
        <w:t xml:space="preserve"> </w:t>
      </w:r>
      <w:r>
        <w:rPr>
          <w:rStyle w:val="VerbatimChar"/>
        </w:rPr>
        <w:t xml:space="preserve">NDL_url</w:t>
      </w:r>
      <w:r>
        <w:t xml:space="preserve"> </w:t>
      </w:r>
      <w:r>
        <w:t xml:space="preserve">columns.</w:t>
      </w:r>
    </w:p>
    <w:bookmarkEnd w:id="107"/>
    <w:bookmarkStart w:id="108" w:name="Xd872d7f534c95c2b32f2fe9140ef3f88423e9ea"/>
    <w:p>
      <w:pPr>
        <w:pStyle w:val="Heading3"/>
      </w:pPr>
      <w:r>
        <w:rPr>
          <w:rStyle w:val="SectionNumber"/>
        </w:rPr>
        <w:t xml:space="preserve">9.1.3</w:t>
      </w:r>
      <w:r>
        <w:tab/>
      </w:r>
      <w:r>
        <w:t xml:space="preserve">Summary</w:t>
      </w:r>
    </w:p>
    <w:p>
      <w:pPr>
        <w:pStyle w:val="FirstParagraph"/>
      </w:pPr>
      <w:r>
        <w:t xml:space="preserve">With this approach, you can:</w:t>
      </w:r>
    </w:p>
    <w:p>
      <w:pPr>
        <w:numPr>
          <w:ilvl w:val="0"/>
          <w:numId w:val="1109"/>
        </w:numPr>
        <w:pStyle w:val="Compact"/>
      </w:pPr>
      <w:r>
        <w:t xml:space="preserve">Create a mapping table between</w:t>
      </w:r>
      <w:r>
        <w:t xml:space="preserve"> </w:t>
      </w:r>
      <w:r>
        <w:rPr>
          <w:rStyle w:val="VerbatimChar"/>
        </w:rPr>
        <w:t xml:space="preserve">kazama_location</w:t>
      </w:r>
      <w:r>
        <w:t xml:space="preserve"> </w:t>
      </w:r>
      <w:r>
        <w:t xml:space="preserve">and</w:t>
      </w:r>
      <w:r>
        <w:t xml:space="preserve"> </w:t>
      </w:r>
      <w:r>
        <w:rPr>
          <w:rStyle w:val="VerbatimChar"/>
        </w:rPr>
        <w:t xml:space="preserve">Kazama</w:t>
      </w:r>
      <w:r>
        <w:t xml:space="preserve"> </w:t>
      </w:r>
      <w:r>
        <w:t xml:space="preserve">codes.</w:t>
      </w:r>
    </w:p>
    <w:p>
      <w:pPr>
        <w:numPr>
          <w:ilvl w:val="0"/>
          <w:numId w:val="1109"/>
        </w:numPr>
        <w:pStyle w:val="Compact"/>
      </w:pPr>
      <w:r>
        <w:t xml:space="preserve">Use</w:t>
      </w:r>
      <w:r>
        <w:t xml:space="preserve"> </w:t>
      </w:r>
      <w:r>
        <w:rPr>
          <w:rStyle w:val="VerbatimChar"/>
        </w:rPr>
        <w:t xml:space="preserve">VLOOKUP</w:t>
      </w:r>
      <w:r>
        <w:t xml:space="preserve"> </w:t>
      </w:r>
      <w:r>
        <w:t xml:space="preserve">to join</w:t>
      </w:r>
      <w:r>
        <w:t xml:space="preserve"> </w:t>
      </w:r>
      <w:r>
        <w:rPr>
          <w:rStyle w:val="VerbatimChar"/>
        </w:rPr>
        <w:t xml:space="preserve">krm_main</w:t>
      </w:r>
      <w:r>
        <w:t xml:space="preserve"> </w:t>
      </w:r>
      <w:r>
        <w:t xml:space="preserve">and</w:t>
      </w:r>
      <w:r>
        <w:t xml:space="preserve"> </w:t>
      </w:r>
      <w:r>
        <w:rPr>
          <w:rStyle w:val="VerbatimChar"/>
        </w:rPr>
        <w:t xml:space="preserve">krm_ndl</w:t>
      </w:r>
      <w:r>
        <w:t xml:space="preserve"> </w:t>
      </w:r>
      <w:r>
        <w:t xml:space="preserve">based on the</w:t>
      </w:r>
      <w:r>
        <w:t xml:space="preserve"> </w:t>
      </w:r>
      <w:r>
        <w:rPr>
          <w:rStyle w:val="VerbatimChar"/>
        </w:rPr>
        <w:t xml:space="preserve">Kazama</w:t>
      </w:r>
      <w:r>
        <w:t xml:space="preserve"> </w:t>
      </w:r>
      <w:r>
        <w:t xml:space="preserve">code.</w:t>
      </w:r>
    </w:p>
    <w:p>
      <w:pPr>
        <w:pStyle w:val="FirstParagraph"/>
      </w:pPr>
      <w:r>
        <w:t xml:space="preserve">This method allows you to efficiently join the data using the mapping and Excel functions.</w:t>
      </w:r>
    </w:p>
    <w:bookmarkEnd w:id="108"/>
    <w:bookmarkEnd w:id="109"/>
    <w:bookmarkEnd w:id="110"/>
    <w:bookmarkEnd w:id="111"/>
    <w:bookmarkStart w:id="117" w:name="Xb81ca20a33cf1320c363530efaec501eb9f76fd"/>
    <w:bookmarkStart w:id="116" w:name="Xfd6d5ca3ff44e2371e5144d36bab0b08a5a45f9"/>
    <w:p>
      <w:pPr>
        <w:pStyle w:val="Heading1"/>
      </w:pPr>
      <w:r>
        <w:rPr>
          <w:rStyle w:val="SectionNumber"/>
        </w:rPr>
        <w:t xml:space="preserve">10</w:t>
      </w:r>
      <w:r>
        <w:tab/>
      </w:r>
      <w:r>
        <w:t xml:space="preserve">Entry Data Model</w:t>
      </w:r>
    </w:p>
    <w:p>
      <w:pPr>
        <w:pStyle w:val="FirstParagraph"/>
      </w:pPr>
      <w:r>
        <w:t xml:space="preserve">Regarding the Kanchi-in manuscript</w:t>
      </w:r>
      <w:r>
        <w:t xml:space="preserve"> </w:t>
      </w:r>
      <w:r>
        <w:rPr>
          <w:iCs/>
          <w:i/>
        </w:rPr>
        <w:t xml:space="preserve">Ruiju Myōgishō</w:t>
      </w:r>
      <w:r>
        <w:t xml:space="preserve">:</w:t>
      </w:r>
    </w:p>
    <w:p>
      <w:pPr>
        <w:pStyle w:val="BodyText"/>
      </w:pPr>
      <w:r>
        <w:t xml:space="preserve">First, under</w:t>
      </w:r>
      <w:r>
        <w:t xml:space="preserve"> </w:t>
      </w:r>
      <w:r>
        <w:rPr>
          <w:rStyle w:val="VerbatimChar"/>
          <w:bCs/>
          <w:b/>
        </w:rPr>
        <w:t xml:space="preserve">Entry Data Structure</w:t>
      </w:r>
      <w:r>
        <w:t xml:space="preserve">, we present the internal components of an</w:t>
      </w:r>
      <w:r>
        <w:t xml:space="preserve"> </w:t>
      </w:r>
      <w:r>
        <w:rPr>
          <w:rStyle w:val="VerbatimChar"/>
          <w:bCs/>
          <w:b/>
        </w:rPr>
        <w:t xml:space="preserve">Entry</w:t>
      </w:r>
      <w:r>
        <w:t xml:space="preserve"> </w:t>
      </w:r>
      <w:r>
        <w:t xml:space="preserve">(such as</w:t>
      </w:r>
      <w:r>
        <w:t xml:space="preserve"> </w:t>
      </w:r>
      <w:r>
        <w:rPr>
          <w:rStyle w:val="VerbatimChar"/>
          <w:bCs/>
          <w:b/>
        </w:rPr>
        <w:t xml:space="preserve">Headword</w:t>
      </w:r>
      <w:r>
        <w:t xml:space="preserve">,</w:t>
      </w:r>
      <w:r>
        <w:t xml:space="preserve"> </w:t>
      </w:r>
      <w:r>
        <w:rPr>
          <w:rStyle w:val="VerbatimChar"/>
          <w:bCs/>
          <w:b/>
        </w:rPr>
        <w:t xml:space="preserve">Phonetic Gloss</w:t>
      </w:r>
      <w:r>
        <w:t xml:space="preserve">, and</w:t>
      </w:r>
      <w:r>
        <w:t xml:space="preserve"> </w:t>
      </w:r>
      <w:r>
        <w:rPr>
          <w:rStyle w:val="VerbatimChar"/>
          <w:bCs/>
          <w:b/>
        </w:rPr>
        <w:t xml:space="preserve">Japanese Native Reading</w:t>
      </w:r>
      <w:r>
        <w:rPr>
          <w:iCs/>
          <w:i/>
          <w:bCs/>
          <w:b/>
        </w:rPr>
        <w:t xml:space="preserve">(wakun)</w:t>
      </w:r>
      <w:r>
        <w:t xml:space="preserve">) using specific examples (visual representations and transcriptions), and provide an abstracted and visualized diagram of the</w:t>
      </w:r>
      <w:r>
        <w:t xml:space="preserve"> </w:t>
      </w:r>
      <w:r>
        <w:rPr>
          <w:rStyle w:val="VerbatimChar"/>
          <w:bCs/>
          <w:b/>
        </w:rPr>
        <w:t xml:space="preserve">Entry</w:t>
      </w:r>
      <w:r>
        <w:t xml:space="preserve"> </w:t>
      </w:r>
      <w:r>
        <w:t xml:space="preserve">structure.</w:t>
      </w:r>
    </w:p>
    <w:p>
      <w:pPr>
        <w:pStyle w:val="BodyText"/>
      </w:pPr>
      <w:r>
        <w:t xml:space="preserve">Next, under</w:t>
      </w:r>
      <w:r>
        <w:t xml:space="preserve"> </w:t>
      </w:r>
      <w:r>
        <w:rPr>
          <w:rStyle w:val="VerbatimChar"/>
          <w:bCs/>
          <w:b/>
        </w:rPr>
        <w:t xml:space="preserve">Types of Entries</w:t>
      </w:r>
      <w:r>
        <w:t xml:space="preserve">, different kinds, such as basic</w:t>
      </w:r>
      <w:r>
        <w:t xml:space="preserve"> </w:t>
      </w:r>
      <w:r>
        <w:rPr>
          <w:rStyle w:val="VerbatimChar"/>
          <w:bCs/>
          <w:b/>
        </w:rPr>
        <w:t xml:space="preserve">Entries</w:t>
      </w:r>
      <w:r>
        <w:t xml:space="preserve"> </w:t>
      </w:r>
      <w:r>
        <w:t xml:space="preserve">and supplementary</w:t>
      </w:r>
      <w:r>
        <w:t xml:space="preserve"> </w:t>
      </w:r>
      <w:r>
        <w:rPr>
          <w:rStyle w:val="VerbatimChar"/>
          <w:bCs/>
          <w:b/>
        </w:rPr>
        <w:t xml:space="preserve">Entries</w:t>
      </w:r>
      <w:r>
        <w:t xml:space="preserve">, are discussed.</w:t>
      </w:r>
    </w:p>
    <w:p>
      <w:pPr>
        <w:pStyle w:val="BodyText"/>
      </w:pPr>
      <w:r>
        <w:t xml:space="preserve">Furthermore, under</w:t>
      </w:r>
      <w:r>
        <w:t xml:space="preserve"> </w:t>
      </w:r>
      <w:r>
        <w:rPr>
          <w:rStyle w:val="VerbatimChar"/>
          <w:bCs/>
          <w:b/>
        </w:rPr>
        <w:t xml:space="preserve">Concepts Related to Character Notation</w:t>
      </w:r>
      <w:r>
        <w:t xml:space="preserve">,</w:t>
      </w:r>
      <w:r>
        <w:t xml:space="preserve"> </w:t>
      </w:r>
      <w:r>
        <w:rPr>
          <w:rStyle w:val="VerbatimChar"/>
          <w:bCs/>
          <w:b/>
        </w:rPr>
        <w:t xml:space="preserve">script styles</w:t>
      </w:r>
      <w:r>
        <w:t xml:space="preserve"> </w:t>
      </w:r>
      <w:r>
        <w:t xml:space="preserve">(書体,</w:t>
      </w:r>
      <w:r>
        <w:t xml:space="preserve"> </w:t>
      </w:r>
      <w:r>
        <w:rPr>
          <w:iCs/>
          <w:i/>
        </w:rPr>
        <w:t xml:space="preserve">shotai</w:t>
      </w:r>
      <w:r>
        <w:t xml:space="preserve">), the</w:t>
      </w:r>
      <w:r>
        <w:t xml:space="preserve"> </w:t>
      </w:r>
      <w:r>
        <w:rPr>
          <w:rStyle w:val="VerbatimChar"/>
          <w:bCs/>
          <w:b/>
        </w:rPr>
        <w:t xml:space="preserve">standard of writing Chinese characters</w:t>
      </w:r>
      <w:r>
        <w:t xml:space="preserve"> </w:t>
      </w:r>
      <w:r>
        <w:t xml:space="preserve">(字体,</w:t>
      </w:r>
      <w:r>
        <w:t xml:space="preserve"> </w:t>
      </w:r>
      <w:r>
        <w:rPr>
          <w:iCs/>
          <w:i/>
        </w:rPr>
        <w:t xml:space="preserve">jitai</w:t>
      </w:r>
      <w:r>
        <w:t xml:space="preserve">), and the</w:t>
      </w:r>
      <w:r>
        <w:t xml:space="preserve"> </w:t>
      </w:r>
      <w:r>
        <w:rPr>
          <w:rStyle w:val="VerbatimChar"/>
          <w:bCs/>
          <w:b/>
        </w:rPr>
        <w:t xml:space="preserve">shapes of Chinese characters</w:t>
      </w:r>
      <w:r>
        <w:t xml:space="preserve"> </w:t>
      </w:r>
      <w:r>
        <w:t xml:space="preserve">(字形,</w:t>
      </w:r>
      <w:r>
        <w:t xml:space="preserve"> </w:t>
      </w:r>
      <w:r>
        <w:rPr>
          <w:iCs/>
          <w:i/>
        </w:rPr>
        <w:t xml:space="preserve">jikei</w:t>
      </w:r>
      <w:r>
        <w:t xml:space="preserve">), along with</w:t>
      </w:r>
      <w:r>
        <w:t xml:space="preserve"> </w:t>
      </w:r>
      <w:r>
        <w:rPr>
          <w:rStyle w:val="VerbatimChar"/>
          <w:bCs/>
          <w:b/>
        </w:rPr>
        <w:t xml:space="preserve">variant characters</w:t>
      </w:r>
      <w:r>
        <w:t xml:space="preserve"> </w:t>
      </w:r>
      <w:r>
        <w:t xml:space="preserve">(異体字,</w:t>
      </w:r>
      <w:r>
        <w:t xml:space="preserve"> </w:t>
      </w:r>
      <w:r>
        <w:rPr>
          <w:iCs/>
          <w:i/>
        </w:rPr>
        <w:t xml:space="preserve">itaiji</w:t>
      </w:r>
      <w:r>
        <w:t xml:space="preserve">) and graphically similar characters, are explained.</w:t>
      </w:r>
    </w:p>
    <w:p>
      <w:pPr>
        <w:pStyle w:val="BodyText"/>
      </w:pPr>
      <w:r>
        <w:t xml:space="preserve">Finally, we cover the</w:t>
      </w:r>
      <w:r>
        <w:t xml:space="preserve"> </w:t>
      </w:r>
      <w:r>
        <w:rPr>
          <w:rStyle w:val="VerbatimChar"/>
          <w:bCs/>
          <w:b/>
        </w:rPr>
        <w:t xml:space="preserve">Entry Data Files</w:t>
      </w:r>
      <w:r>
        <w:t xml:space="preserve">, including their content, specific examples, and the methods used for publication and updates via GitHub.</w:t>
      </w:r>
    </w:p>
    <w:p>
      <w:pPr>
        <w:numPr>
          <w:ilvl w:val="0"/>
          <w:numId w:val="1110"/>
        </w:numPr>
        <w:pStyle w:val="Compact"/>
      </w:pPr>
      <w:hyperlink r:id="rId112">
        <w:r>
          <w:rPr>
            <w:rStyle w:val="Hyperlink"/>
          </w:rPr>
          <w:t xml:space="preserve">Entry Data Structure</w:t>
        </w:r>
      </w:hyperlink>
    </w:p>
    <w:p>
      <w:pPr>
        <w:numPr>
          <w:ilvl w:val="0"/>
          <w:numId w:val="1110"/>
        </w:numPr>
        <w:pStyle w:val="Compact"/>
      </w:pPr>
      <w:hyperlink r:id="rId113">
        <w:r>
          <w:rPr>
            <w:rStyle w:val="Hyperlink"/>
          </w:rPr>
          <w:t xml:space="preserve">Types of Entries</w:t>
        </w:r>
      </w:hyperlink>
    </w:p>
    <w:p>
      <w:pPr>
        <w:numPr>
          <w:ilvl w:val="0"/>
          <w:numId w:val="1110"/>
        </w:numPr>
        <w:pStyle w:val="Compact"/>
      </w:pPr>
      <w:hyperlink r:id="rId114">
        <w:r>
          <w:rPr>
            <w:rStyle w:val="Hyperlink"/>
          </w:rPr>
          <w:t xml:space="preserve">Concepts Related to Character Notation</w:t>
        </w:r>
      </w:hyperlink>
    </w:p>
    <w:p>
      <w:pPr>
        <w:numPr>
          <w:ilvl w:val="0"/>
          <w:numId w:val="1110"/>
        </w:numPr>
        <w:pStyle w:val="Compact"/>
      </w:pPr>
      <w:hyperlink r:id="rId115">
        <w:r>
          <w:rPr>
            <w:rStyle w:val="Hyperlink"/>
          </w:rPr>
          <w:t xml:space="preserve">Publication and Updates of Entry Data Files</w:t>
        </w:r>
      </w:hyperlink>
    </w:p>
    <w:bookmarkEnd w:id="116"/>
    <w:bookmarkEnd w:id="117"/>
    <w:bookmarkStart w:id="126" w:name="X1d9c619eb4d4a9ec176c906685faaf910fef1fc"/>
    <w:bookmarkStart w:id="125" w:name="Xca2be012e1bc27aa62d7e71836b0e3e88808591"/>
    <w:p>
      <w:pPr>
        <w:pStyle w:val="Heading1"/>
      </w:pPr>
      <w:r>
        <w:rPr>
          <w:rStyle w:val="SectionNumber"/>
        </w:rPr>
        <w:t xml:space="preserve">11</w:t>
      </w:r>
      <w:r>
        <w:tab/>
      </w:r>
      <w:r>
        <w:t xml:space="preserve">Entry Data Structure</w:t>
      </w:r>
    </w:p>
    <w:p>
      <w:pPr>
        <w:pStyle w:val="FirstParagraph"/>
      </w:pPr>
      <w:r>
        <w:t xml:space="preserve">This section explains the structure and format of</w:t>
      </w:r>
      <w:r>
        <w:t xml:space="preserve"> </w:t>
      </w:r>
      <w:r>
        <w:rPr>
          <w:rStyle w:val="VerbatimChar"/>
          <w:bCs/>
          <w:b/>
        </w:rPr>
        <w:t xml:space="preserve">Entries</w:t>
      </w:r>
      <w:r>
        <w:t xml:space="preserve"> </w:t>
      </w:r>
      <w:r>
        <w:t xml:space="preserve">in the Kanchi-in manuscript of the</w:t>
      </w:r>
      <w:r>
        <w:t xml:space="preserve"> </w:t>
      </w:r>
      <w:r>
        <w:rPr>
          <w:iCs/>
          <w:i/>
        </w:rPr>
        <w:t xml:space="preserve">Ruiju Myōgishō</w:t>
      </w:r>
      <w:r>
        <w:t xml:space="preserve"> </w:t>
      </w:r>
      <w:r>
        <w:t xml:space="preserve">(hereinafter</w:t>
      </w:r>
      <w:r>
        <w:t xml:space="preserve"> </w:t>
      </w:r>
      <w:r>
        <w:rPr>
          <w:iCs/>
          <w:i/>
        </w:rPr>
        <w:t xml:space="preserve">Myōgishō</w:t>
      </w:r>
      <w:r>
        <w:t xml:space="preserve">).</w:t>
      </w:r>
    </w:p>
    <w:p>
      <w:pPr>
        <w:pStyle w:val="BodyText"/>
      </w:pPr>
      <w:r>
        <w:t xml:space="preserve">It begins by defining key terms (and related concepts) such as</w:t>
      </w:r>
      <w:r>
        <w:t xml:space="preserve"> </w:t>
      </w:r>
      <w:r>
        <w:rPr>
          <w:rStyle w:val="VerbatimChar"/>
          <w:bCs/>
          <w:b/>
        </w:rPr>
        <w:t xml:space="preserve">Headword</w:t>
      </w:r>
      <w:r>
        <w:t xml:space="preserve"> </w:t>
      </w:r>
      <w:r>
        <w:t xml:space="preserve">(掲出字,</w:t>
      </w:r>
      <w:r>
        <w:t xml:space="preserve"> </w:t>
      </w:r>
      <w:r>
        <w:rPr>
          <w:iCs/>
          <w:i/>
        </w:rPr>
        <w:t xml:space="preserve">keishutsuji</w:t>
      </w:r>
      <w:r>
        <w:t xml:space="preserve">) and</w:t>
      </w:r>
      <w:r>
        <w:t xml:space="preserve"> </w:t>
      </w:r>
      <w:r>
        <w:rPr>
          <w:rStyle w:val="VerbatimChar"/>
          <w:bCs/>
          <w:b/>
        </w:rPr>
        <w:t xml:space="preserve">Original Glosses</w:t>
      </w:r>
      <w:r>
        <w:t xml:space="preserve"> </w:t>
      </w:r>
      <w:r>
        <w:t xml:space="preserve">(注文,</w:t>
      </w:r>
      <w:r>
        <w:t xml:space="preserve"> </w:t>
      </w:r>
      <w:r>
        <w:rPr>
          <w:iCs/>
          <w:i/>
        </w:rPr>
        <w:t xml:space="preserve">chūmon</w:t>
      </w:r>
      <w:r>
        <w:t xml:space="preserve">). Next, an example of an actual</w:t>
      </w:r>
      <w:r>
        <w:t xml:space="preserve"> </w:t>
      </w:r>
      <w:r>
        <w:rPr>
          <w:rStyle w:val="VerbatimChar"/>
          <w:bCs/>
          <w:b/>
        </w:rPr>
        <w:t xml:space="preserve">Entry</w:t>
      </w:r>
      <w:r>
        <w:t xml:space="preserve"> </w:t>
      </w:r>
      <w:r>
        <w:t xml:space="preserve">is presented as an image (a facsimile). The structure of this</w:t>
      </w:r>
      <w:r>
        <w:t xml:space="preserve"> </w:t>
      </w:r>
      <w:r>
        <w:rPr>
          <w:rStyle w:val="VerbatimChar"/>
          <w:bCs/>
          <w:b/>
        </w:rPr>
        <w:t xml:space="preserve">Entry</w:t>
      </w:r>
      <w:r>
        <w:t xml:space="preserve"> </w:t>
      </w:r>
      <w:r>
        <w:t xml:space="preserve">is then illustrated in an abstract and diagrammatic form. Finally, a transcription of the</w:t>
      </w:r>
      <w:r>
        <w:t xml:space="preserve"> </w:t>
      </w:r>
      <w:r>
        <w:rPr>
          <w:rStyle w:val="VerbatimChar"/>
          <w:bCs/>
          <w:b/>
        </w:rPr>
        <w:t xml:space="preserve">Entry</w:t>
      </w:r>
      <w:r>
        <w:t xml:space="preserve"> </w:t>
      </w:r>
      <w:r>
        <w:t xml:space="preserve">shown in the image is provided.</w:t>
      </w:r>
    </w:p>
    <w:p>
      <w:pPr>
        <w:pStyle w:val="BodyText"/>
      </w:pPr>
      <w:r>
        <w:t xml:space="preserve">(Regarding the Japanese reading of</w:t>
      </w:r>
      <w:r>
        <w:t xml:space="preserve"> </w:t>
      </w:r>
      <w:r>
        <w:t xml:space="preserve">“</w:t>
      </w:r>
      <w:r>
        <w:t xml:space="preserve">注文,</w:t>
      </w:r>
      <w:r>
        <w:t xml:space="preserve">”</w:t>
      </w:r>
      <w:r>
        <w:t xml:space="preserve"> </w:t>
      </w:r>
      <w:r>
        <w:t xml:space="preserve">although we have adopted</w:t>
      </w:r>
      <w:r>
        <w:t xml:space="preserve"> </w:t>
      </w:r>
      <w:r>
        <w:t xml:space="preserve">“</w:t>
      </w:r>
      <w:r>
        <w:rPr>
          <w:iCs/>
          <w:i/>
        </w:rPr>
        <w:t xml:space="preserve">chūmon</w:t>
      </w:r>
      <w:r>
        <w:t xml:space="preserve">,</w:t>
      </w:r>
      <w:r>
        <w:t xml:space="preserve">”</w:t>
      </w:r>
      <w:r>
        <w:t xml:space="preserve"> </w:t>
      </w:r>
      <w:r>
        <w:t xml:space="preserve">it may also be read as</w:t>
      </w:r>
      <w:r>
        <w:t xml:space="preserve"> </w:t>
      </w:r>
      <w:r>
        <w:t xml:space="preserve">“</w:t>
      </w:r>
      <w:r>
        <w:rPr>
          <w:iCs/>
          <w:i/>
        </w:rPr>
        <w:t xml:space="preserve">chūbun</w:t>
      </w:r>
      <w:r>
        <w:t xml:space="preserve">”</w:t>
      </w:r>
      <w:r>
        <w:t xml:space="preserve"> </w:t>
      </w:r>
      <w:r>
        <w:t xml:space="preserve">to explicitly indicate that it refers to annotations on characters or words.)</w:t>
      </w:r>
    </w:p>
    <w:bookmarkStart w:id="124" w:name="X457fbc8d90c506c6ff5f64257ecf69a017f91af"/>
    <w:p>
      <w:pPr>
        <w:pStyle w:val="Heading2"/>
      </w:pPr>
      <w:r>
        <w:rPr>
          <w:rStyle w:val="SectionNumber"/>
        </w:rPr>
        <w:t xml:space="preserve">11.1</w:t>
      </w:r>
      <w:r>
        <w:tab/>
      </w:r>
      <w:r>
        <w:t xml:space="preserve">Structure of Entries</w:t>
      </w:r>
    </w:p>
    <w:bookmarkStart w:id="119" w:name="X654f7a0b37b66c77d34aefb2d4f85a09911ca41"/>
    <w:p>
      <w:pPr>
        <w:pStyle w:val="Heading3"/>
      </w:pPr>
      <w:r>
        <w:rPr>
          <w:rStyle w:val="SectionNumber"/>
        </w:rPr>
        <w:t xml:space="preserve">11.1.1</w:t>
      </w:r>
      <w:r>
        <w:tab/>
      </w:r>
      <w:r>
        <w:t xml:space="preserve">Explanation of Terms</w:t>
      </w:r>
    </w:p>
    <w:p>
      <w:pPr>
        <w:pStyle w:val="FirstParagraph"/>
      </w:pPr>
      <w:r>
        <w:t xml:space="preserve">The following explains the terms used to describe the constituent elements of</w:t>
      </w:r>
      <w:r>
        <w:t xml:space="preserve"> </w:t>
      </w:r>
      <w:r>
        <w:rPr>
          <w:rStyle w:val="VerbatimChar"/>
          <w:bCs/>
          <w:b/>
        </w:rPr>
        <w:t xml:space="preserve">Entries</w:t>
      </w:r>
      <w:r>
        <w:t xml:space="preserve"> </w:t>
      </w:r>
      <w:r>
        <w:t xml:space="preserve">in the</w:t>
      </w:r>
      <w:r>
        <w:t xml:space="preserve"> </w:t>
      </w:r>
      <w:r>
        <w:rPr>
          <w:iCs/>
          <w:i/>
        </w:rPr>
        <w:t xml:space="preserve">Myōgishō</w:t>
      </w:r>
      <w:r>
        <w:t xml:space="preserve">.</w:t>
      </w:r>
    </w:p>
    <w:p>
      <w:pPr>
        <w:pStyle w:val="BodyText"/>
      </w:pPr>
      <w:r>
        <w:t xml:space="preserve">(The English terminology presented in this section is defined from a philological viewpoint and may therefore occasionally vary from data column names or terms used in other sections of this documentation.)</w:t>
      </w:r>
    </w:p>
    <w:p>
      <w:pPr>
        <w:pStyle w:val="BodyText"/>
      </w:pPr>
      <w:r>
        <w:t xml:space="preserve">An</w:t>
      </w:r>
      <w:r>
        <w:t xml:space="preserve"> </w:t>
      </w:r>
      <w:r>
        <w:rPr>
          <w:rStyle w:val="VerbatimChar"/>
          <w:bCs/>
          <w:b/>
        </w:rPr>
        <w:t xml:space="preserve">Entry</w:t>
      </w:r>
      <w:r>
        <w:t xml:space="preserve"> </w:t>
      </w:r>
      <w:r>
        <w:t xml:space="preserve">consists of a</w:t>
      </w:r>
      <w:r>
        <w:t xml:space="preserve"> </w:t>
      </w:r>
      <w:r>
        <w:rPr>
          <w:rStyle w:val="VerbatimChar"/>
          <w:bCs/>
          <w:b/>
        </w:rPr>
        <w:t xml:space="preserve">Headword</w:t>
      </w:r>
      <w:r>
        <w:t xml:space="preserve"> </w:t>
      </w:r>
      <w:r>
        <w:t xml:space="preserve">and</w:t>
      </w:r>
      <w:r>
        <w:t xml:space="preserve"> </w:t>
      </w:r>
      <w:r>
        <w:rPr>
          <w:rStyle w:val="VerbatimChar"/>
          <w:bCs/>
          <w:b/>
        </w:rPr>
        <w:t xml:space="preserve">Original Glosses</w:t>
      </w:r>
      <w:r>
        <w:t xml:space="preserve">.</w:t>
      </w:r>
    </w:p>
    <w:p>
      <w:pPr>
        <w:pStyle w:val="BodyText"/>
      </w:pPr>
      <w:r>
        <w:t xml:space="preserve">A</w:t>
      </w:r>
      <w:r>
        <w:t xml:space="preserve"> </w:t>
      </w:r>
      <w:r>
        <w:rPr>
          <w:rStyle w:val="VerbatimChar"/>
          <w:bCs/>
          <w:b/>
        </w:rPr>
        <w:t xml:space="preserve">Headword</w:t>
      </w:r>
      <w:r>
        <w:t xml:space="preserve"> </w:t>
      </w:r>
      <w:r>
        <w:t xml:space="preserve">(掲出字) is also referred to as</w:t>
      </w:r>
      <w:r>
        <w:t xml:space="preserve"> </w:t>
      </w:r>
      <w:r>
        <w:rPr>
          <w:iCs/>
          <w:i/>
        </w:rPr>
        <w:t xml:space="preserve">midashi</w:t>
      </w:r>
      <w:r>
        <w:t xml:space="preserve">,</w:t>
      </w:r>
      <w:r>
        <w:t xml:space="preserve"> </w:t>
      </w:r>
      <w:r>
        <w:rPr>
          <w:iCs/>
          <w:i/>
        </w:rPr>
        <w:t xml:space="preserve">midashiji</w:t>
      </w:r>
      <w:r>
        <w:t xml:space="preserve">,</w:t>
      </w:r>
      <w:r>
        <w:t xml:space="preserve"> </w:t>
      </w:r>
      <w:r>
        <w:rPr>
          <w:iCs/>
          <w:i/>
        </w:rPr>
        <w:t xml:space="preserve">hyōji</w:t>
      </w:r>
      <w:r>
        <w:t xml:space="preserve">, or</w:t>
      </w:r>
      <w:r>
        <w:t xml:space="preserve"> </w:t>
      </w:r>
      <w:r>
        <w:rPr>
          <w:iCs/>
          <w:i/>
        </w:rPr>
        <w:t xml:space="preserve">hyōshutsushi</w:t>
      </w:r>
      <w:r>
        <w:t xml:space="preserve">. In Chinese, it is called</w:t>
      </w:r>
      <w:r>
        <w:t xml:space="preserve"> </w:t>
      </w:r>
      <w:r>
        <w:rPr>
          <w:iCs/>
          <w:i/>
        </w:rPr>
        <w:t xml:space="preserve">zìtóu</w:t>
      </w:r>
      <w:r>
        <w:t xml:space="preserve"> </w:t>
      </w:r>
      <w:r>
        <w:t xml:space="preserve">(字頭).</w:t>
      </w:r>
    </w:p>
    <w:p>
      <w:pPr>
        <w:pStyle w:val="BodyText"/>
      </w:pPr>
      <w:r>
        <w:rPr>
          <w:rStyle w:val="VerbatimChar"/>
          <w:bCs/>
          <w:b/>
        </w:rPr>
        <w:t xml:space="preserve">Original Glosses</w:t>
      </w:r>
      <w:r>
        <w:t xml:space="preserve"> </w:t>
      </w:r>
      <w:r>
        <w:t xml:space="preserve">consist of the following components:</w:t>
      </w:r>
      <w:r>
        <w:t xml:space="preserve"> </w:t>
      </w:r>
      <w:r>
        <w:rPr>
          <w:rStyle w:val="VerbatimChar"/>
          <w:bCs/>
          <w:b/>
        </w:rPr>
        <w:t xml:space="preserve">Phonetic Gloss</w:t>
      </w:r>
      <w:r>
        <w:t xml:space="preserve"> </w:t>
      </w:r>
      <w:r>
        <w:t xml:space="preserve">(音注,</w:t>
      </w:r>
      <w:r>
        <w:t xml:space="preserve"> </w:t>
      </w:r>
      <w:r>
        <w:rPr>
          <w:iCs/>
          <w:i/>
        </w:rPr>
        <w:t xml:space="preserve">onchū</w:t>
      </w:r>
      <w:r>
        <w:t xml:space="preserve">),</w:t>
      </w:r>
      <w:r>
        <w:t xml:space="preserve"> </w:t>
      </w:r>
      <w:r>
        <w:rPr>
          <w:rStyle w:val="VerbatimChar"/>
          <w:bCs/>
          <w:b/>
        </w:rPr>
        <w:t xml:space="preserve">Semantic Gloss in Chinese</w:t>
      </w:r>
      <w:r>
        <w:t xml:space="preserve"> </w:t>
      </w:r>
      <w:r>
        <w:t xml:space="preserve">(漢文義注,</w:t>
      </w:r>
      <w:r>
        <w:t xml:space="preserve"> </w:t>
      </w:r>
      <w:r>
        <w:rPr>
          <w:iCs/>
          <w:i/>
        </w:rPr>
        <w:t xml:space="preserve">kanbun gichū</w:t>
      </w:r>
      <w:r>
        <w:t xml:space="preserve">),</w:t>
      </w:r>
      <w:r>
        <w:t xml:space="preserve"> </w:t>
      </w:r>
      <w:r>
        <w:rPr>
          <w:rStyle w:val="VerbatimChar"/>
          <w:bCs/>
          <w:b/>
        </w:rPr>
        <w:t xml:space="preserve">Japanese Native Reading (*wakun*)</w:t>
      </w:r>
      <w:r>
        <w:t xml:space="preserve"> </w:t>
      </w:r>
      <w:r>
        <w:t xml:space="preserve">(和訓,</w:t>
      </w:r>
      <w:r>
        <w:t xml:space="preserve"> </w:t>
      </w:r>
      <w:r>
        <w:rPr>
          <w:iCs/>
          <w:i/>
        </w:rPr>
        <w:t xml:space="preserve">wakun</w:t>
      </w:r>
      <w:r>
        <w:t xml:space="preserve">),</w:t>
      </w:r>
      <w:r>
        <w:t xml:space="preserve"> </w:t>
      </w:r>
      <w:r>
        <w:rPr>
          <w:rStyle w:val="VerbatimChar"/>
          <w:bCs/>
          <w:b/>
        </w:rPr>
        <w:t xml:space="preserve">Notes on Character Form</w:t>
      </w:r>
      <w:r>
        <w:t xml:space="preserve"> </w:t>
      </w:r>
      <w:r>
        <w:t xml:space="preserve">(字体注,</w:t>
      </w:r>
      <w:r>
        <w:t xml:space="preserve"> </w:t>
      </w:r>
      <w:r>
        <w:rPr>
          <w:iCs/>
          <w:i/>
        </w:rPr>
        <w:t xml:space="preserve">jitaichū</w:t>
      </w:r>
      <w:r>
        <w:t xml:space="preserve">), and</w:t>
      </w:r>
      <w:r>
        <w:t xml:space="preserve"> </w:t>
      </w:r>
      <w:r>
        <w:rPr>
          <w:rStyle w:val="VerbatimChar"/>
          <w:bCs/>
          <w:b/>
        </w:rPr>
        <w:t xml:space="preserve">Other</w:t>
      </w:r>
      <w:r>
        <w:t xml:space="preserve">.</w:t>
      </w:r>
    </w:p>
    <w:p>
      <w:pPr>
        <w:pStyle w:val="BodyText"/>
      </w:pPr>
      <w:r>
        <w:t xml:space="preserve">A</w:t>
      </w:r>
      <w:r>
        <w:t xml:space="preserve"> </w:t>
      </w:r>
      <w:r>
        <w:rPr>
          <w:rStyle w:val="VerbatimChar"/>
          <w:bCs/>
          <w:b/>
        </w:rPr>
        <w:t xml:space="preserve">Phonetic Gloss</w:t>
      </w:r>
      <w:r>
        <w:t xml:space="preserve"> </w:t>
      </w:r>
      <w:r>
        <w:t xml:space="preserve">is provided through methods such as</w:t>
      </w:r>
      <w:r>
        <w:t xml:space="preserve"> </w:t>
      </w:r>
      <w:r>
        <w:rPr>
          <w:rStyle w:val="VerbatimChar"/>
          <w:bCs/>
          <w:b/>
        </w:rPr>
        <w:t xml:space="preserve">fanqie</w:t>
      </w:r>
      <w:r>
        <w:rPr>
          <w:bCs/>
          <w:b/>
        </w:rPr>
        <w:t xml:space="preserve"> </w:t>
      </w:r>
      <w:r>
        <w:rPr>
          <w:bCs/>
          <w:b/>
        </w:rPr>
        <w:t xml:space="preserve">spellings</w:t>
      </w:r>
      <w:r>
        <w:t xml:space="preserve"> </w:t>
      </w:r>
      <w:r>
        <w:t xml:space="preserve">(反切),</w:t>
      </w:r>
      <w:r>
        <w:t xml:space="preserve"> </w:t>
      </w:r>
      <w:r>
        <w:rPr>
          <w:rStyle w:val="VerbatimChar"/>
          <w:bCs/>
          <w:b/>
        </w:rPr>
        <w:t xml:space="preserve">Similar sound notes</w:t>
      </w:r>
      <w:r>
        <w:t xml:space="preserve"> </w:t>
      </w:r>
      <w:r>
        <w:t xml:space="preserve">(類音注,</w:t>
      </w:r>
      <w:r>
        <w:t xml:space="preserve"> </w:t>
      </w:r>
      <w:r>
        <w:rPr>
          <w:iCs/>
          <w:i/>
        </w:rPr>
        <w:t xml:space="preserve">ruion-chū</w:t>
      </w:r>
      <w:r>
        <w:t xml:space="preserve">),</w:t>
      </w:r>
      <w:r>
        <w:t xml:space="preserve"> </w:t>
      </w:r>
      <w:r>
        <w:rPr>
          <w:rStyle w:val="VerbatimChar"/>
          <w:bCs/>
          <w:b/>
        </w:rPr>
        <w:t xml:space="preserve">Kana glosses</w:t>
      </w:r>
      <w:r>
        <w:t xml:space="preserve"> </w:t>
      </w:r>
      <w:r>
        <w:t xml:space="preserve">(仮名音注,</w:t>
      </w:r>
      <w:r>
        <w:t xml:space="preserve"> </w:t>
      </w:r>
      <w:r>
        <w:rPr>
          <w:iCs/>
          <w:i/>
        </w:rPr>
        <w:t xml:space="preserve">kana-onchū</w:t>
      </w:r>
      <w:r>
        <w:t xml:space="preserve">),</w:t>
      </w:r>
      <w:r>
        <w:t xml:space="preserve"> </w:t>
      </w:r>
      <w:r>
        <w:rPr>
          <w:rStyle w:val="VerbatimChar"/>
          <w:bCs/>
          <w:b/>
        </w:rPr>
        <w:t xml:space="preserve">Tone marks (*shōten*)</w:t>
      </w:r>
      <w:r>
        <w:t xml:space="preserve"> </w:t>
      </w:r>
      <w:r>
        <w:t xml:space="preserve">(声点), and other notations.</w:t>
      </w:r>
    </w:p>
    <w:p>
      <w:pPr>
        <w:pStyle w:val="BodyText"/>
      </w:pPr>
      <w:r>
        <w:t xml:space="preserve">A</w:t>
      </w:r>
      <w:r>
        <w:t xml:space="preserve"> </w:t>
      </w:r>
      <w:r>
        <w:rPr>
          <w:rStyle w:val="VerbatimChar"/>
          <w:bCs/>
          <w:b/>
        </w:rPr>
        <w:t xml:space="preserve">Semantic Gloss in Chinese</w:t>
      </w:r>
      <w:r>
        <w:t xml:space="preserve"> </w:t>
      </w:r>
      <w:r>
        <w:t xml:space="preserve">is also sometimes referred to as</w:t>
      </w:r>
      <w:r>
        <w:t xml:space="preserve"> </w:t>
      </w:r>
      <w:r>
        <w:rPr>
          <w:iCs/>
          <w:i/>
        </w:rPr>
        <w:t xml:space="preserve">gichū</w:t>
      </w:r>
      <w:r>
        <w:t xml:space="preserve"> </w:t>
      </w:r>
      <w:r>
        <w:t xml:space="preserve">(義注, semantic gloss) or</w:t>
      </w:r>
      <w:r>
        <w:t xml:space="preserve"> </w:t>
      </w:r>
      <w:r>
        <w:rPr>
          <w:iCs/>
          <w:i/>
        </w:rPr>
        <w:t xml:space="preserve">kanbun imichū</w:t>
      </w:r>
      <w:r>
        <w:t xml:space="preserve"> </w:t>
      </w:r>
      <w:r>
        <w:t xml:space="preserve">(漢文意味注, semantic gloss in Chinese). Unless it causes misunderstanding, it is often simply referred to as</w:t>
      </w:r>
      <w:r>
        <w:t xml:space="preserve"> </w:t>
      </w:r>
      <w:r>
        <w:rPr>
          <w:rStyle w:val="VerbatimChar"/>
          <w:bCs/>
          <w:b/>
        </w:rPr>
        <w:t xml:space="preserve">Semantic Gloss</w:t>
      </w:r>
      <w:r>
        <w:t xml:space="preserve"> </w:t>
      </w:r>
      <w:r>
        <w:t xml:space="preserve">(義注).</w:t>
      </w:r>
    </w:p>
    <w:p>
      <w:pPr>
        <w:pStyle w:val="BodyText"/>
      </w:pPr>
      <w:r>
        <w:t xml:space="preserve">A</w:t>
      </w:r>
      <w:r>
        <w:t xml:space="preserve"> </w:t>
      </w:r>
      <w:r>
        <w:rPr>
          <w:rStyle w:val="VerbatimChar"/>
          <w:bCs/>
          <w:b/>
        </w:rPr>
        <w:t xml:space="preserve">Japanese Native Reading (*wakun*)</w:t>
      </w:r>
      <w:r>
        <w:t xml:space="preserve"> </w:t>
      </w:r>
      <w:r>
        <w:t xml:space="preserve">refers to</w:t>
      </w:r>
      <w:r>
        <w:t xml:space="preserve"> </w:t>
      </w:r>
      <w:r>
        <w:rPr>
          <w:iCs/>
          <w:i/>
        </w:rPr>
        <w:t xml:space="preserve">kun’yomi</w:t>
      </w:r>
      <w:r>
        <w:t xml:space="preserve"> </w:t>
      </w:r>
      <w:r>
        <w:t xml:space="preserve">(native Japanese readings of Chinese characters) and is also sometimes called</w:t>
      </w:r>
      <w:r>
        <w:t xml:space="preserve"> </w:t>
      </w:r>
      <w:r>
        <w:rPr>
          <w:iCs/>
          <w:i/>
        </w:rPr>
        <w:t xml:space="preserve">wakunchū</w:t>
      </w:r>
      <w:r>
        <w:t xml:space="preserve"> </w:t>
      </w:r>
      <w:r>
        <w:t xml:space="preserve">(Japanese native reading glosses). It is generally written in Katakana. For example,</w:t>
      </w:r>
      <w:r>
        <w:t xml:space="preserve"> </w:t>
      </w:r>
      <w:r>
        <w:t xml:space="preserve">‘</w:t>
      </w:r>
      <w:r>
        <w:t xml:space="preserve">mono</w:t>
      </w:r>
      <w:r>
        <w:t xml:space="preserve">’</w:t>
      </w:r>
      <w:r>
        <w:t xml:space="preserve"> </w:t>
      </w:r>
      <w:r>
        <w:t xml:space="preserve">may be written with the abbreviated character</w:t>
      </w:r>
      <w:r>
        <w:t xml:space="preserve"> </w:t>
      </w:r>
      <w:r>
        <w:t xml:space="preserve">‘</w:t>
      </w:r>
      <w:r>
        <w:t xml:space="preserve">牜</w:t>
      </w:r>
      <w:r>
        <w:t xml:space="preserve">’</w:t>
      </w:r>
      <w:r>
        <w:t xml:space="preserve"> </w:t>
      </w:r>
      <w:r>
        <w:t xml:space="preserve">(a variant of 物), and</w:t>
      </w:r>
      <w:r>
        <w:t xml:space="preserve"> </w:t>
      </w:r>
      <w:r>
        <w:t xml:space="preserve">‘</w:t>
      </w:r>
      <w:r>
        <w:t xml:space="preserve">koto</w:t>
      </w:r>
      <w:r>
        <w:t xml:space="preserve">’</w:t>
      </w:r>
      <w:r>
        <w:t xml:space="preserve"> </w:t>
      </w:r>
      <w:r>
        <w:t xml:space="preserve">may use the ligature</w:t>
      </w:r>
      <w:r>
        <w:t xml:space="preserve"> </w:t>
      </w:r>
      <w:r>
        <w:t xml:space="preserve">‘</w:t>
      </w:r>
      <w:r>
        <w:t xml:space="preserve">ヿ</w:t>
      </w:r>
      <w:r>
        <w:t xml:space="preserve">’</w:t>
      </w:r>
      <w:r>
        <w:t xml:space="preserve">. There is one instance where</w:t>
      </w:r>
      <w:r>
        <w:t xml:space="preserve"> </w:t>
      </w:r>
      <w:r>
        <w:rPr>
          <w:iCs/>
          <w:i/>
        </w:rPr>
        <w:t xml:space="preserve">Man’yōgana</w:t>
      </w:r>
      <w:r>
        <w:t xml:space="preserve"> </w:t>
      </w:r>
      <w:r>
        <w:t xml:space="preserve">is used (e.g.,</w:t>
      </w:r>
      <w:r>
        <w:t xml:space="preserve"> </w:t>
      </w:r>
      <w:r>
        <w:t xml:space="preserve">‘</w:t>
      </w:r>
      <w:r>
        <w:t xml:space="preserve">度久佐</w:t>
      </w:r>
      <w:r>
        <w:t xml:space="preserve">’</w:t>
      </w:r>
      <w:r>
        <w:t xml:space="preserve"> </w:t>
      </w:r>
      <w:r>
        <w:t xml:space="preserve">for</w:t>
      </w:r>
      <w:r>
        <w:t xml:space="preserve"> </w:t>
      </w:r>
      <w:r>
        <w:t xml:space="preserve">‘</w:t>
      </w:r>
      <w:r>
        <w:t xml:space="preserve">木賊</w:t>
      </w:r>
      <w:r>
        <w:t xml:space="preserve">’</w:t>
      </w:r>
      <w:r>
        <w:t xml:space="preserve">).</w:t>
      </w:r>
    </w:p>
    <w:p>
      <w:pPr>
        <w:pStyle w:val="BodyText"/>
      </w:pPr>
      <w:r>
        <w:rPr>
          <w:rStyle w:val="VerbatimChar"/>
          <w:bCs/>
          <w:b/>
        </w:rPr>
        <w:t xml:space="preserve">Notes on Character Form</w:t>
      </w:r>
      <w:r>
        <w:t xml:space="preserve"> </w:t>
      </w:r>
      <w:r>
        <w:t xml:space="preserve">are indicated using terms describing character-form norms, such as</w:t>
      </w:r>
      <w:r>
        <w:t xml:space="preserve"> </w:t>
      </w:r>
      <w:r>
        <w:t xml:space="preserve">‘</w:t>
      </w:r>
      <w:r>
        <w:t xml:space="preserve">正</w:t>
      </w:r>
      <w:r>
        <w:t xml:space="preserve">’</w:t>
      </w:r>
      <w:r>
        <w:t xml:space="preserve"> </w:t>
      </w:r>
      <w:r>
        <w:t xml:space="preserve">(standard) or</w:t>
      </w:r>
      <w:r>
        <w:t xml:space="preserve"> </w:t>
      </w:r>
      <w:r>
        <w:t xml:space="preserve">‘</w:t>
      </w:r>
      <w:r>
        <w:t xml:space="preserve">俗</w:t>
      </w:r>
      <w:r>
        <w:t xml:space="preserve">’</w:t>
      </w:r>
      <w:r>
        <w:t xml:space="preserve"> </w:t>
      </w:r>
      <w:r>
        <w:t xml:space="preserve">(popular).</w:t>
      </w:r>
    </w:p>
    <w:p>
      <w:pPr>
        <w:pStyle w:val="BodyText"/>
      </w:pPr>
      <w:r>
        <w:t xml:space="preserve">There are instances of</w:t>
      </w:r>
      <w:r>
        <w:t xml:space="preserve"> </w:t>
      </w:r>
      <w:r>
        <w:rPr>
          <w:rStyle w:val="VerbatimChar"/>
          <w:bCs/>
          <w:b/>
        </w:rPr>
        <w:t xml:space="preserve">Semantic Glosses in Chinese</w:t>
      </w:r>
      <w:r>
        <w:t xml:space="preserve">, Katakana text, etc., written around the</w:t>
      </w:r>
      <w:r>
        <w:t xml:space="preserve"> </w:t>
      </w:r>
      <w:r>
        <w:rPr>
          <w:rStyle w:val="VerbatimChar"/>
          <w:bCs/>
          <w:b/>
        </w:rPr>
        <w:t xml:space="preserve">Headword</w:t>
      </w:r>
      <w:r>
        <w:t xml:space="preserve">; these can be termed</w:t>
      </w:r>
      <w:r>
        <w:t xml:space="preserve"> </w:t>
      </w:r>
      <w:r>
        <w:rPr>
          <w:rStyle w:val="VerbatimChar"/>
          <w:bCs/>
          <w:b/>
        </w:rPr>
        <w:t xml:space="preserve">Supplementary Headword Annotations</w:t>
      </w:r>
      <w:r>
        <w:t xml:space="preserve"> </w:t>
      </w:r>
      <w:r>
        <w:t xml:space="preserve">(掲出字補注,</w:t>
      </w:r>
      <w:r>
        <w:t xml:space="preserve"> </w:t>
      </w:r>
      <w:r>
        <w:rPr>
          <w:iCs/>
          <w:i/>
        </w:rPr>
        <w:t xml:space="preserve">Keishutsuji Hochū</w:t>
      </w:r>
      <w:r>
        <w:t xml:space="preserve">). These have been classified into</w:t>
      </w:r>
      <w:r>
        <w:t xml:space="preserve"> </w:t>
      </w:r>
      <w:r>
        <w:rPr>
          <w:rStyle w:val="VerbatimChar"/>
          <w:bCs/>
          <w:b/>
        </w:rPr>
        <w:t xml:space="preserve">Phonetic Glosses</w:t>
      </w:r>
      <w:r>
        <w:t xml:space="preserve">,</w:t>
      </w:r>
      <w:r>
        <w:t xml:space="preserve"> </w:t>
      </w:r>
      <w:r>
        <w:rPr>
          <w:rStyle w:val="VerbatimChar"/>
          <w:bCs/>
          <w:b/>
        </w:rPr>
        <w:t xml:space="preserve">Japanese Native Readings (*wakun*)</w:t>
      </w:r>
      <w:r>
        <w:t xml:space="preserve">, etc., according to their content. In the process of data conversion, measures were taken to clearly identify them as</w:t>
      </w:r>
      <w:r>
        <w:t xml:space="preserve"> </w:t>
      </w:r>
      <w:r>
        <w:rPr>
          <w:rStyle w:val="VerbatimChar"/>
          <w:bCs/>
          <w:b/>
        </w:rPr>
        <w:t xml:space="preserve">Supplementary Headword Annotations</w:t>
      </w:r>
      <w:r>
        <w:t xml:space="preserve"> </w:t>
      </w:r>
      <w:r>
        <w:t xml:space="preserve">(see</w:t>
      </w:r>
      <w:r>
        <w:t xml:space="preserve"> </w:t>
      </w:r>
      <w:r>
        <w:t xml:space="preserve">“</w:t>
      </w:r>
      <w:r>
        <w:t xml:space="preserve">Supplementary Headword Annotations</w:t>
      </w:r>
      <w:r>
        <w:t xml:space="preserve">”</w:t>
      </w:r>
      <w:r>
        <w:t xml:space="preserve"> </w:t>
      </w:r>
      <w:r>
        <w:t xml:space="preserve">under</w:t>
      </w:r>
      <w:r>
        <w:t xml:space="preserve"> </w:t>
      </w:r>
      <w:r>
        <w:t xml:space="preserve">“</w:t>
      </w:r>
      <w:hyperlink r:id="rId118">
        <w:r>
          <w:rPr>
            <w:rStyle w:val="Hyperlink"/>
          </w:rPr>
          <w:t xml:space="preserve">Handling Issues in Transcription, Notation, and Annotation</w:t>
        </w:r>
      </w:hyperlink>
      <w:r>
        <w:t xml:space="preserve">”</w:t>
      </w:r>
      <w:r>
        <w:t xml:space="preserve"> </w:t>
      </w:r>
      <w:r>
        <w:t xml:space="preserve">in the</w:t>
      </w:r>
      <w:r>
        <w:t xml:space="preserve"> </w:t>
      </w:r>
      <w:r>
        <w:t xml:space="preserve">“</w:t>
      </w:r>
      <w:r>
        <w:t xml:space="preserve">Input of Entry Data</w:t>
      </w:r>
      <w:r>
        <w:t xml:space="preserve">”</w:t>
      </w:r>
      <w:r>
        <w:t xml:space="preserve"> </w:t>
      </w:r>
      <w:r>
        <w:t xml:space="preserve">section).</w:t>
      </w:r>
    </w:p>
    <w:p>
      <w:pPr>
        <w:pStyle w:val="BodyText"/>
      </w:pPr>
      <w:r>
        <w:rPr>
          <w:rStyle w:val="VerbatimChar"/>
          <w:bCs/>
          <w:b/>
        </w:rPr>
        <w:t xml:space="preserve">Other</w:t>
      </w:r>
      <w:r>
        <w:t xml:space="preserve"> </w:t>
      </w:r>
      <w:r>
        <w:t xml:space="preserve">includes items marked as</w:t>
      </w:r>
      <w:r>
        <w:t xml:space="preserve"> </w:t>
      </w:r>
      <w:r>
        <w:rPr>
          <w:rStyle w:val="VerbatimChar"/>
          <w:bCs/>
          <w:b/>
        </w:rPr>
        <w:t xml:space="preserve">unknown</w:t>
      </w:r>
      <w:r>
        <w:t xml:space="preserve"> </w:t>
      </w:r>
      <w:r>
        <w:t xml:space="preserve">(未詳,</w:t>
      </w:r>
      <w:r>
        <w:t xml:space="preserve"> </w:t>
      </w:r>
      <w:r>
        <w:rPr>
          <w:iCs/>
          <w:i/>
        </w:rPr>
        <w:t xml:space="preserve">mishō</w:t>
      </w:r>
      <w:r>
        <w:t xml:space="preserve">),</w:t>
      </w:r>
      <w:r>
        <w:t xml:space="preserve"> </w:t>
      </w:r>
      <w:r>
        <w:rPr>
          <w:bCs/>
          <w:b/>
        </w:rPr>
        <w:t xml:space="preserve">notes on textual transmission</w:t>
      </w:r>
      <w:r>
        <w:t xml:space="preserve"> </w:t>
      </w:r>
      <w:r>
        <w:t xml:space="preserve">(伝写上の注記,</w:t>
      </w:r>
      <w:r>
        <w:t xml:space="preserve"> </w:t>
      </w:r>
      <w:r>
        <w:rPr>
          <w:iCs/>
          <w:i/>
        </w:rPr>
        <w:t xml:space="preserve">densha-jō no chūki</w:t>
      </w:r>
      <w:r>
        <w:t xml:space="preserve">), and cases where the type of gloss could not be determined.</w:t>
      </w:r>
    </w:p>
    <w:bookmarkEnd w:id="119"/>
    <w:bookmarkStart w:id="120" w:name="X951532d2bfed93d2b091b5441c4f5946f3925b3"/>
    <w:p>
      <w:pPr>
        <w:pStyle w:val="Heading3"/>
      </w:pPr>
      <w:r>
        <w:rPr>
          <w:rStyle w:val="SectionNumber"/>
        </w:rPr>
        <w:t xml:space="preserve">11.1.2</w:t>
      </w:r>
      <w:r>
        <w:tab/>
      </w:r>
      <w:r>
        <w:t xml:space="preserve">Examples of Entries (Images)</w:t>
      </w:r>
    </w:p>
    <w:p>
      <w:pPr>
        <w:pStyle w:val="FirstParagraph"/>
      </w:pPr>
      <w:r>
        <w:t xml:space="preserve">The following presents facsimile reproductions of</w:t>
      </w:r>
      <w:r>
        <w:t xml:space="preserve"> </w:t>
      </w:r>
      <w:r>
        <w:rPr>
          <w:rStyle w:val="VerbatimChar"/>
          <w:bCs/>
          <w:b/>
        </w:rPr>
        <w:t xml:space="preserve">Entries</w:t>
      </w:r>
      <w:r>
        <w:t xml:space="preserve"> </w:t>
      </w:r>
      <w:r>
        <w:t xml:space="preserve">from the</w:t>
      </w:r>
      <w:r>
        <w:t xml:space="preserve"> </w:t>
      </w:r>
      <w:r>
        <w:rPr>
          <w:iCs/>
          <w:i/>
        </w:rPr>
        <w:t xml:space="preserve">Myōgishō</w:t>
      </w:r>
      <w:r>
        <w:t xml:space="preserve"> </w:t>
      </w:r>
      <w:r>
        <w:t xml:space="preserve">as specific examples, including those for</w:t>
      </w:r>
      <w:r>
        <w:t xml:space="preserve"> </w:t>
      </w:r>
      <w:r>
        <w:t xml:space="preserve">‘</w:t>
      </w:r>
      <w:r>
        <w:t xml:space="preserve">功</w:t>
      </w:r>
      <w:r>
        <w:t xml:space="preserve">’</w:t>
      </w:r>
      <w:r>
        <w:t xml:space="preserve">,</w:t>
      </w:r>
      <w:r>
        <w:t xml:space="preserve"> </w:t>
      </w:r>
      <w:r>
        <w:t xml:space="preserve">‘</w:t>
      </w:r>
      <w:r>
        <w:t xml:space="preserve">加復</w:t>
      </w:r>
      <w:r>
        <w:t xml:space="preserve">’</w:t>
      </w:r>
      <w:r>
        <w:t xml:space="preserve">,</w:t>
      </w:r>
      <w:r>
        <w:t xml:space="preserve"> </w:t>
      </w:r>
      <w:r>
        <w:t xml:space="preserve">‘</w:t>
      </w:r>
      <w:r>
        <w:t xml:space="preserve">ー之</w:t>
      </w:r>
      <w:r>
        <w:t xml:space="preserve">’</w:t>
      </w:r>
      <w:r>
        <w:t xml:space="preserve">, and</w:t>
      </w:r>
      <w:r>
        <w:t xml:space="preserve"> </w:t>
      </w:r>
      <w:r>
        <w:t xml:space="preserve">‘</w:t>
      </w:r>
      <w:r>
        <w:t xml:space="preserve">助</w:t>
      </w:r>
      <w:r>
        <w:t xml:space="preserve">’</w:t>
      </w:r>
      <w:r>
        <w:t xml:space="preserve"> </w:t>
      </w:r>
      <w:r>
        <w:t xml:space="preserve">(along with its</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w:t>
      </w:r>
    </w:p>
    <w:p>
      <w:pPr>
        <w:pStyle w:val="BodyText"/>
      </w:pPr>
      <w:r>
        <w:t xml:space="preserve">{{&lt; figure src=</w:t>
      </w:r>
      <w:r>
        <w:t xml:space="preserve">“</w:t>
      </w:r>
      <w:r>
        <w:t xml:space="preserve">images/krm-item-sample1.png</w:t>
      </w:r>
      <w:r>
        <w:t xml:space="preserve">”</w:t>
      </w:r>
      <w:r>
        <w:t xml:space="preserve"> </w:t>
      </w:r>
      <w:r>
        <w:t xml:space="preserve">alt=</w:t>
      </w:r>
      <w:r>
        <w:t xml:space="preserve">“</w:t>
      </w:r>
      <w:r>
        <w:t xml:space="preserve">entry structure</w:t>
      </w:r>
      <w:r>
        <w:t xml:space="preserve">”</w:t>
      </w:r>
      <w:r>
        <w:t xml:space="preserve"> </w:t>
      </w:r>
      <w:r>
        <w:t xml:space="preserve">width=</w:t>
      </w:r>
      <w:r>
        <w:t xml:space="preserve">“</w:t>
      </w:r>
      <w:r>
        <w:t xml:space="preserve">500px</w:t>
      </w:r>
      <w:r>
        <w:t xml:space="preserve">”</w:t>
      </w:r>
      <w:r>
        <w:t xml:space="preserve"> </w:t>
      </w:r>
      <w:r>
        <w:t xml:space="preserve">&gt;}}</w:t>
      </w:r>
    </w:p>
    <w:bookmarkEnd w:id="120"/>
    <w:bookmarkStart w:id="121" w:name="X0ec4096e7a10cbaafaeca68695943431afa6d2b"/>
    <w:p>
      <w:pPr>
        <w:pStyle w:val="Heading3"/>
      </w:pPr>
      <w:r>
        <w:rPr>
          <w:rStyle w:val="SectionNumber"/>
        </w:rPr>
        <w:t xml:space="preserve">11.1.3</w:t>
      </w:r>
      <w:r>
        <w:tab/>
      </w:r>
      <w:r>
        <w:t xml:space="preserve">Diagram of Entry Structure</w:t>
      </w:r>
    </w:p>
    <w:p>
      <w:pPr>
        <w:pStyle w:val="FirstParagraph"/>
      </w:pPr>
      <w:r>
        <w:t xml:space="preserve">The following is a diagram illustrating the structure of an</w:t>
      </w:r>
      <w:r>
        <w:t xml:space="preserve"> </w:t>
      </w:r>
      <w:r>
        <w:rPr>
          <w:rStyle w:val="VerbatimChar"/>
          <w:bCs/>
          <w:b/>
        </w:rPr>
        <w:t xml:space="preserve">Entry</w:t>
      </w:r>
      <w:r>
        <w:t xml:space="preserve"> </w:t>
      </w:r>
      <w:r>
        <w:t xml:space="preserve">that contains all elements of a</w:t>
      </w:r>
      <w:r>
        <w:t xml:space="preserve"> </w:t>
      </w:r>
      <w:r>
        <w:rPr>
          <w:rStyle w:val="VerbatimChar"/>
          <w:bCs/>
          <w:b/>
        </w:rPr>
        <w:t xml:space="preserve">Headword</w:t>
      </w:r>
      <w:r>
        <w:t xml:space="preserve"> </w:t>
      </w:r>
      <w:r>
        <w:t xml:space="preserve">and its</w:t>
      </w:r>
      <w:r>
        <w:t xml:space="preserve"> </w:t>
      </w:r>
      <w:r>
        <w:rPr>
          <w:rStyle w:val="VerbatimChar"/>
          <w:bCs/>
          <w:b/>
        </w:rPr>
        <w:t xml:space="preserve">Original Glosses</w:t>
      </w:r>
      <w:r>
        <w:t xml:space="preserve">.</w:t>
      </w:r>
    </w:p>
    <w:p>
      <w:pPr>
        <w:pStyle w:val="BodyText"/>
      </w:pPr>
      <w:r>
        <w:t xml:space="preserve">{{&lt; mermaid title=</w:t>
      </w:r>
      <w:r>
        <w:t xml:space="preserve">“</w:t>
      </w:r>
      <w:r>
        <w:t xml:space="preserve">Entry Structure</w:t>
      </w:r>
      <w:r>
        <w:t xml:space="preserve">”</w:t>
      </w:r>
      <w:r>
        <w:t xml:space="preserve"> </w:t>
      </w:r>
      <w:r>
        <w:t xml:space="preserve">&gt;}}</w:t>
      </w:r>
      <w:r>
        <w:t xml:space="preserve"> </w:t>
      </w:r>
      <w:r>
        <w:t xml:space="preserve">graph TB</w:t>
      </w:r>
      <w:r>
        <w:t xml:space="preserve"> </w:t>
      </w:r>
      <w:r>
        <w:t xml:space="preserve">A(Entry)</w:t>
      </w:r>
      <w:r>
        <w:t xml:space="preserve"> </w:t>
      </w:r>
      <w:r>
        <w:t xml:space="preserve">A—&gt;B(Headword)</w:t>
      </w:r>
      <w:r>
        <w:t xml:space="preserve"> </w:t>
      </w:r>
      <w:r>
        <w:t xml:space="preserve">A—&gt;C(Original Glosses)</w:t>
      </w:r>
      <w:r>
        <w:t xml:space="preserve"> </w:t>
      </w:r>
      <w:r>
        <w:t xml:space="preserve">C—&gt;D(Notes on Character Form)</w:t>
      </w:r>
      <w:r>
        <w:t xml:space="preserve"> </w:t>
      </w:r>
      <w:r>
        <w:t xml:space="preserve">C—&gt;E(Phonetic Gloss)</w:t>
      </w:r>
      <w:r>
        <w:t xml:space="preserve"> </w:t>
      </w:r>
      <w:r>
        <w:t xml:space="preserve">C—&gt;F(Semantic Gloss in Chinese)</w:t>
      </w:r>
      <w:r>
        <w:t xml:space="preserve"> </w:t>
      </w:r>
      <w:r>
        <w:t xml:space="preserve">C—&gt;G(Japanese Native Reading)</w:t>
      </w:r>
      <w:r>
        <w:t xml:space="preserve"> </w:t>
      </w:r>
      <w:r>
        <w:t xml:space="preserve">C—&gt;H(Other)</w:t>
      </w:r>
      <w:r>
        <w:t xml:space="preserve"> </w:t>
      </w:r>
      <w:r>
        <w:t xml:space="preserve">{{&lt; /mermaid &gt;}}</w:t>
      </w:r>
    </w:p>
    <w:bookmarkEnd w:id="121"/>
    <w:bookmarkStart w:id="123" w:name="X3a81538342b81a9573389b340a7c02d5cfd4f90"/>
    <w:p>
      <w:pPr>
        <w:pStyle w:val="Heading3"/>
      </w:pPr>
      <w:r>
        <w:rPr>
          <w:rStyle w:val="SectionNumber"/>
        </w:rPr>
        <w:t xml:space="preserve">11.1.4</w:t>
      </w:r>
      <w:r>
        <w:tab/>
      </w:r>
      <w:r>
        <w:t xml:space="preserve">Example of an Entry (Transcription)</w:t>
      </w:r>
    </w:p>
    <w:p>
      <w:pPr>
        <w:pStyle w:val="FirstParagraph"/>
      </w:pPr>
      <w:r>
        <w:t xml:space="preserve">Next, we present transcriptions of the examples shown in the images of sample</w:t>
      </w:r>
      <w:r>
        <w:t xml:space="preserve"> </w:t>
      </w:r>
      <w:r>
        <w:rPr>
          <w:rStyle w:val="VerbatimChar"/>
          <w:bCs/>
          <w:b/>
        </w:rPr>
        <w:t xml:space="preserve">Entries</w:t>
      </w:r>
      <w:r>
        <w:t xml:space="preserve">.</w:t>
      </w:r>
    </w:p>
    <w:p>
      <w:pPr>
        <w:pStyle w:val="BodyText"/>
      </w:pPr>
      <w:r>
        <w:t xml:space="preserve">First, let’s consider</w:t>
      </w:r>
      <w:r>
        <w:t xml:space="preserve"> </w:t>
      </w:r>
      <w:r>
        <w:t xml:space="preserve">“</w:t>
      </w:r>
      <w:r>
        <w:t xml:space="preserve">功,</w:t>
      </w:r>
      <w:r>
        <w:t xml:space="preserve">”</w:t>
      </w:r>
      <w:r>
        <w:t xml:space="preserve"> </w:t>
      </w:r>
      <w:r>
        <w:t xml:space="preserve">an</w:t>
      </w:r>
      <w:r>
        <w:t xml:space="preserve"> </w:t>
      </w:r>
      <w:r>
        <w:rPr>
          <w:rStyle w:val="VerbatimChar"/>
          <w:bCs/>
          <w:b/>
        </w:rPr>
        <w:t xml:space="preserve">Entry</w:t>
      </w:r>
      <w:r>
        <w:t xml:space="preserve"> </w:t>
      </w:r>
      <w:r>
        <w:t xml:space="preserve">that includes the basic elements.</w:t>
      </w:r>
    </w:p>
    <w:p>
      <w:pPr>
        <w:pStyle w:val="BodyText"/>
      </w:pPr>
      <w:r>
        <w:rPr>
          <w:bCs/>
          <w:b/>
        </w:rPr>
        <w:t xml:space="preserve">Example</w:t>
      </w:r>
    </w:p>
    <w:p>
      <w:pPr>
        <w:pStyle w:val="SourceCode"/>
      </w:pPr>
      <w:r>
        <w:rPr>
          <w:rStyle w:val="VerbatimChar"/>
        </w:rPr>
        <w:t xml:space="preserve">功　音工（L-R）「コウ（_N）」「クウ（_N）」　續也　事也　成也　タシカニ（LHLH）　𭃄歟</w:t>
      </w:r>
    </w:p>
    <w:p>
      <w:pPr>
        <w:numPr>
          <w:ilvl w:val="0"/>
          <w:numId w:val="1111"/>
        </w:numPr>
        <w:pStyle w:val="Compact"/>
      </w:pPr>
      <w:r>
        <w:rPr>
          <w:rStyle w:val="VerbatimChar"/>
          <w:bCs/>
          <w:b/>
        </w:rPr>
        <w:t xml:space="preserve">Headword</w:t>
      </w:r>
      <w:r>
        <w:t xml:space="preserve">: 功</w:t>
      </w:r>
    </w:p>
    <w:p>
      <w:pPr>
        <w:numPr>
          <w:ilvl w:val="0"/>
          <w:numId w:val="1111"/>
        </w:numPr>
        <w:pStyle w:val="Compact"/>
      </w:pPr>
      <w:r>
        <w:t xml:space="preserve">Elements of the</w:t>
      </w:r>
      <w:r>
        <w:t xml:space="preserve"> </w:t>
      </w:r>
      <w:r>
        <w:rPr>
          <w:rStyle w:val="VerbatimChar"/>
          <w:bCs/>
          <w:b/>
        </w:rPr>
        <w:t xml:space="preserve">Original Glosses</w:t>
      </w:r>
      <w:r>
        <w:t xml:space="preserve">:</w:t>
      </w:r>
    </w:p>
    <w:p>
      <w:pPr>
        <w:numPr>
          <w:ilvl w:val="1"/>
          <w:numId w:val="1112"/>
        </w:numPr>
        <w:pStyle w:val="Compact"/>
      </w:pPr>
      <w:r>
        <w:rPr>
          <w:rStyle w:val="VerbatimChar"/>
          <w:bCs/>
          <w:b/>
        </w:rPr>
        <w:t xml:space="preserve">Phonetic Gloss</w:t>
      </w:r>
      <w:r>
        <w:t xml:space="preserve">: 音工（L-R）「コウ（_N）」「クウ（_N）」</w:t>
      </w:r>
    </w:p>
    <w:p>
      <w:pPr>
        <w:numPr>
          <w:ilvl w:val="1"/>
          <w:numId w:val="1112"/>
        </w:numPr>
        <w:pStyle w:val="Compact"/>
      </w:pPr>
      <w:r>
        <w:rPr>
          <w:rStyle w:val="VerbatimChar"/>
          <w:bCs/>
          <w:b/>
        </w:rPr>
        <w:t xml:space="preserve">Semantic Gloss</w:t>
      </w:r>
      <w:r>
        <w:t xml:space="preserve"> </w:t>
      </w:r>
      <w:r>
        <w:t xml:space="preserve">(in Chinese): 續也　事也　成也</w:t>
      </w:r>
    </w:p>
    <w:p>
      <w:pPr>
        <w:numPr>
          <w:ilvl w:val="1"/>
          <w:numId w:val="1112"/>
        </w:numPr>
        <w:pStyle w:val="Compact"/>
      </w:pP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タシカニ（LHLH）</w:t>
      </w:r>
    </w:p>
    <w:p>
      <w:pPr>
        <w:numPr>
          <w:ilvl w:val="1"/>
          <w:numId w:val="1112"/>
        </w:numPr>
        <w:pStyle w:val="Compact"/>
      </w:pPr>
      <w:r>
        <w:rPr>
          <w:rStyle w:val="VerbatimChar"/>
          <w:bCs/>
          <w:b/>
        </w:rPr>
        <w:t xml:space="preserve">Note on Character Form</w:t>
      </w:r>
      <w:r>
        <w:t xml:space="preserve">: 𭃄歟</w:t>
      </w:r>
    </w:p>
    <w:p>
      <w:pPr>
        <w:pStyle w:val="FirstParagraph"/>
      </w:pPr>
      <w:r>
        <w:t xml:space="preserve">This structure should clearly illustrate the relationship between the</w:t>
      </w:r>
      <w:r>
        <w:t xml:space="preserve"> </w:t>
      </w:r>
      <w:r>
        <w:rPr>
          <w:rStyle w:val="VerbatimChar"/>
          <w:bCs/>
          <w:b/>
        </w:rPr>
        <w:t xml:space="preserve">Headword</w:t>
      </w:r>
      <w:r>
        <w:t xml:space="preserve"> </w:t>
      </w:r>
      <w:r>
        <w:t xml:space="preserve">and the elements of the</w:t>
      </w:r>
      <w:r>
        <w:t xml:space="preserve"> </w:t>
      </w:r>
      <w:r>
        <w:rPr>
          <w:rStyle w:val="VerbatimChar"/>
          <w:bCs/>
          <w:b/>
        </w:rPr>
        <w:t xml:space="preserve">Original Glosses</w:t>
      </w:r>
      <w:r>
        <w:t xml:space="preserve">.</w:t>
      </w:r>
      <w:r>
        <w:t xml:space="preserve"> </w:t>
      </w:r>
      <w:r>
        <w:t xml:space="preserve">However, a detailed explanation of this</w:t>
      </w:r>
      <w:r>
        <w:t xml:space="preserve"> </w:t>
      </w:r>
      <w:r>
        <w:rPr>
          <w:rStyle w:val="VerbatimChar"/>
          <w:bCs/>
          <w:b/>
        </w:rPr>
        <w:t xml:space="preserve">Entry</w:t>
      </w:r>
      <w:r>
        <w:t xml:space="preserve">’s content would require considerable text.</w:t>
      </w:r>
      <w:r>
        <w:t xml:space="preserve"> </w:t>
      </w:r>
      <w:r>
        <w:t xml:space="preserve">The Japanese quotation marks (</w:t>
      </w:r>
      <w:r>
        <w:rPr>
          <w:iCs/>
          <w:i/>
        </w:rPr>
        <w:t xml:space="preserve">kagi-kakko</w:t>
      </w:r>
      <w:r>
        <w:t xml:space="preserve">) 「」 enclose supplementary notes, and the symbols shown in parentheses () are Romanized representations of</w:t>
      </w:r>
      <w:r>
        <w:t xml:space="preserve"> </w:t>
      </w:r>
      <w:r>
        <w:rPr>
          <w:rStyle w:val="VerbatimChar"/>
          <w:bCs/>
          <w:b/>
        </w:rPr>
        <w:t xml:space="preserve">Tone marks (*shōten*)</w:t>
      </w:r>
      <w:r>
        <w:t xml:space="preserve"> </w:t>
      </w:r>
      <w:r>
        <w:t xml:space="preserve">and nasal sound symbols.</w:t>
      </w:r>
      <w:r>
        <w:t xml:space="preserve"> </w:t>
      </w:r>
      <w:r>
        <w:t xml:space="preserve">For further details, please see</w:t>
      </w:r>
      <w:r>
        <w:t xml:space="preserve"> </w:t>
      </w:r>
      <w:r>
        <w:t xml:space="preserve">“</w:t>
      </w:r>
      <w:hyperlink r:id="rId118">
        <w:r>
          <w:rPr>
            <w:rStyle w:val="Hyperlink"/>
          </w:rPr>
          <w:t xml:space="preserve">Handling Issues in Transcription, Notation, and Annotation</w:t>
        </w:r>
      </w:hyperlink>
      <w:r>
        <w:t xml:space="preserve">”</w:t>
      </w:r>
      <w:r>
        <w:t xml:space="preserve"> </w:t>
      </w:r>
      <w:r>
        <w:t xml:space="preserve">within</w:t>
      </w:r>
      <w:r>
        <w:t xml:space="preserve"> </w:t>
      </w:r>
      <w:r>
        <w:t xml:space="preserve">“</w:t>
      </w:r>
      <w:hyperlink r:id="rId122">
        <w:r>
          <w:rPr>
            <w:rStyle w:val="Hyperlink"/>
          </w:rPr>
          <w:t xml:space="preserve">Input of Entry Data</w:t>
        </w:r>
      </w:hyperlink>
      <w:r>
        <w:t xml:space="preserve">”</w:t>
      </w:r>
      <w:r>
        <w:t xml:space="preserve">; such details are omitted here.</w:t>
      </w:r>
    </w:p>
    <w:p>
      <w:pPr>
        <w:pStyle w:val="BodyText"/>
      </w:pPr>
      <w:r>
        <w:t xml:space="preserve">Similar to the example of</w:t>
      </w:r>
      <w:r>
        <w:t xml:space="preserve"> </w:t>
      </w:r>
      <w:r>
        <w:t xml:space="preserve">“</w:t>
      </w:r>
      <w:r>
        <w:t xml:space="preserve">功,</w:t>
      </w:r>
      <w:r>
        <w:t xml:space="preserve">”</w:t>
      </w:r>
      <w:r>
        <w:t xml:space="preserve"> </w:t>
      </w:r>
      <w:r>
        <w:t xml:space="preserve">“</w:t>
      </w:r>
      <w:r>
        <w:t xml:space="preserve">加復</w:t>
      </w:r>
      <w:r>
        <w:t xml:space="preserve">”</w:t>
      </w:r>
      <w:r>
        <w:t xml:space="preserve"> </w:t>
      </w:r>
      <w:r>
        <w:t xml:space="preserve">and</w:t>
      </w:r>
      <w:r>
        <w:t xml:space="preserve"> </w:t>
      </w:r>
      <w:r>
        <w:t xml:space="preserve">“</w:t>
      </w:r>
      <w:r>
        <w:t xml:space="preserve">ー之</w:t>
      </w:r>
      <w:r>
        <w:t xml:space="preserve">”</w:t>
      </w:r>
      <w:r>
        <w:t xml:space="preserve"> </w:t>
      </w:r>
      <w:r>
        <w:t xml:space="preserve">can be transcribed as follows.</w:t>
      </w:r>
    </w:p>
    <w:p>
      <w:pPr>
        <w:pStyle w:val="BodyText"/>
      </w:pPr>
      <w:r>
        <w:rPr>
          <w:bCs/>
          <w:b/>
        </w:rPr>
        <w:t xml:space="preserve">Example:</w:t>
      </w:r>
    </w:p>
    <w:p>
      <w:pPr>
        <w:pStyle w:val="SourceCode"/>
      </w:pPr>
      <w:r>
        <w:rPr>
          <w:rStyle w:val="VerbatimChar"/>
        </w:rPr>
        <w:t xml:space="preserve">加復　シカノミナラス  </w:t>
      </w:r>
      <w:r>
        <w:br/>
      </w:r>
      <w:r>
        <w:rPr>
          <w:rStyle w:val="VerbatimChar"/>
        </w:rPr>
        <w:t xml:space="preserve">ー之　同</w:t>
      </w:r>
    </w:p>
    <w:p>
      <w:pPr>
        <w:numPr>
          <w:ilvl w:val="0"/>
          <w:numId w:val="1113"/>
        </w:numPr>
        <w:pStyle w:val="Compact"/>
      </w:pPr>
      <w:r>
        <w:rPr>
          <w:rStyle w:val="VerbatimChar"/>
          <w:bCs/>
          <w:b/>
        </w:rPr>
        <w:t xml:space="preserve">Headword</w:t>
      </w:r>
      <w:r>
        <w:t xml:space="preserve">: 加復</w:t>
      </w:r>
    </w:p>
    <w:p>
      <w:pPr>
        <w:numPr>
          <w:ilvl w:val="0"/>
          <w:numId w:val="1113"/>
        </w:numPr>
        <w:pStyle w:val="Compact"/>
      </w:pPr>
      <w:r>
        <w:t xml:space="preserve">Elements of the</w:t>
      </w:r>
      <w:r>
        <w:t xml:space="preserve"> </w:t>
      </w:r>
      <w:r>
        <w:rPr>
          <w:rStyle w:val="VerbatimChar"/>
          <w:bCs/>
          <w:b/>
        </w:rPr>
        <w:t xml:space="preserve">Original Glosses</w:t>
      </w:r>
      <w:r>
        <w:t xml:space="preserve">:</w:t>
      </w:r>
    </w:p>
    <w:p>
      <w:pPr>
        <w:numPr>
          <w:ilvl w:val="1"/>
          <w:numId w:val="1114"/>
        </w:numPr>
        <w:pStyle w:val="Compact"/>
      </w:pP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シカノミナラス</w:t>
      </w:r>
    </w:p>
    <w:p>
      <w:pPr>
        <w:numPr>
          <w:ilvl w:val="0"/>
          <w:numId w:val="1113"/>
        </w:numPr>
        <w:pStyle w:val="Compact"/>
      </w:pPr>
      <w:r>
        <w:rPr>
          <w:rStyle w:val="VerbatimChar"/>
          <w:bCs/>
          <w:b/>
        </w:rPr>
        <w:t xml:space="preserve">Headword</w:t>
      </w:r>
      <w:r>
        <w:t xml:space="preserve">: ー（加）之</w:t>
      </w:r>
    </w:p>
    <w:p>
      <w:pPr>
        <w:numPr>
          <w:ilvl w:val="0"/>
          <w:numId w:val="1113"/>
        </w:numPr>
        <w:pStyle w:val="Compact"/>
      </w:pPr>
      <w:r>
        <w:t xml:space="preserve">Elements of the</w:t>
      </w:r>
      <w:r>
        <w:t xml:space="preserve"> </w:t>
      </w:r>
      <w:r>
        <w:rPr>
          <w:rStyle w:val="VerbatimChar"/>
          <w:bCs/>
          <w:b/>
        </w:rPr>
        <w:t xml:space="preserve">Original Glosses</w:t>
      </w:r>
      <w:r>
        <w:t xml:space="preserve">:</w:t>
      </w:r>
    </w:p>
    <w:p>
      <w:pPr>
        <w:numPr>
          <w:ilvl w:val="1"/>
          <w:numId w:val="1115"/>
        </w:numPr>
        <w:pStyle w:val="Compact"/>
      </w:pP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同 (i.e., same as above: シカノミナラス)</w:t>
      </w:r>
    </w:p>
    <w:p>
      <w:pPr>
        <w:pStyle w:val="FirstParagraph"/>
      </w:pPr>
      <w:r>
        <w:t xml:space="preserve">Since the</w:t>
      </w:r>
      <w:r>
        <w:t xml:space="preserve"> </w:t>
      </w:r>
      <w:r>
        <w:t xml:space="preserve">“</w:t>
      </w:r>
      <w:r>
        <w:t xml:space="preserve">ー</w:t>
      </w:r>
      <w:r>
        <w:t xml:space="preserve">”</w:t>
      </w:r>
      <w:r>
        <w:t xml:space="preserve"> </w:t>
      </w:r>
      <w:r>
        <w:t xml:space="preserve">in</w:t>
      </w:r>
      <w:r>
        <w:t xml:space="preserve"> </w:t>
      </w:r>
      <w:r>
        <w:t xml:space="preserve">“</w:t>
      </w:r>
      <w:r>
        <w:t xml:space="preserve">ー之</w:t>
      </w:r>
      <w:r>
        <w:t xml:space="preserve">”</w:t>
      </w:r>
      <w:r>
        <w:t xml:space="preserve"> </w:t>
      </w:r>
      <w:r>
        <w:t xml:space="preserve">is a notation substituting for</w:t>
      </w:r>
      <w:r>
        <w:t xml:space="preserve"> </w:t>
      </w:r>
      <w:r>
        <w:t xml:space="preserve">“</w:t>
      </w:r>
      <w:r>
        <w:t xml:space="preserve">加,</w:t>
      </w:r>
      <w:r>
        <w:t xml:space="preserve">”</w:t>
      </w:r>
      <w:r>
        <w:t xml:space="preserve"> </w:t>
      </w:r>
      <w:r>
        <w:t xml:space="preserve">which is used in the preceding</w:t>
      </w:r>
      <w:r>
        <w:t xml:space="preserve"> </w:t>
      </w:r>
      <w:r>
        <w:rPr>
          <w:rStyle w:val="VerbatimChar"/>
          <w:bCs/>
          <w:b/>
        </w:rPr>
        <w:t xml:space="preserve">Headword</w:t>
      </w:r>
      <w:r>
        <w:t xml:space="preserve">, it is here written as the</w:t>
      </w:r>
      <w:r>
        <w:t xml:space="preserve"> </w:t>
      </w:r>
      <w:r>
        <w:rPr>
          <w:rStyle w:val="VerbatimChar"/>
          <w:bCs/>
          <w:b/>
        </w:rPr>
        <w:t xml:space="preserve">Headword</w:t>
      </w:r>
      <w:r>
        <w:t xml:space="preserve"> </w:t>
      </w:r>
      <w:r>
        <w:t xml:space="preserve">“</w:t>
      </w:r>
      <w:r>
        <w:t xml:space="preserve">ー（加）之.</w:t>
      </w:r>
      <w:r>
        <w:t xml:space="preserve">”</w:t>
      </w:r>
    </w:p>
    <w:p>
      <w:pPr>
        <w:pStyle w:val="BodyText"/>
      </w:pPr>
      <w:r>
        <w:t xml:space="preserve">Lastly,</w:t>
      </w:r>
      <w:r>
        <w:t xml:space="preserve"> </w:t>
      </w:r>
      <w:r>
        <w:t xml:space="preserve">“</w:t>
      </w:r>
      <w:r>
        <w:t xml:space="preserve">助</w:t>
      </w:r>
      <w:r>
        <w:t xml:space="preserve">”</w:t>
      </w:r>
      <w:r>
        <w:t xml:space="preserve"> </w:t>
      </w:r>
      <w:r>
        <w:t xml:space="preserve">and its</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are shown as follows.</w:t>
      </w:r>
    </w:p>
    <w:p>
      <w:pPr>
        <w:pStyle w:val="BodyText"/>
      </w:pPr>
      <w:r>
        <w:rPr>
          <w:bCs/>
          <w:b/>
        </w:rPr>
        <w:t xml:space="preserve">Example:</w:t>
      </w:r>
    </w:p>
    <w:p>
      <w:pPr>
        <w:pStyle w:val="SourceCode"/>
      </w:pPr>
      <w:r>
        <w:rPr>
          <w:rStyle w:val="VerbatimChar"/>
        </w:rPr>
        <w:t xml:space="preserve">⿰目力 鉏據反　タスク（LL_）　マサル（HH_）　ハサム　和自ヨ（_L）  </w:t>
      </w:r>
      <w:r>
        <w:br/>
      </w:r>
      <w:r>
        <w:rPr>
          <w:rStyle w:val="VerbatimChar"/>
        </w:rPr>
        <w:t xml:space="preserve">𦔳助 今正</w:t>
      </w:r>
    </w:p>
    <w:p>
      <w:pPr>
        <w:numPr>
          <w:ilvl w:val="0"/>
          <w:numId w:val="1116"/>
        </w:numPr>
        <w:pStyle w:val="Compact"/>
      </w:pPr>
      <w:r>
        <w:rPr>
          <w:rStyle w:val="VerbatimChar"/>
          <w:bCs/>
          <w:b/>
        </w:rPr>
        <w:t xml:space="preserve">Headword</w:t>
      </w:r>
      <w:r>
        <w:t xml:space="preserve">: ⿰目力</w:t>
      </w:r>
    </w:p>
    <w:p>
      <w:pPr>
        <w:numPr>
          <w:ilvl w:val="0"/>
          <w:numId w:val="1116"/>
        </w:numPr>
        <w:pStyle w:val="Compact"/>
      </w:pPr>
      <w:r>
        <w:t xml:space="preserve">Elements of the</w:t>
      </w:r>
      <w:r>
        <w:t xml:space="preserve"> </w:t>
      </w:r>
      <w:r>
        <w:rPr>
          <w:rStyle w:val="VerbatimChar"/>
          <w:bCs/>
          <w:b/>
        </w:rPr>
        <w:t xml:space="preserve">Original Glosses</w:t>
      </w:r>
      <w:r>
        <w:t xml:space="preserve">:</w:t>
      </w:r>
    </w:p>
    <w:p>
      <w:pPr>
        <w:numPr>
          <w:ilvl w:val="1"/>
          <w:numId w:val="1117"/>
        </w:numPr>
        <w:pStyle w:val="Compact"/>
      </w:pPr>
      <w:r>
        <w:rPr>
          <w:rStyle w:val="VerbatimChar"/>
          <w:bCs/>
          <w:b/>
        </w:rPr>
        <w:t xml:space="preserve">Phonetic Gloss</w:t>
      </w:r>
      <w:r>
        <w:t xml:space="preserve">: 鉏據反</w:t>
      </w:r>
    </w:p>
    <w:p>
      <w:pPr>
        <w:numPr>
          <w:ilvl w:val="1"/>
          <w:numId w:val="1117"/>
        </w:numPr>
        <w:pStyle w:val="Compact"/>
      </w:pP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タスク（LL_）　マサル（HH_）　ハサム</w:t>
      </w:r>
    </w:p>
    <w:p>
      <w:pPr>
        <w:numPr>
          <w:ilvl w:val="1"/>
          <w:numId w:val="1117"/>
        </w:numPr>
        <w:pStyle w:val="Compact"/>
      </w:pPr>
      <w:r>
        <w:rPr>
          <w:rStyle w:val="VerbatimChar"/>
          <w:bCs/>
          <w:b/>
        </w:rPr>
        <w:t xml:space="preserve">Phonetic Gloss</w:t>
      </w:r>
      <w:r>
        <w:t xml:space="preserve">: 和自ヨ（_L）</w:t>
      </w:r>
    </w:p>
    <w:p>
      <w:pPr>
        <w:numPr>
          <w:ilvl w:val="0"/>
          <w:numId w:val="1116"/>
        </w:numPr>
        <w:pStyle w:val="Compact"/>
      </w:pPr>
      <w:r>
        <w:rPr>
          <w:rStyle w:val="VerbatimChar"/>
          <w:bCs/>
          <w:b/>
        </w:rPr>
        <w:t xml:space="preserve">Headword</w:t>
      </w:r>
      <w:r>
        <w:t xml:space="preserve">: 𦔳助</w:t>
      </w:r>
    </w:p>
    <w:p>
      <w:pPr>
        <w:numPr>
          <w:ilvl w:val="0"/>
          <w:numId w:val="1116"/>
        </w:numPr>
        <w:pStyle w:val="Compact"/>
      </w:pPr>
      <w:r>
        <w:t xml:space="preserve">Elements of the</w:t>
      </w:r>
      <w:r>
        <w:t xml:space="preserve"> </w:t>
      </w:r>
      <w:r>
        <w:rPr>
          <w:rStyle w:val="VerbatimChar"/>
          <w:bCs/>
          <w:b/>
        </w:rPr>
        <w:t xml:space="preserve">Original Glosses</w:t>
      </w:r>
      <w:r>
        <w:t xml:space="preserve">:</w:t>
      </w:r>
    </w:p>
    <w:p>
      <w:pPr>
        <w:numPr>
          <w:ilvl w:val="1"/>
          <w:numId w:val="1118"/>
        </w:numPr>
        <w:pStyle w:val="Compact"/>
      </w:pPr>
      <w:r>
        <w:rPr>
          <w:rStyle w:val="VerbatimChar"/>
          <w:bCs/>
          <w:b/>
        </w:rPr>
        <w:t xml:space="preserve">Note on Character Form</w:t>
      </w:r>
      <w:r>
        <w:t xml:space="preserve">: 今正</w:t>
      </w:r>
    </w:p>
    <w:p>
      <w:pPr>
        <w:pStyle w:val="FirstParagraph"/>
      </w:pPr>
      <w:r>
        <w:t xml:space="preserve">Explaining the content of the</w:t>
      </w:r>
      <w:r>
        <w:t xml:space="preserve"> </w:t>
      </w:r>
      <w:r>
        <w:rPr>
          <w:rStyle w:val="VerbatimChar"/>
          <w:bCs/>
          <w:b/>
        </w:rPr>
        <w:t xml:space="preserve">Original Glosses</w:t>
      </w:r>
      <w:r>
        <w:t xml:space="preserve"> </w:t>
      </w:r>
      <w:r>
        <w:t xml:space="preserve">for</w:t>
      </w:r>
      <w:r>
        <w:t xml:space="preserve"> </w:t>
      </w:r>
      <w:r>
        <w:t xml:space="preserve">“</w:t>
      </w:r>
      <w:r>
        <w:t xml:space="preserve">加復,</w:t>
      </w:r>
      <w:r>
        <w:t xml:space="preserve">”</w:t>
      </w:r>
      <w:r>
        <w:t xml:space="preserve"> </w:t>
      </w:r>
      <w:r>
        <w:t xml:space="preserve">“</w:t>
      </w:r>
      <w:r>
        <w:t xml:space="preserve">ー之,</w:t>
      </w:r>
      <w:r>
        <w:t xml:space="preserve">”</w:t>
      </w:r>
      <w:r>
        <w:t xml:space="preserve"> </w:t>
      </w:r>
      <w:r>
        <w:t xml:space="preserve">and for</w:t>
      </w:r>
      <w:r>
        <w:t xml:space="preserve"> </w:t>
      </w:r>
      <w:r>
        <w:t xml:space="preserve">“</w:t>
      </w:r>
      <w:r>
        <w:t xml:space="preserve">助</w:t>
      </w:r>
      <w:r>
        <w:t xml:space="preserve">”</w:t>
      </w:r>
      <w:r>
        <w:t xml:space="preserve"> </w:t>
      </w:r>
      <w:r>
        <w:t xml:space="preserve">and its</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would require considerable text, so it is omitted here.</w:t>
      </w:r>
    </w:p>
    <w:bookmarkEnd w:id="123"/>
    <w:bookmarkEnd w:id="124"/>
    <w:bookmarkEnd w:id="125"/>
    <w:bookmarkEnd w:id="126"/>
    <w:bookmarkStart w:id="142" w:name="X00966f82f3e39144d62b7f1c983ad1e94b180c9"/>
    <w:bookmarkStart w:id="141" w:name="Xa486363dfb692accdf144c973ed414f8e72925a"/>
    <w:p>
      <w:pPr>
        <w:pStyle w:val="Heading1"/>
      </w:pPr>
      <w:r>
        <w:rPr>
          <w:rStyle w:val="SectionNumber"/>
        </w:rPr>
        <w:t xml:space="preserve">12</w:t>
      </w:r>
      <w:r>
        <w:tab/>
      </w:r>
      <w:r>
        <w:t xml:space="preserve">Types of Entries</w:t>
      </w:r>
    </w:p>
    <w:p>
      <w:pPr>
        <w:pStyle w:val="FirstParagraph"/>
      </w:pPr>
      <w:r>
        <w:t xml:space="preserve">This section explains the criteria used to classify</w:t>
      </w:r>
      <w:r>
        <w:t xml:space="preserve"> </w:t>
      </w:r>
      <w:r>
        <w:rPr>
          <w:rStyle w:val="VerbatimChar"/>
          <w:bCs/>
          <w:b/>
        </w:rPr>
        <w:t xml:space="preserve">Entries</w:t>
      </w:r>
      <w:r>
        <w:t xml:space="preserve"> </w:t>
      </w:r>
      <w:r>
        <w:t xml:space="preserve">in the</w:t>
      </w:r>
      <w:r>
        <w:t xml:space="preserve"> </w:t>
      </w:r>
      <w:r>
        <w:rPr>
          <w:iCs/>
          <w:i/>
        </w:rPr>
        <w:t xml:space="preserve">Ruiju Myōgishō</w:t>
      </w:r>
      <w:r>
        <w:t xml:space="preserve"> </w:t>
      </w:r>
      <w:r>
        <w:t xml:space="preserve">and describes the characteristics of each classification.</w:t>
      </w:r>
    </w:p>
    <w:bookmarkStart w:id="128" w:name="Xabafef25a44142c37cdc8929a2228b5ad96de2c"/>
    <w:p>
      <w:pPr>
        <w:pStyle w:val="Heading2"/>
      </w:pPr>
      <w:r>
        <w:rPr>
          <w:rStyle w:val="SectionNumber"/>
        </w:rPr>
        <w:t xml:space="preserve">12.1</w:t>
      </w:r>
      <w:r>
        <w:tab/>
      </w:r>
      <w:r>
        <w:t xml:space="preserve">Classification by Headword Form</w:t>
      </w:r>
    </w:p>
    <w:p>
      <w:pPr>
        <w:pStyle w:val="FirstParagraph"/>
      </w:pPr>
      <w:r>
        <w:rPr>
          <w:rStyle w:val="VerbatimChar"/>
          <w:bCs/>
          <w:b/>
        </w:rPr>
        <w:t xml:space="preserve">Entries</w:t>
      </w:r>
      <w:r>
        <w:t xml:space="preserve"> </w:t>
      </w:r>
      <w:r>
        <w:t xml:space="preserve">can be classified according to the form of their</w:t>
      </w:r>
      <w:r>
        <w:t xml:space="preserve"> </w:t>
      </w:r>
      <w:r>
        <w:rPr>
          <w:rStyle w:val="VerbatimChar"/>
          <w:bCs/>
          <w:b/>
        </w:rPr>
        <w:t xml:space="preserve">Headwords</w:t>
      </w:r>
      <w:r>
        <w:t xml:space="preserve">, i.e., whether they consist of a single</w:t>
      </w:r>
      <w:r>
        <w:t xml:space="preserve"> </w:t>
      </w:r>
      <w:r>
        <w:rPr>
          <w:bCs/>
          <w:b/>
        </w:rPr>
        <w:t xml:space="preserve">Chinese character</w:t>
      </w:r>
      <w:r>
        <w:t xml:space="preserve"> </w:t>
      </w:r>
      <w:r>
        <w:t xml:space="preserve">or multiple</w:t>
      </w:r>
      <w:r>
        <w:t xml:space="preserve"> </w:t>
      </w:r>
      <w:r>
        <w:rPr>
          <w:bCs/>
          <w:b/>
        </w:rPr>
        <w:t xml:space="preserve">Chinese characters</w:t>
      </w:r>
      <w:r>
        <w:t xml:space="preserve">.</w:t>
      </w:r>
    </w:p>
    <w:bookmarkStart w:id="127" w:name="X86d614bbb436d89800cf7c0935d045503113556"/>
    <w:p>
      <w:pPr>
        <w:pStyle w:val="Heading3"/>
      </w:pPr>
      <w:r>
        <w:rPr>
          <w:rStyle w:val="SectionNumber"/>
        </w:rPr>
        <w:t xml:space="preserve">12.1.1</w:t>
      </w:r>
      <w:r>
        <w:tab/>
      </w:r>
      <w:r>
        <w:t xml:space="preserve">Single Character Form and Multi-Character Form</w:t>
      </w:r>
    </w:p>
    <w:p>
      <w:pPr>
        <w:pStyle w:val="FirstParagraph"/>
      </w:pPr>
      <w:r>
        <w:rPr>
          <w:rStyle w:val="VerbatimChar"/>
          <w:bCs/>
          <w:b/>
        </w:rPr>
        <w:t xml:space="preserve">Headwords</w:t>
      </w:r>
      <w:r>
        <w:t xml:space="preserve"> </w:t>
      </w:r>
      <w:r>
        <w:t xml:space="preserve">can be in either a</w:t>
      </w:r>
      <w:r>
        <w:t xml:space="preserve"> </w:t>
      </w:r>
      <w:r>
        <w:rPr>
          <w:bCs/>
          <w:b/>
        </w:rPr>
        <w:t xml:space="preserve">Single Character Form</w:t>
      </w:r>
      <w:r>
        <w:t xml:space="preserve"> </w:t>
      </w:r>
      <w:r>
        <w:t xml:space="preserve">or a</w:t>
      </w:r>
      <w:r>
        <w:t xml:space="preserve"> </w:t>
      </w:r>
      <w:r>
        <w:rPr>
          <w:bCs/>
          <w:b/>
        </w:rPr>
        <w:t xml:space="preserve">Multi-Character Form</w:t>
      </w:r>
      <w:r>
        <w:t xml:space="preserve">.</w:t>
      </w:r>
    </w:p>
    <w:p>
      <w:pPr>
        <w:pStyle w:val="BodyText"/>
      </w:pPr>
      <w:r>
        <w:rPr>
          <w:bCs/>
          <w:b/>
        </w:rPr>
        <w:t xml:space="preserve">Examples:</w:t>
      </w:r>
    </w:p>
    <w:p>
      <w:pPr>
        <w:numPr>
          <w:ilvl w:val="0"/>
          <w:numId w:val="1119"/>
        </w:numPr>
        <w:pStyle w:val="Compact"/>
      </w:pPr>
      <w:r>
        <w:t xml:space="preserve">Example of single character form: 人</w:t>
      </w:r>
    </w:p>
    <w:p>
      <w:pPr>
        <w:numPr>
          <w:ilvl w:val="0"/>
          <w:numId w:val="1119"/>
        </w:numPr>
        <w:pStyle w:val="Compact"/>
      </w:pPr>
      <w:r>
        <w:t xml:space="preserve">Examples of multi-character form: 一人, 二人, 五人</w:t>
      </w:r>
    </w:p>
    <w:p>
      <w:pPr>
        <w:pStyle w:val="FirstParagraph"/>
      </w:pPr>
      <w:r>
        <w:t xml:space="preserve">Based on a tally from</w:t>
      </w:r>
      <w:r>
        <w:t xml:space="preserve"> </w:t>
      </w:r>
      <w:r>
        <w:rPr>
          <w:rStyle w:val="VerbatimChar"/>
        </w:rPr>
        <w:t xml:space="preserve">krm_headword_chars.tsv</w:t>
      </w:r>
      <w:r>
        <w:t xml:space="preserve"> </w:t>
      </w:r>
      <w:r>
        <w:t xml:space="preserve">(latest version 1.2.1 as of May 12, 2025), out of a total of 32,607</w:t>
      </w:r>
      <w:r>
        <w:t xml:space="preserve"> </w:t>
      </w:r>
      <w:r>
        <w:rPr>
          <w:rStyle w:val="VerbatimChar"/>
          <w:bCs/>
          <w:b/>
        </w:rPr>
        <w:t xml:space="preserve">Entries</w:t>
      </w:r>
      <w:r>
        <w:t xml:space="preserve"> </w:t>
      </w:r>
      <w:r>
        <w:t xml:space="preserve">in the Kanchi-in manuscript, 24,692</w:t>
      </w:r>
      <w:r>
        <w:t xml:space="preserve"> </w:t>
      </w:r>
      <w:r>
        <w:rPr>
          <w:rStyle w:val="VerbatimChar"/>
          <w:bCs/>
          <w:b/>
        </w:rPr>
        <w:t xml:space="preserve">Entries</w:t>
      </w:r>
      <w:r>
        <w:t xml:space="preserve"> </w:t>
      </w:r>
      <w:r>
        <w:t xml:space="preserve">were in single character form, and 7,915</w:t>
      </w:r>
      <w:r>
        <w:t xml:space="preserve"> </w:t>
      </w:r>
      <w:r>
        <w:rPr>
          <w:rStyle w:val="VerbatimChar"/>
          <w:bCs/>
          <w:b/>
        </w:rPr>
        <w:t xml:space="preserve">Entries</w:t>
      </w:r>
      <w:r>
        <w:t xml:space="preserve"> </w:t>
      </w:r>
      <w:r>
        <w:t xml:space="preserve">were in multi-character form.</w:t>
      </w:r>
    </w:p>
    <w:bookmarkEnd w:id="127"/>
    <w:bookmarkEnd w:id="128"/>
    <w:bookmarkStart w:id="140" w:name="Xc8e9ce2f0b4f7294aa7bdeadeebe0e2428f06a4"/>
    <w:p>
      <w:pPr>
        <w:pStyle w:val="Heading2"/>
      </w:pPr>
      <w:r>
        <w:rPr>
          <w:rStyle w:val="SectionNumber"/>
        </w:rPr>
        <w:t xml:space="preserve">12.2</w:t>
      </w:r>
      <w:r>
        <w:tab/>
      </w:r>
      <w:r>
        <w:t xml:space="preserve">Classification Based on Entry Content and Relationships</w:t>
      </w:r>
    </w:p>
    <w:p>
      <w:pPr>
        <w:pStyle w:val="FirstParagraph"/>
      </w:pPr>
      <w:r>
        <w:t xml:space="preserve">Besides the format of the</w:t>
      </w:r>
      <w:r>
        <w:t xml:space="preserve"> </w:t>
      </w:r>
      <w:r>
        <w:rPr>
          <w:rStyle w:val="VerbatimChar"/>
          <w:bCs/>
          <w:b/>
        </w:rPr>
        <w:t xml:space="preserve">Headword</w:t>
      </w:r>
      <w:r>
        <w:t xml:space="preserve">, the main criteria for classifying</w:t>
      </w:r>
      <w:r>
        <w:t xml:space="preserve"> </w:t>
      </w:r>
      <w:r>
        <w:rPr>
          <w:rStyle w:val="VerbatimChar"/>
          <w:bCs/>
          <w:b/>
        </w:rPr>
        <w:t xml:space="preserve">Entries</w:t>
      </w:r>
      <w:r>
        <w:t xml:space="preserve"> </w:t>
      </w:r>
      <w:r>
        <w:t xml:space="preserve">include classification based on the content of the</w:t>
      </w:r>
      <w:r>
        <w:t xml:space="preserve"> </w:t>
      </w:r>
      <w:r>
        <w:rPr>
          <w:rStyle w:val="VerbatimChar"/>
          <w:bCs/>
          <w:b/>
        </w:rPr>
        <w:t xml:space="preserve">Entries</w:t>
      </w:r>
      <w:r>
        <w:t xml:space="preserve"> </w:t>
      </w:r>
      <w:r>
        <w:t xml:space="preserve">and classification based on the relationships between</w:t>
      </w:r>
      <w:r>
        <w:t xml:space="preserve"> </w:t>
      </w:r>
      <w:r>
        <w:rPr>
          <w:rStyle w:val="VerbatimChar"/>
          <w:bCs/>
          <w:b/>
        </w:rPr>
        <w:t xml:space="preserve">Entries</w:t>
      </w:r>
      <w:r>
        <w:t xml:space="preserve">.</w:t>
      </w:r>
    </w:p>
    <w:bookmarkStart w:id="136" w:name="X37e09db92b6c5e734f6ce3e64aad043d67c68e2"/>
    <w:p>
      <w:pPr>
        <w:pStyle w:val="Heading3"/>
      </w:pPr>
      <w:r>
        <w:rPr>
          <w:rStyle w:val="SectionNumber"/>
        </w:rPr>
        <w:t xml:space="preserve">12.2.1</w:t>
      </w:r>
      <w:r>
        <w:tab/>
      </w:r>
      <w:r>
        <w:t xml:space="preserve">Entries with Variant Characters Listed Together</w:t>
      </w:r>
    </w:p>
    <w:p>
      <w:pPr>
        <w:pStyle w:val="FirstParagraph"/>
      </w:pPr>
      <w:r>
        <w:t xml:space="preserve">When the</w:t>
      </w:r>
      <w:r>
        <w:t xml:space="preserve"> </w:t>
      </w:r>
      <w:r>
        <w:rPr>
          <w:rStyle w:val="VerbatimChar"/>
          <w:bCs/>
          <w:b/>
        </w:rPr>
        <w:t xml:space="preserve">Headword</w:t>
      </w:r>
      <w:r>
        <w:t xml:space="preserve"> </w:t>
      </w:r>
      <w:r>
        <w:t xml:space="preserve">is in single-character form, this classification is often determined by</w:t>
      </w:r>
      <w:r>
        <w:t xml:space="preserve"> </w:t>
      </w:r>
      <w:r>
        <w:rPr>
          <w:bCs/>
          <w:b/>
        </w:rPr>
        <w:t xml:space="preserve">Form Classification Tags (</w:t>
      </w:r>
      <w:r>
        <w:rPr>
          <w:iCs/>
          <w:i/>
          <w:bCs/>
          <w:b/>
        </w:rPr>
        <w:t xml:space="preserve">jitaichūki</w:t>
      </w:r>
      <w:r>
        <w:rPr>
          <w:bCs/>
          <w:b/>
        </w:rPr>
        <w:t xml:space="preserve">)</w:t>
      </w:r>
      <w:r>
        <w:t xml:space="preserve"> </w:t>
      </w:r>
      <w:r>
        <w:t xml:space="preserve">within the</w:t>
      </w:r>
      <w:r>
        <w:t xml:space="preserve"> </w:t>
      </w:r>
      <w:r>
        <w:rPr>
          <w:rStyle w:val="VerbatimChar"/>
          <w:bCs/>
          <w:b/>
        </w:rPr>
        <w:t xml:space="preserve">Original Glosses</w:t>
      </w:r>
      <w:r>
        <w:t xml:space="preserve"> </w:t>
      </w:r>
      <w:r>
        <w:t xml:space="preserve">(</w:t>
      </w:r>
      <w:r>
        <w:rPr>
          <w:iCs/>
          <w:i/>
        </w:rPr>
        <w:t xml:space="preserve">chūmon</w:t>
      </w:r>
      <w:r>
        <w:t xml:space="preserve">). However, an</w:t>
      </w:r>
      <w:r>
        <w:t xml:space="preserve"> </w:t>
      </w:r>
      <w:r>
        <w:rPr>
          <w:rStyle w:val="VerbatimChar"/>
          <w:bCs/>
          <w:b/>
        </w:rPr>
        <w:t xml:space="preserve">Entry</w:t>
      </w:r>
      <w:r>
        <w:t xml:space="preserve"> </w:t>
      </w:r>
      <w:r>
        <w:t xml:space="preserve">can also be identified as containing variant character information based on its relationship with preceding and succeeding</w:t>
      </w:r>
      <w:r>
        <w:t xml:space="preserve"> </w:t>
      </w:r>
      <w:r>
        <w:rPr>
          <w:rStyle w:val="VerbatimChar"/>
          <w:bCs/>
          <w:b/>
        </w:rPr>
        <w:t xml:space="preserve">Entries</w:t>
      </w:r>
      <w:r>
        <w:t xml:space="preserve">, even without explicit</w:t>
      </w:r>
      <w:r>
        <w:t xml:space="preserve"> </w:t>
      </w:r>
      <w:r>
        <w:rPr>
          <w:bCs/>
          <w:b/>
        </w:rPr>
        <w:t xml:space="preserve">Form Classification Tags</w:t>
      </w:r>
      <w:r>
        <w:t xml:space="preserve">.</w:t>
      </w:r>
    </w:p>
    <w:p>
      <w:pPr>
        <w:pStyle w:val="BodyText"/>
      </w:pPr>
      <w:r>
        <w:t xml:space="preserve">Here, the term</w:t>
      </w:r>
      <w:r>
        <w:t xml:space="preserve"> </w:t>
      </w:r>
      <w:r>
        <w:rPr>
          <w:iCs/>
          <w:i/>
        </w:rPr>
        <w:t xml:space="preserve">jitaichūki</w:t>
      </w:r>
      <w:r>
        <w:t xml:space="preserve"> </w:t>
      </w:r>
      <w:r>
        <w:t xml:space="preserve">(字体注記, translated in this document primarily as</w:t>
      </w:r>
      <w:r>
        <w:t xml:space="preserve"> </w:t>
      </w:r>
      <w:r>
        <w:t xml:space="preserve">“</w:t>
      </w:r>
      <w:r>
        <w:t xml:space="preserve">Form Classification Tag</w:t>
      </w:r>
      <w:r>
        <w:t xml:space="preserve">”</w:t>
      </w:r>
      <w:r>
        <w:t xml:space="preserve">) directly refers to descriptive terms indicating the type or normative status of a character form, such as</w:t>
      </w:r>
      <w:r>
        <w:t xml:space="preserve"> </w:t>
      </w:r>
      <w:r>
        <w:t xml:space="preserve">“</w:t>
      </w:r>
      <w:r>
        <w:t xml:space="preserve">正</w:t>
      </w:r>
      <w:r>
        <w:t xml:space="preserve">”</w:t>
      </w:r>
      <w:r>
        <w:t xml:space="preserve"> </w:t>
      </w:r>
      <w:r>
        <w:t xml:space="preserve">(standard),</w:t>
      </w:r>
      <w:r>
        <w:t xml:space="preserve"> </w:t>
      </w:r>
      <w:r>
        <w:t xml:space="preserve">“</w:t>
      </w:r>
      <w:r>
        <w:t xml:space="preserve">俗</w:t>
      </w:r>
      <w:r>
        <w:t xml:space="preserve">”</w:t>
      </w:r>
      <w:r>
        <w:t xml:space="preserve"> </w:t>
      </w:r>
      <w:r>
        <w:t xml:space="preserve">(popular/vulgar), and</w:t>
      </w:r>
      <w:r>
        <w:t xml:space="preserve"> </w:t>
      </w:r>
      <w:r>
        <w:t xml:space="preserve">“</w:t>
      </w:r>
      <w:r>
        <w:t xml:space="preserve">通</w:t>
      </w:r>
      <w:r>
        <w:t xml:space="preserve">”</w:t>
      </w:r>
      <w:r>
        <w:t xml:space="preserve"> </w:t>
      </w:r>
      <w:r>
        <w:t xml:space="preserve">(common). This concept is comparable to what Nishihara Kazuyuki refers to as</w:t>
      </w:r>
      <w:r>
        <w:t xml:space="preserve"> </w:t>
      </w:r>
      <w:r>
        <w:rPr>
          <w:iCs/>
          <w:i/>
        </w:rPr>
        <w:t xml:space="preserve">jitaikihan</w:t>
      </w:r>
      <w:r>
        <w:t xml:space="preserve"> </w:t>
      </w:r>
      <w:r>
        <w:t xml:space="preserve">(字体規範) and Lee Kyeong Won calls</w:t>
      </w:r>
      <w:r>
        <w:t xml:space="preserve"> </w:t>
      </w:r>
      <w:r>
        <w:t xml:space="preserve">“</w:t>
      </w:r>
      <w:r>
        <w:t xml:space="preserve">字級</w:t>
      </w:r>
      <w:r>
        <w:t xml:space="preserve">”</w:t>
      </w:r>
      <w:r>
        <w:t xml:space="preserve"> </w:t>
      </w:r>
      <w:r>
        <w:t xml:space="preserve">(</w:t>
      </w:r>
      <w:r>
        <w:rPr>
          <w:iCs/>
          <w:i/>
        </w:rPr>
        <w:t xml:space="preserve">zìjí</w:t>
      </w:r>
      <w:r>
        <w:t xml:space="preserve">). In English, Nishihara’s</w:t>
      </w:r>
      <w:r>
        <w:t xml:space="preserve"> </w:t>
      </w:r>
      <w:r>
        <w:rPr>
          <w:iCs/>
          <w:i/>
        </w:rPr>
        <w:t xml:space="preserve">jitaikihan</w:t>
      </w:r>
      <w:r>
        <w:t xml:space="preserve"> </w:t>
      </w:r>
      <w:r>
        <w:t xml:space="preserve">is close to a</w:t>
      </w:r>
      <w:r>
        <w:t xml:space="preserve"> </w:t>
      </w:r>
      <w:r>
        <w:t xml:space="preserve">“</w:t>
      </w:r>
      <w:r>
        <w:t xml:space="preserve">Glyph Standard Label,</w:t>
      </w:r>
      <w:r>
        <w:t xml:space="preserve">”</w:t>
      </w:r>
      <w:r>
        <w:t xml:space="preserve"> </w:t>
      </w:r>
      <w:r>
        <w:t xml:space="preserve">and Lee’s</w:t>
      </w:r>
      <w:r>
        <w:t xml:space="preserve"> </w:t>
      </w:r>
      <w:r>
        <w:t xml:space="preserve">“</w:t>
      </w:r>
      <w:r>
        <w:t xml:space="preserve">字級</w:t>
      </w:r>
      <w:r>
        <w:t xml:space="preserve">”</w:t>
      </w:r>
      <w:r>
        <w:t xml:space="preserve"> </w:t>
      </w:r>
      <w:r>
        <w:t xml:space="preserve">is similar to a</w:t>
      </w:r>
      <w:r>
        <w:t xml:space="preserve"> </w:t>
      </w:r>
      <w:r>
        <w:t xml:space="preserve">“</w:t>
      </w:r>
      <w:r>
        <w:t xml:space="preserve">Form Classification Tag.</w:t>
      </w:r>
      <w:r>
        <w:t xml:space="preserve">”</w:t>
      </w:r>
      <w:r>
        <w:t xml:space="preserve"> </w:t>
      </w:r>
      <w:r>
        <w:t xml:space="preserve">For the purposes of this document,</w:t>
      </w:r>
      <w:r>
        <w:t xml:space="preserve"> </w:t>
      </w:r>
      <w:r>
        <w:t xml:space="preserve">“</w:t>
      </w:r>
      <w:r>
        <w:t xml:space="preserve">Form Classification Tag</w:t>
      </w:r>
      <w:r>
        <w:t xml:space="preserve">”</w:t>
      </w:r>
      <w:r>
        <w:t xml:space="preserve"> </w:t>
      </w:r>
      <w:r>
        <w:t xml:space="preserve">will be the primary English term used to convey a meaning similar to Lee’s</w:t>
      </w:r>
      <w:r>
        <w:t xml:space="preserve"> </w:t>
      </w:r>
      <w:r>
        <w:t xml:space="preserve">“</w:t>
      </w:r>
      <w:r>
        <w:t xml:space="preserve">字級</w:t>
      </w:r>
      <w:r>
        <w:t xml:space="preserve">”</w:t>
      </w:r>
      <w:r>
        <w:t xml:space="preserve"> </w:t>
      </w:r>
      <w:r>
        <w:t xml:space="preserve">(correlating with the Japanese</w:t>
      </w:r>
      <w:r>
        <w:t xml:space="preserve"> </w:t>
      </w:r>
      <w:r>
        <w:rPr>
          <w:iCs/>
          <w:i/>
        </w:rPr>
        <w:t xml:space="preserve">jitaichūki</w:t>
      </w:r>
      <w:r>
        <w:t xml:space="preserve">).</w:t>
      </w:r>
    </w:p>
    <w:p>
      <w:pPr>
        <w:pStyle w:val="BodyText"/>
      </w:pPr>
      <w:r>
        <w:t xml:space="preserve">An</w:t>
      </w:r>
      <w:r>
        <w:t xml:space="preserve"> </w:t>
      </w:r>
      <w:r>
        <w:rPr>
          <w:rStyle w:val="VerbatimChar"/>
          <w:bCs/>
          <w:b/>
        </w:rPr>
        <w:t xml:space="preserve">Entry with Variant Character Information</w:t>
      </w:r>
      <w:r>
        <w:t xml:space="preserve"> </w:t>
      </w:r>
      <w:r>
        <w:t xml:space="preserve">refers to</w:t>
      </w:r>
      <w:r>
        <w:t xml:space="preserve"> </w:t>
      </w:r>
      <w:r>
        <w:rPr>
          <w:rStyle w:val="VerbatimChar"/>
          <w:bCs/>
          <w:b/>
        </w:rPr>
        <w:t xml:space="preserve">Entries</w:t>
      </w:r>
      <w:r>
        <w:t xml:space="preserve"> </w:t>
      </w:r>
      <w:r>
        <w:t xml:space="preserve">where multiple</w:t>
      </w:r>
      <w:r>
        <w:t xml:space="preserve"> </w:t>
      </w:r>
      <w:r>
        <w:rPr>
          <w:rStyle w:val="VerbatimChar"/>
          <w:bCs/>
          <w:b/>
        </w:rPr>
        <w:t xml:space="preserve">Headwords</w:t>
      </w:r>
      <w:r>
        <w:t xml:space="preserve"> </w:t>
      </w:r>
      <w:r>
        <w:t xml:space="preserve">are listed together to indicate</w:t>
      </w:r>
      <w:r>
        <w:t xml:space="preserve"> </w:t>
      </w:r>
      <w:r>
        <w:rPr>
          <w:rStyle w:val="VerbatimChar"/>
          <w:bCs/>
          <w:b/>
        </w:rPr>
        <w:t xml:space="preserve">variant characters (*itaiji*)</w:t>
      </w:r>
      <w:r>
        <w:t xml:space="preserve">, or where</w:t>
      </w:r>
      <w:r>
        <w:t xml:space="preserve"> </w:t>
      </w:r>
      <w:r>
        <w:rPr>
          <w:bCs/>
          <w:b/>
        </w:rPr>
        <w:t xml:space="preserve">Form Classification Tags</w:t>
      </w:r>
      <w:r>
        <w:t xml:space="preserve"> </w:t>
      </w:r>
      <w:r>
        <w:t xml:space="preserve">such as</w:t>
      </w:r>
      <w:r>
        <w:t xml:space="preserve"> </w:t>
      </w:r>
      <w:r>
        <w:t xml:space="preserve">“</w:t>
      </w:r>
      <w:r>
        <w:t xml:space="preserve">正</w:t>
      </w:r>
      <w:r>
        <w:t xml:space="preserve">”</w:t>
      </w:r>
      <w:r>
        <w:t xml:space="preserve"> </w:t>
      </w:r>
      <w:r>
        <w:t xml:space="preserve">(standard) and</w:t>
      </w:r>
      <w:r>
        <w:t xml:space="preserve"> </w:t>
      </w:r>
      <w:r>
        <w:t xml:space="preserve">“</w:t>
      </w:r>
      <w:r>
        <w:t xml:space="preserve">俗</w:t>
      </w:r>
      <w:r>
        <w:t xml:space="preserve">”</w:t>
      </w:r>
      <w:r>
        <w:t xml:space="preserve"> </w:t>
      </w:r>
      <w:r>
        <w:t xml:space="preserve">(popular/vulgar) are provided within the</w:t>
      </w:r>
      <w:r>
        <w:t xml:space="preserve"> </w:t>
      </w:r>
      <w:r>
        <w:rPr>
          <w:rStyle w:val="VerbatimChar"/>
          <w:bCs/>
          <w:b/>
        </w:rPr>
        <w:t xml:space="preserve">Original Glosses</w:t>
      </w:r>
      <w:r>
        <w:t xml:space="preserve">.</w:t>
      </w:r>
    </w:p>
    <w:p>
      <w:pPr>
        <w:pStyle w:val="BodyText"/>
      </w:pP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may be collated in consecutive</w:t>
      </w:r>
      <w:r>
        <w:t xml:space="preserve"> </w:t>
      </w:r>
      <w:r>
        <w:rPr>
          <w:rStyle w:val="VerbatimChar"/>
          <w:bCs/>
          <w:b/>
        </w:rPr>
        <w:t xml:space="preserve">Entries</w:t>
      </w:r>
      <w:r>
        <w:t xml:space="preserve"> </w:t>
      </w:r>
      <w:r>
        <w:t xml:space="preserve">in single-character form, with</w:t>
      </w:r>
      <w:r>
        <w:t xml:space="preserve"> </w:t>
      </w:r>
      <w:r>
        <w:rPr>
          <w:bCs/>
          <w:b/>
        </w:rPr>
        <w:t xml:space="preserve">Form Classification Tags</w:t>
      </w:r>
      <w:r>
        <w:t xml:space="preserve"> </w:t>
      </w:r>
      <w:r>
        <w:t xml:space="preserve">provided in their</w:t>
      </w:r>
      <w:r>
        <w:t xml:space="preserve"> </w:t>
      </w:r>
      <w:r>
        <w:rPr>
          <w:rStyle w:val="VerbatimChar"/>
          <w:bCs/>
          <w:b/>
        </w:rPr>
        <w:t xml:space="preserve">Original Glosses</w:t>
      </w:r>
      <w:r>
        <w:t xml:space="preserve">. Alternatively, they may be included as variant forms within a single</w:t>
      </w:r>
      <w:r>
        <w:t xml:space="preserve"> </w:t>
      </w:r>
      <w:r>
        <w:rPr>
          <w:rStyle w:val="VerbatimChar"/>
          <w:bCs/>
          <w:b/>
        </w:rPr>
        <w:t xml:space="preserve">Entry</w:t>
      </w:r>
      <w:r>
        <w:t xml:space="preserve"> </w:t>
      </w:r>
      <w:r>
        <w:t xml:space="preserve">in multi-character form, again with</w:t>
      </w:r>
      <w:r>
        <w:t xml:space="preserve"> </w:t>
      </w:r>
      <w:r>
        <w:rPr>
          <w:bCs/>
          <w:b/>
        </w:rPr>
        <w:t xml:space="preserve">Form Classification Tags</w:t>
      </w:r>
      <w:r>
        <w:t xml:space="preserve"> </w:t>
      </w:r>
      <w:r>
        <w:t xml:space="preserve">in the</w:t>
      </w:r>
      <w:r>
        <w:t xml:space="preserve"> </w:t>
      </w:r>
      <w:r>
        <w:rPr>
          <w:rStyle w:val="VerbatimChar"/>
          <w:bCs/>
          <w:b/>
        </w:rPr>
        <w:t xml:space="preserve">Original Glosses</w:t>
      </w:r>
      <w:r>
        <w:t xml:space="preserve">.</w:t>
      </w:r>
    </w:p>
    <w:p>
      <w:pPr>
        <w:pStyle w:val="BodyText"/>
      </w:pPr>
      <w:r>
        <w:t xml:space="preserve">An</w:t>
      </w:r>
      <w:r>
        <w:t xml:space="preserve"> </w:t>
      </w:r>
      <w:r>
        <w:rPr>
          <w:rStyle w:val="VerbatimChar"/>
          <w:bCs/>
          <w:b/>
        </w:rPr>
        <w:t xml:space="preserve">Entry</w:t>
      </w:r>
      <w:r>
        <w:t xml:space="preserve"> </w:t>
      </w:r>
      <w:r>
        <w:t xml:space="preserve">can also be identified as an</w:t>
      </w:r>
      <w:r>
        <w:t xml:space="preserve"> </w:t>
      </w:r>
      <w:r>
        <w:rPr>
          <w:rStyle w:val="VerbatimChar"/>
          <w:bCs/>
          <w:b/>
        </w:rPr>
        <w:t xml:space="preserve">Entry with Variant Character Information</w:t>
      </w:r>
      <w:r>
        <w:t xml:space="preserve"> </w:t>
      </w:r>
      <w:r>
        <w:t xml:space="preserve">based on its relationship with preceding and succeeding</w:t>
      </w:r>
      <w:r>
        <w:t xml:space="preserve"> </w:t>
      </w:r>
      <w:r>
        <w:rPr>
          <w:rStyle w:val="VerbatimChar"/>
          <w:bCs/>
          <w:b/>
        </w:rPr>
        <w:t xml:space="preserve">Entries</w:t>
      </w:r>
      <w:r>
        <w:t xml:space="preserve">, even without explicit</w:t>
      </w:r>
      <w:r>
        <w:t xml:space="preserve"> </w:t>
      </w:r>
      <w:r>
        <w:rPr>
          <w:bCs/>
          <w:b/>
        </w:rPr>
        <w:t xml:space="preserve">Form Classification Tags</w:t>
      </w:r>
      <w:r>
        <w:t xml:space="preserve">.</w:t>
      </w:r>
    </w:p>
    <w:p>
      <w:pPr>
        <w:pStyle w:val="BodyText"/>
      </w:pPr>
      <w:r>
        <w:t xml:space="preserve">An</w:t>
      </w:r>
      <w:r>
        <w:t xml:space="preserve"> </w:t>
      </w:r>
      <w:r>
        <w:rPr>
          <w:rStyle w:val="VerbatimChar"/>
          <w:bCs/>
          <w:b/>
        </w:rPr>
        <w:t xml:space="preserve">Entry</w:t>
      </w:r>
      <w:r>
        <w:t xml:space="preserve"> </w:t>
      </w:r>
      <w:r>
        <w:t xml:space="preserve">is determined to be an</w:t>
      </w:r>
      <w:r>
        <w:t xml:space="preserve"> </w:t>
      </w:r>
      <w:r>
        <w:rPr>
          <w:rStyle w:val="VerbatimChar"/>
          <w:bCs/>
          <w:b/>
        </w:rPr>
        <w:t xml:space="preserve">Entry with Variant Character Information</w:t>
      </w:r>
      <w:r>
        <w:t xml:space="preserve"> </w:t>
      </w:r>
      <w:r>
        <w:t xml:space="preserve">based on the content of the</w:t>
      </w:r>
      <w:r>
        <w:t xml:space="preserve"> </w:t>
      </w:r>
      <w:r>
        <w:rPr>
          <w:bCs/>
          <w:b/>
        </w:rPr>
        <w:t xml:space="preserve">Form Classification Tags</w:t>
      </w:r>
      <w:r>
        <w:t xml:space="preserve"> </w:t>
      </w:r>
      <w:r>
        <w:t xml:space="preserve">(such as</w:t>
      </w:r>
      <w:r>
        <w:t xml:space="preserve"> </w:t>
      </w:r>
      <w:r>
        <w:t xml:space="preserve">“</w:t>
      </w:r>
      <w:r>
        <w:t xml:space="preserve">正</w:t>
      </w:r>
      <w:r>
        <w:t xml:space="preserve">”</w:t>
      </w:r>
      <w:r>
        <w:t xml:space="preserve"> </w:t>
      </w:r>
      <w:r>
        <w:t xml:space="preserve">standard and</w:t>
      </w:r>
      <w:r>
        <w:t xml:space="preserve"> </w:t>
      </w:r>
      <w:r>
        <w:t xml:space="preserve">“</w:t>
      </w:r>
      <w:r>
        <w:t xml:space="preserve">俗</w:t>
      </w:r>
      <w:r>
        <w:t xml:space="preserve">”</w:t>
      </w:r>
      <w:r>
        <w:t xml:space="preserve"> </w:t>
      </w:r>
      <w:r>
        <w:t xml:space="preserve">popular/vulgar) found in the</w:t>
      </w:r>
      <w:r>
        <w:t xml:space="preserve"> </w:t>
      </w:r>
      <w:r>
        <w:rPr>
          <w:rStyle w:val="VerbatimChar"/>
          <w:bCs/>
          <w:b/>
        </w:rPr>
        <w:t xml:space="preserve">Original Glosses</w:t>
      </w:r>
      <w:r>
        <w:t xml:space="preserve">, or by the relationship between the listed</w:t>
      </w:r>
      <w:r>
        <w:t xml:space="preserve"> </w:t>
      </w:r>
      <w:r>
        <w:rPr>
          <w:rStyle w:val="VerbatimChar"/>
          <w:bCs/>
          <w:b/>
        </w:rPr>
        <w:t xml:space="preserve">Headwords</w:t>
      </w:r>
      <w:r>
        <w:t xml:space="preserve">.</w:t>
      </w:r>
    </w:p>
    <w:p>
      <w:pPr>
        <w:pStyle w:val="BodyText"/>
      </w:pPr>
      <w:r>
        <w:t xml:space="preserve">Currently, while we are unable to provide precise figures, our estimates suggest that out of the approximately 32,600</w:t>
      </w:r>
      <w:r>
        <w:t xml:space="preserve"> </w:t>
      </w:r>
      <w:r>
        <w:rPr>
          <w:rStyle w:val="VerbatimChar"/>
          <w:bCs/>
          <w:b/>
        </w:rPr>
        <w:t xml:space="preserve">Entries</w:t>
      </w:r>
      <w:r>
        <w:t xml:space="preserve"> </w:t>
      </w:r>
      <w:r>
        <w:t xml:space="preserve">in the Kanchi-in manuscript, around 14,000 are</w:t>
      </w:r>
      <w:r>
        <w:t xml:space="preserve"> </w:t>
      </w:r>
      <w:r>
        <w:rPr>
          <w:rStyle w:val="VerbatimChar"/>
          <w:bCs/>
          <w:b/>
        </w:rPr>
        <w:t xml:space="preserve">Entries with Variant Character Information</w:t>
      </w:r>
      <w:r>
        <w:t xml:space="preserve">. Among these, approximately 9,500 are expected to be in single-character form, and about 4,500 in multi-character form.</w:t>
      </w:r>
    </w:p>
    <w:p>
      <w:pPr>
        <w:pStyle w:val="BodyText"/>
      </w:pPr>
      <w:r>
        <w:t xml:space="preserve">Next, we will explain this with specific examples.</w:t>
      </w:r>
    </w:p>
    <w:p>
      <w:pPr>
        <w:pStyle w:val="BodyText"/>
      </w:pPr>
      <w:r>
        <w:rPr>
          <w:bCs/>
          <w:b/>
        </w:rPr>
        <w:t xml:space="preserve">Examples:</w:t>
      </w:r>
    </w:p>
    <w:p>
      <w:pPr>
        <w:numPr>
          <w:ilvl w:val="0"/>
          <w:numId w:val="1120"/>
        </w:numPr>
        <w:pStyle w:val="Compact"/>
      </w:pPr>
      <w:r>
        <w:t xml:space="preserve">Example with</w:t>
      </w:r>
      <w:r>
        <w:t xml:space="preserve"> </w:t>
      </w:r>
      <w:r>
        <w:rPr>
          <w:bCs/>
          <w:b/>
        </w:rPr>
        <w:t xml:space="preserve">Form Classification Tags</w:t>
      </w:r>
      <w:r>
        <w:t xml:space="preserve">: 槎査　上通下正</w:t>
      </w:r>
    </w:p>
    <w:p>
      <w:pPr>
        <w:numPr>
          <w:ilvl w:val="0"/>
          <w:numId w:val="1120"/>
        </w:numPr>
        <w:pStyle w:val="Compact"/>
      </w:pPr>
      <w:r>
        <w:t xml:space="preserve">Example with</w:t>
      </w:r>
      <w:r>
        <w:t xml:space="preserve"> </w:t>
      </w:r>
      <w:r>
        <w:rPr>
          <w:bCs/>
          <w:b/>
        </w:rPr>
        <w:t xml:space="preserve">Form Classification Tags</w:t>
      </w:r>
      <w:r>
        <w:t xml:space="preserve">: 㔽卣　今正</w:t>
      </w:r>
    </w:p>
    <w:p>
      <w:pPr>
        <w:numPr>
          <w:ilvl w:val="0"/>
          <w:numId w:val="1120"/>
        </w:numPr>
        <w:pStyle w:val="Compact"/>
      </w:pPr>
      <w:r>
        <w:t xml:space="preserve">Example without</w:t>
      </w:r>
      <w:r>
        <w:t xml:space="preserve"> </w:t>
      </w:r>
      <w:r>
        <w:rPr>
          <w:bCs/>
          <w:b/>
        </w:rPr>
        <w:t xml:space="preserve">Form Classification Tags</w:t>
      </w:r>
      <w:r>
        <w:t xml:space="preserve">: 若𠰥　音弱（SV）「シヤク」　モシ（RL）　…</w:t>
      </w:r>
    </w:p>
    <w:p>
      <w:pPr>
        <w:numPr>
          <w:ilvl w:val="0"/>
          <w:numId w:val="1120"/>
        </w:numPr>
        <w:pStyle w:val="Compact"/>
      </w:pPr>
      <w:r>
        <w:t xml:space="preserve">Example without</w:t>
      </w:r>
      <w:r>
        <w:t xml:space="preserve"> </w:t>
      </w:r>
      <w:r>
        <w:rPr>
          <w:bCs/>
          <w:b/>
        </w:rPr>
        <w:t xml:space="preserve">Form Classification Tags</w:t>
      </w:r>
      <w:r>
        <w:t xml:space="preserve">: 政⿰正攴 之盛反　マツリコト（HHHH_） …</w:t>
      </w:r>
    </w:p>
    <w:p>
      <w:pPr>
        <w:numPr>
          <w:ilvl w:val="0"/>
          <w:numId w:val="1120"/>
        </w:numPr>
        <w:pStyle w:val="Compact"/>
      </w:pPr>
      <w:r>
        <w:t xml:space="preserve">Example with Partially Missing</w:t>
      </w:r>
      <w:r>
        <w:t xml:space="preserve"> </w:t>
      </w:r>
      <w:r>
        <w:rPr>
          <w:bCs/>
          <w:b/>
        </w:rPr>
        <w:t xml:space="preserve">Form Classification Tags</w:t>
      </w:r>
      <w:r>
        <w:t xml:space="preserve">:</w:t>
      </w:r>
      <w:r>
        <w:t xml:space="preserve"> </w:t>
      </w:r>
      <w:r>
        <w:drawing>
          <wp:inline>
            <wp:extent cx="635000" cy="635000"/>
            <wp:effectExtent b="0" l="0" r="0" t="0"/>
            <wp:docPr descr="㲻" title="" id="130" name="Picture"/>
            <a:graphic>
              <a:graphicData uri="http://schemas.openxmlformats.org/drawingml/2006/picture">
                <pic:pic>
                  <pic:nvPicPr>
                    <pic:cNvPr descr="https://glyphwiki.org/glyph/hdic_hkrm-01007840.50px.png" id="131" name="Picture"/>
                    <pic:cNvPicPr>
                      <a:picLocks noChangeArrowheads="1" noChangeAspect="1"/>
                    </pic:cNvPicPr>
                  </pic:nvPicPr>
                  <pic:blipFill>
                    <a:blip r:embed="rId129"/>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溺字　キヨシ（LL_）　タヽヨフ</w:t>
      </w:r>
      <w:r>
        <w:t xml:space="preserve"> </w:t>
      </w:r>
      <w:r>
        <w:drawing>
          <wp:inline>
            <wp:extent cx="476250" cy="476250"/>
            <wp:effectExtent b="0" l="0" r="0" t="0"/>
            <wp:docPr descr="㲻" title="" id="133" name="Picture"/>
            <a:graphic>
              <a:graphicData uri="http://schemas.openxmlformats.org/drawingml/2006/picture">
                <pic:pic>
                  <pic:nvPicPr>
                    <pic:cNvPr descr="https://glyphwiki.org/glyph/hdic_hkrm-01008110.50px.png" id="134" name="Picture"/>
                    <pic:cNvPicPr>
                      <a:picLocks noChangeArrowheads="1" noChangeAspect="1"/>
                    </pic:cNvPicPr>
                  </pic:nvPicPr>
                  <pic:blipFill>
                    <a:blip r:embed="rId132"/>
                    <a:stretch>
                      <a:fillRect/>
                    </a:stretch>
                  </pic:blipFill>
                  <pic:spPr bwMode="auto">
                    <a:xfrm>
                      <a:off x="0" y="0"/>
                      <a:ext cx="476250" cy="476250"/>
                    </a:xfrm>
                    <a:prstGeom prst="rect">
                      <a:avLst/>
                    </a:prstGeom>
                    <a:noFill/>
                    <a:ln w="9525">
                      <a:noFill/>
                      <a:headEnd/>
                      <a:tailEnd/>
                    </a:ln>
                  </pic:spPr>
                </pic:pic>
              </a:graphicData>
            </a:graphic>
          </wp:inline>
        </w:drawing>
      </w:r>
      <w:r>
        <w:t xml:space="preserve">（無）</w:t>
      </w:r>
    </w:p>
    <w:p>
      <w:pPr>
        <w:pStyle w:val="FirstParagraph"/>
      </w:pPr>
      <w:r>
        <w:t xml:space="preserve">In Example 1, from the</w:t>
      </w:r>
      <w:r>
        <w:t xml:space="preserve"> </w:t>
      </w:r>
      <w:r>
        <w:rPr>
          <w:rStyle w:val="VerbatimChar"/>
          <w:bCs/>
          <w:b/>
        </w:rPr>
        <w:t xml:space="preserve">Original Glosses</w:t>
      </w:r>
      <w:r>
        <w:t xml:space="preserve"> </w:t>
      </w:r>
      <w:r>
        <w:t xml:space="preserve">“</w:t>
      </w:r>
      <w:r>
        <w:t xml:space="preserve">上通下正,</w:t>
      </w:r>
      <w:r>
        <w:t xml:space="preserve">”</w:t>
      </w:r>
      <w:r>
        <w:t xml:space="preserve"> </w:t>
      </w:r>
      <w:r>
        <w:t xml:space="preserve">it is stated that the</w:t>
      </w:r>
      <w:r>
        <w:t xml:space="preserve"> </w:t>
      </w:r>
      <w:r>
        <w:rPr>
          <w:rStyle w:val="VerbatimChar"/>
          <w:bCs/>
          <w:b/>
        </w:rPr>
        <w:t xml:space="preserve">Headword</w:t>
      </w:r>
      <w:r>
        <w:t xml:space="preserve"> </w:t>
      </w:r>
      <w:r>
        <w:t xml:space="preserve">“</w:t>
      </w:r>
      <w:r>
        <w:t xml:space="preserve">槎</w:t>
      </w:r>
      <w:r>
        <w:t xml:space="preserve">”</w:t>
      </w:r>
      <w:r>
        <w:t xml:space="preserve"> </w:t>
      </w:r>
      <w:r>
        <w:t xml:space="preserve">is</w:t>
      </w:r>
      <w:r>
        <w:t xml:space="preserve"> </w:t>
      </w:r>
      <w:r>
        <w:t xml:space="preserve">“</w:t>
      </w:r>
      <w:r>
        <w:t xml:space="preserve">通</w:t>
      </w:r>
      <w:r>
        <w:t xml:space="preserve">”</w:t>
      </w:r>
      <w:r>
        <w:t xml:space="preserve"> </w:t>
      </w:r>
      <w:r>
        <w:t xml:space="preserve">(common) and</w:t>
      </w:r>
      <w:r>
        <w:t xml:space="preserve"> </w:t>
      </w:r>
      <w:r>
        <w:t xml:space="preserve">“</w:t>
      </w:r>
      <w:r>
        <w:t xml:space="preserve">査</w:t>
      </w:r>
      <w:r>
        <w:t xml:space="preserve">”</w:t>
      </w:r>
      <w:r>
        <w:t xml:space="preserve"> </w:t>
      </w:r>
      <w:r>
        <w:t xml:space="preserve">is</w:t>
      </w:r>
      <w:r>
        <w:t xml:space="preserve"> </w:t>
      </w:r>
      <w:r>
        <w:t xml:space="preserve">“</w:t>
      </w:r>
      <w:r>
        <w:t xml:space="preserve">正</w:t>
      </w:r>
      <w:r>
        <w:t xml:space="preserve">”</w:t>
      </w:r>
      <w:r>
        <w:t xml:space="preserve"> </w:t>
      </w:r>
      <w:r>
        <w:t xml:space="preserve">(standard), indicating that</w:t>
      </w:r>
      <w:r>
        <w:t xml:space="preserve"> </w:t>
      </w:r>
      <w:r>
        <w:t xml:space="preserve">“</w:t>
      </w:r>
      <w:r>
        <w:t xml:space="preserve">槎</w:t>
      </w:r>
      <w:r>
        <w:t xml:space="preserve">”</w:t>
      </w:r>
      <w:r>
        <w:t xml:space="preserve"> </w:t>
      </w:r>
      <w:r>
        <w:t xml:space="preserve">and</w:t>
      </w:r>
      <w:r>
        <w:t xml:space="preserve"> </w:t>
      </w:r>
      <w:r>
        <w:t xml:space="preserve">“</w:t>
      </w:r>
      <w:r>
        <w:t xml:space="preserve">査</w:t>
      </w:r>
      <w:r>
        <w:t xml:space="preserve">”</w:t>
      </w:r>
      <w:r>
        <w:t xml:space="preserve"> </w:t>
      </w:r>
      <w:r>
        <w:t xml:space="preserve">are listed together as</w:t>
      </w:r>
      <w:r>
        <w:t xml:space="preserve"> </w:t>
      </w:r>
      <w:r>
        <w:rPr>
          <w:rStyle w:val="VerbatimChar"/>
          <w:bCs/>
          <w:b/>
        </w:rPr>
        <w:t xml:space="preserve">Headwords</w:t>
      </w:r>
      <w:r>
        <w:t xml:space="preserve"> </w:t>
      </w:r>
      <w:r>
        <w:t xml:space="preserve">in a</w:t>
      </w:r>
      <w:r>
        <w:t xml:space="preserve"> </w:t>
      </w:r>
      <w:r>
        <w:rPr>
          <w:rStyle w:val="VerbatimChar"/>
          <w:bCs/>
          <w:b/>
        </w:rPr>
        <w:t xml:space="preserve">variant character (*itaiji*)</w:t>
      </w:r>
      <w:r>
        <w:t xml:space="preserve"> </w:t>
      </w:r>
      <w:r>
        <w:t xml:space="preserve">relationship.</w:t>
      </w:r>
    </w:p>
    <w:p>
      <w:pPr>
        <w:pStyle w:val="BodyText"/>
      </w:pPr>
      <w:r>
        <w:t xml:space="preserve">Similarly, in Example 2, from the</w:t>
      </w:r>
      <w:r>
        <w:t xml:space="preserve"> </w:t>
      </w:r>
      <w:r>
        <w:rPr>
          <w:rStyle w:val="VerbatimChar"/>
          <w:bCs/>
          <w:b/>
        </w:rPr>
        <w:t xml:space="preserve">Original Glosses</w:t>
      </w:r>
      <w:r>
        <w:t xml:space="preserve"> </w:t>
      </w:r>
      <w:r>
        <w:t xml:space="preserve">“</w:t>
      </w:r>
      <w:r>
        <w:t xml:space="preserve">今正,</w:t>
      </w:r>
      <w:r>
        <w:t xml:space="preserve">”</w:t>
      </w:r>
      <w:r>
        <w:t xml:space="preserve"> </w:t>
      </w:r>
      <w:r>
        <w:t xml:space="preserve">it is stated that the</w:t>
      </w:r>
      <w:r>
        <w:t xml:space="preserve"> </w:t>
      </w:r>
      <w:r>
        <w:rPr>
          <w:rStyle w:val="VerbatimChar"/>
          <w:bCs/>
          <w:b/>
        </w:rPr>
        <w:t xml:space="preserve">Headword</w:t>
      </w:r>
      <w:r>
        <w:t xml:space="preserve"> </w:t>
      </w:r>
      <w:r>
        <w:t xml:space="preserve">“</w:t>
      </w:r>
      <w:r>
        <w:t xml:space="preserve">㔽</w:t>
      </w:r>
      <w:r>
        <w:t xml:space="preserve">”</w:t>
      </w:r>
      <w:r>
        <w:t xml:space="preserve"> </w:t>
      </w:r>
      <w:r>
        <w:t xml:space="preserve">is</w:t>
      </w:r>
      <w:r>
        <w:t xml:space="preserve"> </w:t>
      </w:r>
      <w:r>
        <w:t xml:space="preserve">“</w:t>
      </w:r>
      <w:r>
        <w:t xml:space="preserve">今</w:t>
      </w:r>
      <w:r>
        <w:t xml:space="preserve">”</w:t>
      </w:r>
      <w:r>
        <w:t xml:space="preserve"> </w:t>
      </w:r>
      <w:r>
        <w:t xml:space="preserve">(current/present form) and</w:t>
      </w:r>
      <w:r>
        <w:t xml:space="preserve"> </w:t>
      </w:r>
      <w:r>
        <w:t xml:space="preserve">“</w:t>
      </w:r>
      <w:r>
        <w:t xml:space="preserve">卣</w:t>
      </w:r>
      <w:r>
        <w:t xml:space="preserve">”</w:t>
      </w:r>
      <w:r>
        <w:t xml:space="preserve"> </w:t>
      </w:r>
      <w:r>
        <w:t xml:space="preserve">is</w:t>
      </w:r>
      <w:r>
        <w:t xml:space="preserve"> </w:t>
      </w:r>
      <w:r>
        <w:t xml:space="preserve">“</w:t>
      </w:r>
      <w:r>
        <w:t xml:space="preserve">正</w:t>
      </w:r>
      <w:r>
        <w:t xml:space="preserve">”</w:t>
      </w:r>
      <w:r>
        <w:t xml:space="preserve"> </w:t>
      </w:r>
      <w:r>
        <w:t xml:space="preserve">(standard), allowing us to identify this as an</w:t>
      </w:r>
      <w:r>
        <w:t xml:space="preserve"> </w:t>
      </w:r>
      <w:r>
        <w:rPr>
          <w:rStyle w:val="VerbatimChar"/>
          <w:bCs/>
          <w:b/>
        </w:rPr>
        <w:t xml:space="preserve">Entry with Variant Character Information</w:t>
      </w:r>
      <w:r>
        <w:t xml:space="preserve">.</w:t>
      </w:r>
    </w:p>
    <w:p>
      <w:pPr>
        <w:pStyle w:val="BodyText"/>
      </w:pPr>
      <w:r>
        <w:t xml:space="preserve">Examples 3 and 4 are cases where no</w:t>
      </w:r>
      <w:r>
        <w:t xml:space="preserve"> </w:t>
      </w:r>
      <w:r>
        <w:rPr>
          <w:bCs/>
          <w:b/>
        </w:rPr>
        <w:t xml:space="preserve">Form Classification Tags</w:t>
      </w:r>
      <w:r>
        <w:t xml:space="preserve"> </w:t>
      </w:r>
      <w:r>
        <w:t xml:space="preserve">are visible in the</w:t>
      </w:r>
      <w:r>
        <w:t xml:space="preserve"> </w:t>
      </w:r>
      <w:r>
        <w:rPr>
          <w:rStyle w:val="VerbatimChar"/>
          <w:bCs/>
          <w:b/>
        </w:rPr>
        <w:t xml:space="preserve">Original Glosses</w:t>
      </w:r>
      <w:r>
        <w:t xml:space="preserve">. In Example 3, the difference between</w:t>
      </w:r>
      <w:r>
        <w:t xml:space="preserve"> </w:t>
      </w:r>
      <w:r>
        <w:t xml:space="preserve">“</w:t>
      </w:r>
      <w:r>
        <w:t xml:space="preserve">若</w:t>
      </w:r>
      <w:r>
        <w:t xml:space="preserve">”</w:t>
      </w:r>
      <w:r>
        <w:t xml:space="preserve"> </w:t>
      </w:r>
      <w:r>
        <w:t xml:space="preserve">and</w:t>
      </w:r>
      <w:r>
        <w:t xml:space="preserve"> </w:t>
      </w:r>
      <w:r>
        <w:t xml:space="preserve">“</w:t>
      </w:r>
      <w:r>
        <w:t xml:space="preserve">𠰥</w:t>
      </w:r>
      <w:r>
        <w:t xml:space="preserve">”</w:t>
      </w:r>
      <w:r>
        <w:t xml:space="preserve"> </w:t>
      </w:r>
      <w:r>
        <w:t xml:space="preserve">is a minimal variation between</w:t>
      </w:r>
      <w:r>
        <w:t xml:space="preserve"> </w:t>
      </w:r>
      <w:r>
        <w:t xml:space="preserve">“</w:t>
      </w:r>
      <w:r>
        <w:t xml:space="preserve">艹</w:t>
      </w:r>
      <w:r>
        <w:t xml:space="preserve">”</w:t>
      </w:r>
      <w:r>
        <w:t xml:space="preserve"> </w:t>
      </w:r>
      <w:r>
        <w:t xml:space="preserve">(grass radical) and</w:t>
      </w:r>
      <w:r>
        <w:t xml:space="preserve"> </w:t>
      </w:r>
      <w:r>
        <w:t xml:space="preserve">“</w:t>
      </w:r>
      <w:r>
        <w:t xml:space="preserve">䒑</w:t>
      </w:r>
      <w:r>
        <w:t xml:space="preserve">”</w:t>
      </w:r>
      <w:r>
        <w:t xml:space="preserve"> </w:t>
      </w:r>
      <w:r>
        <w:t xml:space="preserve">(grass head). Similarly, in Example 4, the difference between</w:t>
      </w:r>
      <w:r>
        <w:t xml:space="preserve"> </w:t>
      </w:r>
      <w:r>
        <w:t xml:space="preserve">“</w:t>
      </w:r>
      <w:r>
        <w:t xml:space="preserve">政</w:t>
      </w:r>
      <w:r>
        <w:t xml:space="preserve">”</w:t>
      </w:r>
      <w:r>
        <w:t xml:space="preserve"> </w:t>
      </w:r>
      <w:r>
        <w:t xml:space="preserve">and</w:t>
      </w:r>
      <w:r>
        <w:t xml:space="preserve"> </w:t>
      </w:r>
      <w:r>
        <w:t xml:space="preserve">“</w:t>
      </w:r>
      <w:r>
        <w:t xml:space="preserve">⿰正攴</w:t>
      </w:r>
      <w:r>
        <w:t xml:space="preserve">”</w:t>
      </w:r>
      <w:r>
        <w:t xml:space="preserve"> </w:t>
      </w:r>
      <w:r>
        <w:t xml:space="preserve">is a slight variation between</w:t>
      </w:r>
      <w:r>
        <w:t xml:space="preserve"> </w:t>
      </w:r>
      <w:r>
        <w:t xml:space="preserve">“</w:t>
      </w:r>
      <w:r>
        <w:t xml:space="preserve">攵</w:t>
      </w:r>
      <w:r>
        <w:t xml:space="preserve">”</w:t>
      </w:r>
      <w:r>
        <w:t xml:space="preserve"> </w:t>
      </w:r>
      <w:r>
        <w:t xml:space="preserve">(knock radical) and</w:t>
      </w:r>
      <w:r>
        <w:t xml:space="preserve"> </w:t>
      </w:r>
      <w:r>
        <w:t xml:space="preserve">“</w:t>
      </w:r>
      <w:r>
        <w:t xml:space="preserve">攴</w:t>
      </w:r>
      <w:r>
        <w:t xml:space="preserve">”</w:t>
      </w:r>
      <w:r>
        <w:t xml:space="preserve"> </w:t>
      </w:r>
      <w:r>
        <w:t xml:space="preserve">(tap/rap radical). In both cases, it is clear that they are in a</w:t>
      </w:r>
      <w:r>
        <w:t xml:space="preserve"> </w:t>
      </w:r>
      <w:r>
        <w:rPr>
          <w:rStyle w:val="VerbatimChar"/>
          <w:bCs/>
          <w:b/>
        </w:rPr>
        <w:t xml:space="preserve">variant character</w:t>
      </w:r>
      <w:r>
        <w:rPr>
          <w:bCs/>
          <w:b/>
        </w:rPr>
        <w:t xml:space="preserve"> </w:t>
      </w:r>
      <w:r>
        <w:rPr>
          <w:bCs/>
          <w:b/>
        </w:rPr>
        <w:t xml:space="preserve">(</w:t>
      </w:r>
      <w:r>
        <w:rPr>
          <w:iCs/>
          <w:i/>
          <w:bCs/>
          <w:b/>
        </w:rPr>
        <w:t xml:space="preserve">itaiji</w:t>
      </w:r>
      <w:r>
        <w:rPr>
          <w:bCs/>
          <w:b/>
        </w:rPr>
        <w:t xml:space="preserve">)</w:t>
      </w:r>
      <w:r>
        <w:t xml:space="preserve"> </w:t>
      </w:r>
      <w:r>
        <w:t xml:space="preserve">relationship.</w:t>
      </w:r>
    </w:p>
    <w:p>
      <w:pPr>
        <w:pStyle w:val="BodyText"/>
      </w:pPr>
      <w:r>
        <w:t xml:space="preserve">In Example 5, while has the note</w:t>
      </w:r>
      <w:r>
        <w:t xml:space="preserve"> </w:t>
      </w:r>
      <w:r>
        <w:t xml:space="preserve">“</w:t>
      </w:r>
      <w:r>
        <w:t xml:space="preserve">溺字</w:t>
      </w:r>
      <w:r>
        <w:t xml:space="preserve">”</w:t>
      </w:r>
      <w:r>
        <w:t xml:space="preserve"> </w:t>
      </w:r>
      <w:r>
        <w:t xml:space="preserve">(indicating, as per the Guangyun, that 㲻 is an ancient form of 溺</w:t>
      </w:r>
      <w:r>
        <w:t xml:space="preserve"> </w:t>
      </w:r>
      <w:r>
        <w:t xml:space="preserve">‘</w:t>
      </w:r>
      <w:r>
        <w:t xml:space="preserve">drowning</w:t>
      </w:r>
      <w:r>
        <w:t xml:space="preserve">’</w:t>
      </w:r>
      <w:r>
        <w:t xml:space="preserve"> </w:t>
      </w:r>
      <w:r>
        <w:t xml:space="preserve">[</w:t>
      </w:r>
      <w:r>
        <w:t xml:space="preserve">“</w:t>
      </w:r>
      <w:r>
        <w:t xml:space="preserve">古作㲻</w:t>
      </w:r>
      <w:r>
        <w:t xml:space="preserve">”</w:t>
      </w:r>
      <w:r>
        <w:t xml:space="preserve">]), the subsequent</w:t>
      </w:r>
      <w:r>
        <w:t xml:space="preserve"> </w:t>
      </w:r>
      <w:r>
        <w:rPr>
          <w:rStyle w:val="VerbatimChar"/>
          <w:bCs/>
          <w:b/>
        </w:rPr>
        <w:t xml:space="preserve">Entry</w:t>
      </w:r>
      <w:r>
        <w:t xml:space="preserve"> </w:t>
      </w:r>
      <w:r>
        <w:t xml:space="preserve">lacks</w:t>
      </w:r>
      <w:r>
        <w:t xml:space="preserve"> </w:t>
      </w:r>
      <w:r>
        <w:rPr>
          <w:rStyle w:val="VerbatimChar"/>
          <w:bCs/>
          <w:b/>
        </w:rPr>
        <w:t xml:space="preserve">Original Glosses</w:t>
      </w:r>
      <w:r>
        <w:t xml:space="preserve">. This example involves</w:t>
      </w:r>
      <w:r>
        <w:t xml:space="preserve"> </w:t>
      </w:r>
      <w:r>
        <w:t xml:space="preserve">“</w:t>
      </w:r>
      <w:r>
        <w:t xml:space="preserve">㲻</w:t>
      </w:r>
      <w:r>
        <w:t xml:space="preserve">”</w:t>
      </w:r>
      <w:r>
        <w:t xml:space="preserve"> </w:t>
      </w:r>
      <w:r>
        <w:t xml:space="preserve">and its</w:t>
      </w:r>
      <w:r>
        <w:t xml:space="preserve"> </w:t>
      </w:r>
      <w:r>
        <w:rPr>
          <w:rStyle w:val="VerbatimChar"/>
          <w:bCs/>
          <w:b/>
        </w:rPr>
        <w:t xml:space="preserve">variant character</w:t>
      </w:r>
      <w:r>
        <w:rPr>
          <w:bCs/>
          <w:b/>
        </w:rPr>
        <w:t xml:space="preserve"> </w:t>
      </w:r>
      <w:r>
        <w:rPr>
          <w:bCs/>
          <w:b/>
        </w:rPr>
        <w:t xml:space="preserve">(</w:t>
      </w:r>
      <w:r>
        <w:rPr>
          <w:iCs/>
          <w:i/>
          <w:bCs/>
          <w:b/>
        </w:rPr>
        <w:t xml:space="preserve">itaiji</w:t>
      </w:r>
      <w:r>
        <w:rPr>
          <w:bCs/>
          <w:b/>
        </w:rPr>
        <w:t xml:space="preserve">)</w:t>
      </w:r>
      <w:r>
        <w:t xml:space="preserve">, so</w:t>
      </w:r>
      <w:r>
        <w:t xml:space="preserve"> </w:t>
      </w:r>
      <w:hyperlink r:id="rId135">
        <w:r>
          <w:rPr>
            <w:rStyle w:val="Hyperlink"/>
          </w:rPr>
          <w:t xml:space="preserve">GlyphWiki</w:t>
        </w:r>
      </w:hyperlink>
      <w:r>
        <w:t xml:space="preserve"> </w:t>
      </w:r>
      <w:r>
        <w:t xml:space="preserve">is used to display them to clarify their difference.</w:t>
      </w:r>
    </w:p>
    <w:bookmarkEnd w:id="136"/>
    <w:bookmarkStart w:id="137" w:name="Xe37a26b9305bb56414794cea1ed0f7d709d364b"/>
    <w:p>
      <w:pPr>
        <w:pStyle w:val="Heading3"/>
      </w:pPr>
      <w:r>
        <w:rPr>
          <w:rStyle w:val="SectionNumber"/>
        </w:rPr>
        <w:t xml:space="preserve">12.2.2</w:t>
      </w:r>
      <w:r>
        <w:tab/>
      </w:r>
      <w:r>
        <w:t xml:space="preserve">Idiom Entries</w:t>
      </w:r>
    </w:p>
    <w:p>
      <w:pPr>
        <w:pStyle w:val="FirstParagraph"/>
      </w:pPr>
      <w:r>
        <w:t xml:space="preserve">An</w:t>
      </w:r>
      <w:r>
        <w:t xml:space="preserve"> </w:t>
      </w:r>
      <w:r>
        <w:rPr>
          <w:rStyle w:val="VerbatimChar"/>
          <w:bCs/>
          <w:b/>
        </w:rPr>
        <w:t xml:space="preserve">Idiom Entry</w:t>
      </w:r>
      <w:r>
        <w:t xml:space="preserve"> </w:t>
      </w:r>
      <w:r>
        <w:t xml:space="preserve">(熟語項目) is one where the</w:t>
      </w:r>
      <w:r>
        <w:t xml:space="preserve"> </w:t>
      </w:r>
      <w:r>
        <w:rPr>
          <w:rStyle w:val="VerbatimChar"/>
          <w:bCs/>
          <w:b/>
        </w:rPr>
        <w:t xml:space="preserve">Headword</w:t>
      </w:r>
      <w:r>
        <w:t xml:space="preserve"> </w:t>
      </w:r>
      <w:r>
        <w:t xml:space="preserve">is in multi-character form and constitutes an idiom. While an</w:t>
      </w:r>
      <w:r>
        <w:t xml:space="preserve"> </w:t>
      </w:r>
      <w:r>
        <w:rPr>
          <w:rStyle w:val="VerbatimChar"/>
          <w:bCs/>
          <w:b/>
        </w:rPr>
        <w:t xml:space="preserve">Entry</w:t>
      </w:r>
      <w:r>
        <w:t xml:space="preserve"> </w:t>
      </w:r>
      <w:r>
        <w:t xml:space="preserve">is clearly an</w:t>
      </w:r>
      <w:r>
        <w:t xml:space="preserve"> </w:t>
      </w:r>
      <w:r>
        <w:rPr>
          <w:rStyle w:val="VerbatimChar"/>
          <w:bCs/>
          <w:b/>
        </w:rPr>
        <w:t xml:space="preserve">Idiom Entry</w:t>
      </w:r>
      <w:r>
        <w:t xml:space="preserve"> </w:t>
      </w:r>
      <w:r>
        <w:t xml:space="preserve">if there is an explanation of the</w:t>
      </w:r>
      <w:r>
        <w:t xml:space="preserve"> </w:t>
      </w:r>
      <w:r>
        <w:rPr>
          <w:rStyle w:val="VerbatimChar"/>
          <w:bCs/>
          <w:b/>
        </w:rPr>
        <w:t xml:space="preserve">Headword</w:t>
      </w:r>
      <w:r>
        <w:t xml:space="preserve"> </w:t>
      </w:r>
      <w:r>
        <w:t xml:space="preserve">as an idiom in the</w:t>
      </w:r>
      <w:r>
        <w:t xml:space="preserve"> </w:t>
      </w:r>
      <w:r>
        <w:rPr>
          <w:rStyle w:val="VerbatimChar"/>
          <w:bCs/>
          <w:b/>
        </w:rPr>
        <w:t xml:space="preserve">Original Glosses</w:t>
      </w:r>
      <w:r>
        <w:t xml:space="preserve">, it is also considered an</w:t>
      </w:r>
      <w:r>
        <w:t xml:space="preserve"> </w:t>
      </w:r>
      <w:r>
        <w:rPr>
          <w:rStyle w:val="VerbatimChar"/>
          <w:bCs/>
          <w:b/>
        </w:rPr>
        <w:t xml:space="preserve">Idiom Entry</w:t>
      </w:r>
      <w:r>
        <w:t xml:space="preserve"> </w:t>
      </w:r>
      <w:r>
        <w:t xml:space="preserve">even when there is no such explanation and</w:t>
      </w:r>
      <w:r>
        <w:t xml:space="preserve"> </w:t>
      </w:r>
      <w:r>
        <w:rPr>
          <w:rStyle w:val="VerbatimChar"/>
          <w:bCs/>
          <w:b/>
        </w:rPr>
        <w:t xml:space="preserve">Phonetic Glosses</w:t>
      </w:r>
      <w:r>
        <w:t xml:space="preserve"> </w:t>
      </w:r>
      <w:r>
        <w:t xml:space="preserve">and</w:t>
      </w:r>
      <w:r>
        <w:t xml:space="preserve"> </w:t>
      </w:r>
      <w:r>
        <w:rPr>
          <w:rStyle w:val="VerbatimChar"/>
          <w:bCs/>
          <w:b/>
        </w:rPr>
        <w:t xml:space="preserve">Semantic Glosses in Chinese</w:t>
      </w:r>
      <w:r>
        <w:t xml:space="preserve"> </w:t>
      </w:r>
      <w:r>
        <w:t xml:space="preserve">are provided for each character of the</w:t>
      </w:r>
      <w:r>
        <w:t xml:space="preserve"> </w:t>
      </w:r>
      <w:r>
        <w:rPr>
          <w:rStyle w:val="VerbatimChar"/>
          <w:bCs/>
          <w:b/>
        </w:rPr>
        <w:t xml:space="preserve">Headword</w:t>
      </w:r>
      <w:r>
        <w:t xml:space="preserve">.</w:t>
      </w:r>
    </w:p>
    <w:p>
      <w:pPr>
        <w:pStyle w:val="BodyText"/>
      </w:pPr>
      <w:r>
        <w:t xml:space="preserve">Currently, while precise figures are not available, the estimated numbers for</w:t>
      </w:r>
      <w:r>
        <w:t xml:space="preserve"> </w:t>
      </w:r>
      <w:r>
        <w:rPr>
          <w:rStyle w:val="VerbatimChar"/>
          <w:bCs/>
          <w:b/>
        </w:rPr>
        <w:t xml:space="preserve">Idiom Entries</w:t>
      </w:r>
      <w:r>
        <w:t xml:space="preserve"> </w:t>
      </w:r>
      <w:r>
        <w:t xml:space="preserve">are as follows:</w:t>
      </w:r>
    </w:p>
    <w:p>
      <w:pPr>
        <w:pStyle w:val="BodyText"/>
      </w:pPr>
      <w:r>
        <w:t xml:space="preserve">Out of the approximately 32,600</w:t>
      </w:r>
      <w:r>
        <w:t xml:space="preserve"> </w:t>
      </w:r>
      <w:r>
        <w:rPr>
          <w:rStyle w:val="VerbatimChar"/>
          <w:bCs/>
          <w:b/>
        </w:rPr>
        <w:t xml:space="preserve">Entries</w:t>
      </w:r>
      <w:r>
        <w:t xml:space="preserve"> </w:t>
      </w:r>
      <w:r>
        <w:t xml:space="preserve">in the Kanchi-in manuscript, around 14,000 are</w:t>
      </w:r>
      <w:r>
        <w:t xml:space="preserve"> </w:t>
      </w:r>
      <w:r>
        <w:rPr>
          <w:rStyle w:val="VerbatimChar"/>
          <w:bCs/>
          <w:b/>
        </w:rPr>
        <w:t xml:space="preserve">Entries with Variant Character Information</w:t>
      </w:r>
      <w:r>
        <w:t xml:space="preserve">, meaning that approximately 18,600</w:t>
      </w:r>
      <w:r>
        <w:t xml:space="preserve"> </w:t>
      </w:r>
      <w:r>
        <w:rPr>
          <w:rStyle w:val="VerbatimChar"/>
          <w:bCs/>
          <w:b/>
        </w:rPr>
        <w:t xml:space="preserve">Entries</w:t>
      </w:r>
      <w:r>
        <w:t xml:space="preserve"> </w:t>
      </w:r>
      <w:r>
        <w:t xml:space="preserve">are not</w:t>
      </w:r>
      <w:r>
        <w:t xml:space="preserve"> </w:t>
      </w:r>
      <w:r>
        <w:rPr>
          <w:rStyle w:val="VerbatimChar"/>
          <w:bCs/>
          <w:b/>
        </w:rPr>
        <w:t xml:space="preserve">Entries with Variant Character Information</w:t>
      </w:r>
      <w:r>
        <w:t xml:space="preserve">. Among these approximately 18,600</w:t>
      </w:r>
      <w:r>
        <w:t xml:space="preserve"> </w:t>
      </w:r>
      <w:r>
        <w:rPr>
          <w:rStyle w:val="VerbatimChar"/>
          <w:bCs/>
          <w:b/>
        </w:rPr>
        <w:t xml:space="preserve">Entries</w:t>
      </w:r>
      <w:r>
        <w:t xml:space="preserve">, about 15,000 are in single-character form, and 3,500 are in multi-character form. These multi-character form</w:t>
      </w:r>
      <w:r>
        <w:t xml:space="preserve"> </w:t>
      </w:r>
      <w:r>
        <w:rPr>
          <w:rStyle w:val="VerbatimChar"/>
          <w:bCs/>
          <w:b/>
        </w:rPr>
        <w:t xml:space="preserve">Entries</w:t>
      </w:r>
      <w:r>
        <w:t xml:space="preserve"> </w:t>
      </w:r>
      <w:r>
        <w:t xml:space="preserve">are projected to be</w:t>
      </w:r>
      <w:r>
        <w:t xml:space="preserve"> </w:t>
      </w:r>
      <w:r>
        <w:rPr>
          <w:rStyle w:val="VerbatimChar"/>
          <w:bCs/>
          <w:b/>
        </w:rPr>
        <w:t xml:space="preserve">Idiom Entries</w:t>
      </w:r>
      <w:r>
        <w:t xml:space="preserve">. The remaining approximately 100</w:t>
      </w:r>
      <w:r>
        <w:t xml:space="preserve"> </w:t>
      </w:r>
      <w:r>
        <w:rPr>
          <w:rStyle w:val="VerbatimChar"/>
          <w:bCs/>
          <w:b/>
        </w:rPr>
        <w:t xml:space="preserve">Entries</w:t>
      </w:r>
      <w:r>
        <w:t xml:space="preserve"> </w:t>
      </w:r>
      <w:r>
        <w:t xml:space="preserve">are those for which the</w:t>
      </w:r>
      <w:r>
        <w:t xml:space="preserve"> </w:t>
      </w:r>
      <w:r>
        <w:rPr>
          <w:rStyle w:val="VerbatimChar"/>
          <w:bCs/>
          <w:b/>
        </w:rPr>
        <w:t xml:space="preserve">Entry</w:t>
      </w:r>
      <w:r>
        <w:t xml:space="preserve"> </w:t>
      </w:r>
      <w:r>
        <w:t xml:space="preserve">type cannot be determined based on their content.</w:t>
      </w:r>
    </w:p>
    <w:p>
      <w:pPr>
        <w:pStyle w:val="BodyText"/>
      </w:pPr>
      <w:r>
        <w:t xml:space="preserve">Next, we will provide specific examples.</w:t>
      </w:r>
    </w:p>
    <w:p>
      <w:pPr>
        <w:pStyle w:val="BodyText"/>
      </w:pPr>
      <w:r>
        <w:rPr>
          <w:bCs/>
          <w:b/>
        </w:rPr>
        <w:t xml:space="preserve">Examples:</w:t>
      </w:r>
    </w:p>
    <w:p>
      <w:pPr>
        <w:numPr>
          <w:ilvl w:val="0"/>
          <w:numId w:val="1121"/>
        </w:numPr>
        <w:pStyle w:val="Compact"/>
      </w:pPr>
      <w:r>
        <w:t xml:space="preserve">凡ー（俗） タヽヒト（LLV_</w:t>
      </w:r>
      <w:r>
        <w:rPr>
          <w:iCs/>
          <w:i/>
        </w:rPr>
        <w:t xml:space="preserve">）　ワロ人（LL</w:t>
      </w:r>
      <w:r>
        <w:t xml:space="preserve">）</w:t>
      </w:r>
    </w:p>
    <w:p>
      <w:pPr>
        <w:numPr>
          <w:ilvl w:val="0"/>
          <w:numId w:val="1121"/>
        </w:numPr>
        <w:pStyle w:val="Compact"/>
      </w:pPr>
      <w:r>
        <w:t xml:space="preserve">苾蒭　上蒲（L）「ホ」結（S）反　古馝字　香草也　カウハシ　又毗必反　下音鶵　草之惣名　クサ　*カラクサ　ワラ</w:t>
      </w:r>
    </w:p>
    <w:p>
      <w:pPr>
        <w:numPr>
          <w:ilvl w:val="0"/>
          <w:numId w:val="1121"/>
        </w:numPr>
        <w:pStyle w:val="Compact"/>
      </w:pPr>
      <w:r>
        <w:t xml:space="preserve">齟齬　上慈呂（H）反　嚼　ナヤマシ（LL__）</w:t>
      </w:r>
    </w:p>
    <w:p>
      <w:pPr>
        <w:numPr>
          <w:ilvl w:val="0"/>
          <w:numId w:val="1121"/>
        </w:numPr>
        <w:pStyle w:val="Compact"/>
      </w:pPr>
      <w:r>
        <w:t xml:space="preserve">菡萏　上胡感反　下徒感反　ーー〔菡萏〕　ハチスノハナ</w:t>
      </w:r>
    </w:p>
    <w:p>
      <w:pPr>
        <w:pStyle w:val="FirstParagraph"/>
      </w:pPr>
      <w:r>
        <w:t xml:space="preserve">In Example 1, for the idiom</w:t>
      </w:r>
      <w:r>
        <w:t xml:space="preserve"> </w:t>
      </w:r>
      <w:r>
        <w:t xml:space="preserve">“</w:t>
      </w:r>
      <w:r>
        <w:t xml:space="preserve">凡俗,</w:t>
      </w:r>
      <w:r>
        <w:t xml:space="preserve">”</w:t>
      </w:r>
      <w:r>
        <w:t xml:space="preserve"> </w:t>
      </w:r>
      <w:r>
        <w:t xml:space="preserve">the</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w:t>
      </w:r>
      <w:r>
        <w:t xml:space="preserve">タヽヒト</w:t>
      </w:r>
      <w:r>
        <w:t xml:space="preserve">”</w:t>
      </w:r>
      <w:r>
        <w:t xml:space="preserve"> </w:t>
      </w:r>
      <w:r>
        <w:t xml:space="preserve">(</w:t>
      </w:r>
      <w:r>
        <w:rPr>
          <w:iCs/>
          <w:i/>
        </w:rPr>
        <w:t xml:space="preserve">tatabito</w:t>
      </w:r>
      <w:r>
        <w:t xml:space="preserve">) and</w:t>
      </w:r>
      <w:r>
        <w:t xml:space="preserve"> </w:t>
      </w:r>
      <w:r>
        <w:t xml:space="preserve">“</w:t>
      </w:r>
      <w:r>
        <w:t xml:space="preserve">ワロ人</w:t>
      </w:r>
      <w:r>
        <w:t xml:space="preserve">”</w:t>
      </w:r>
      <w:r>
        <w:t xml:space="preserve"> </w:t>
      </w:r>
      <w:r>
        <w:t xml:space="preserve">(</w:t>
      </w:r>
      <w:r>
        <w:rPr>
          <w:iCs/>
          <w:i/>
        </w:rPr>
        <w:t xml:space="preserve">warobito</w:t>
      </w:r>
      <w:r>
        <w:t xml:space="preserve">) are listed.</w:t>
      </w:r>
    </w:p>
    <w:p>
      <w:pPr>
        <w:pStyle w:val="BodyText"/>
      </w:pPr>
      <w:r>
        <w:t xml:space="preserve">In Example 2, for the idiom</w:t>
      </w:r>
      <w:r>
        <w:t xml:space="preserve"> </w:t>
      </w:r>
      <w:r>
        <w:t xml:space="preserve">“</w:t>
      </w:r>
      <w:r>
        <w:t xml:space="preserve">苾蒭,</w:t>
      </w:r>
      <w:r>
        <w:t xml:space="preserve">”</w:t>
      </w:r>
      <w:r>
        <w:t xml:space="preserve"> </w:t>
      </w:r>
      <w:r>
        <w:rPr>
          <w:rStyle w:val="VerbatimChar"/>
          <w:bCs/>
          <w:b/>
        </w:rPr>
        <w:t xml:space="preserve">Phonetic Glosses</w:t>
      </w:r>
      <w:r>
        <w:t xml:space="preserve">,</w:t>
      </w:r>
      <w:r>
        <w:t xml:space="preserve"> </w:t>
      </w:r>
      <w:r>
        <w:rPr>
          <w:rStyle w:val="VerbatimChar"/>
          <w:bCs/>
          <w:b/>
        </w:rPr>
        <w:t xml:space="preserve">Semantic Glosses in Chinese</w:t>
      </w:r>
      <w:r>
        <w:t xml:space="preserve">, and</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are provided for both the first character</w:t>
      </w:r>
      <w:r>
        <w:t xml:space="preserve"> </w:t>
      </w:r>
      <w:r>
        <w:t xml:space="preserve">“</w:t>
      </w:r>
      <w:r>
        <w:t xml:space="preserve">苾</w:t>
      </w:r>
      <w:r>
        <w:t xml:space="preserve">”</w:t>
      </w:r>
      <w:r>
        <w:t xml:space="preserve"> </w:t>
      </w:r>
      <w:r>
        <w:t xml:space="preserve">and the second character</w:t>
      </w:r>
      <w:r>
        <w:t xml:space="preserve"> </w:t>
      </w:r>
      <w:r>
        <w:t xml:space="preserve">“</w:t>
      </w:r>
      <w:r>
        <w:t xml:space="preserve">蒭.</w:t>
      </w:r>
      <w:r>
        <w:t xml:space="preserve">”</w:t>
      </w:r>
    </w:p>
    <w:p>
      <w:pPr>
        <w:pStyle w:val="BodyText"/>
      </w:pPr>
      <w:r>
        <w:t xml:space="preserve">In Example 3, for the idiom</w:t>
      </w:r>
      <w:r>
        <w:t xml:space="preserve"> </w:t>
      </w:r>
      <w:r>
        <w:t xml:space="preserve">“</w:t>
      </w:r>
      <w:r>
        <w:t xml:space="preserve">齟齬,</w:t>
      </w:r>
      <w:r>
        <w:t xml:space="preserve">”</w:t>
      </w:r>
      <w:r>
        <w:t xml:space="preserve"> </w:t>
      </w:r>
      <w:r>
        <w:t xml:space="preserve">a</w:t>
      </w:r>
      <w:r>
        <w:t xml:space="preserve"> </w:t>
      </w:r>
      <w:r>
        <w:rPr>
          <w:rStyle w:val="VerbatimChar"/>
          <w:bCs/>
          <w:b/>
        </w:rPr>
        <w:t xml:space="preserve">Phonetic Gloss</w:t>
      </w:r>
      <w:r>
        <w:t xml:space="preserve">, a</w:t>
      </w:r>
      <w:r>
        <w:t xml:space="preserve"> </w:t>
      </w:r>
      <w:r>
        <w:rPr>
          <w:rStyle w:val="VerbatimChar"/>
          <w:bCs/>
          <w:b/>
        </w:rPr>
        <w:t xml:space="preserve">Semantic Gloss in Chinese</w:t>
      </w:r>
      <w:r>
        <w:t xml:space="preserve">, and a</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are provided for the first character</w:t>
      </w:r>
      <w:r>
        <w:t xml:space="preserve"> </w:t>
      </w:r>
      <w:r>
        <w:t xml:space="preserve">“</w:t>
      </w:r>
      <w:r>
        <w:t xml:space="preserve">齟.</w:t>
      </w:r>
      <w:r>
        <w:t xml:space="preserve">”</w:t>
      </w:r>
    </w:p>
    <w:p>
      <w:pPr>
        <w:pStyle w:val="BodyText"/>
      </w:pPr>
      <w:r>
        <w:t xml:space="preserve">In Example 4, for the idiom</w:t>
      </w:r>
      <w:r>
        <w:t xml:space="preserve"> </w:t>
      </w:r>
      <w:r>
        <w:t xml:space="preserve">“</w:t>
      </w:r>
      <w:r>
        <w:t xml:space="preserve">菡萏,</w:t>
      </w:r>
      <w:r>
        <w:t xml:space="preserve">”</w:t>
      </w:r>
      <w:r>
        <w:t xml:space="preserve"> </w:t>
      </w:r>
      <w:r>
        <w:rPr>
          <w:rStyle w:val="VerbatimChar"/>
          <w:bCs/>
          <w:b/>
        </w:rPr>
        <w:t xml:space="preserve">Phonetic Glosses</w:t>
      </w:r>
      <w:r>
        <w:t xml:space="preserve"> </w:t>
      </w:r>
      <w:r>
        <w:t xml:space="preserve">are provided for both the first character</w:t>
      </w:r>
      <w:r>
        <w:t xml:space="preserve"> </w:t>
      </w:r>
      <w:r>
        <w:t xml:space="preserve">“</w:t>
      </w:r>
      <w:r>
        <w:t xml:space="preserve">菡</w:t>
      </w:r>
      <w:r>
        <w:t xml:space="preserve">”</w:t>
      </w:r>
      <w:r>
        <w:t xml:space="preserve"> </w:t>
      </w:r>
      <w:r>
        <w:t xml:space="preserve">and the second character</w:t>
      </w:r>
      <w:r>
        <w:t xml:space="preserve"> </w:t>
      </w:r>
      <w:r>
        <w:t xml:space="preserve">“</w:t>
      </w:r>
      <w:r>
        <w:t xml:space="preserve">萏,</w:t>
      </w:r>
      <w:r>
        <w:t xml:space="preserve">”</w:t>
      </w:r>
      <w:r>
        <w:t xml:space="preserve"> </w:t>
      </w:r>
      <w:r>
        <w:t xml:space="preserve">followed by the</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w:t>
      </w:r>
      <w:r>
        <w:t xml:space="preserve">ハチスノハナ</w:t>
      </w:r>
      <w:r>
        <w:t xml:space="preserve">”</w:t>
      </w:r>
      <w:r>
        <w:t xml:space="preserve"> </w:t>
      </w:r>
      <w:r>
        <w:t xml:space="preserve">(</w:t>
      </w:r>
      <w:r>
        <w:rPr>
          <w:iCs/>
          <w:i/>
        </w:rPr>
        <w:t xml:space="preserve">hachisunohana</w:t>
      </w:r>
      <w:r>
        <w:t xml:space="preserve"> </w:t>
      </w:r>
      <w:r>
        <w:t xml:space="preserve">- lotus flower) for the idiom</w:t>
      </w:r>
      <w:r>
        <w:t xml:space="preserve"> </w:t>
      </w:r>
      <w:r>
        <w:t xml:space="preserve">“</w:t>
      </w:r>
      <w:r>
        <w:t xml:space="preserve">菡萏.</w:t>
      </w:r>
      <w:r>
        <w:t xml:space="preserve">”</w:t>
      </w:r>
    </w:p>
    <w:bookmarkEnd w:id="137"/>
    <w:bookmarkStart w:id="138" w:name="Xc803b4a8807adce8487075981b363cf862c65a0"/>
    <w:p>
      <w:pPr>
        <w:pStyle w:val="Heading3"/>
      </w:pPr>
      <w:r>
        <w:rPr>
          <w:rStyle w:val="SectionNumber"/>
        </w:rPr>
        <w:t xml:space="preserve">12.2.3</w:t>
      </w:r>
      <w:r>
        <w:tab/>
      </w:r>
      <w:r>
        <w:t xml:space="preserve">Basic Entries and Extended Entries</w:t>
      </w:r>
    </w:p>
    <w:p>
      <w:pPr>
        <w:pStyle w:val="FirstParagraph"/>
      </w:pPr>
      <w:r>
        <w:t xml:space="preserve">Based on the format of the</w:t>
      </w:r>
      <w:r>
        <w:t xml:space="preserve"> </w:t>
      </w:r>
      <w:r>
        <w:rPr>
          <w:rStyle w:val="VerbatimChar"/>
          <w:bCs/>
          <w:b/>
        </w:rPr>
        <w:t xml:space="preserve">Original Glosses</w:t>
      </w:r>
      <w:r>
        <w:t xml:space="preserve">,</w:t>
      </w:r>
      <w:r>
        <w:t xml:space="preserve"> </w:t>
      </w:r>
      <w:r>
        <w:rPr>
          <w:rStyle w:val="VerbatimChar"/>
          <w:bCs/>
          <w:b/>
        </w:rPr>
        <w:t xml:space="preserve">Headword</w:t>
      </w:r>
      <w:r>
        <w:t xml:space="preserve"> </w:t>
      </w:r>
      <w:r>
        <w:rPr>
          <w:rStyle w:val="VerbatimChar"/>
          <w:bCs/>
          <w:b/>
        </w:rPr>
        <w:t xml:space="preserve">Entries</w:t>
      </w:r>
      <w:r>
        <w:t xml:space="preserve"> </w:t>
      </w:r>
      <w:r>
        <w:t xml:space="preserve">are divided into</w:t>
      </w:r>
      <w:r>
        <w:t xml:space="preserve"> </w:t>
      </w:r>
      <w:r>
        <w:rPr>
          <w:rStyle w:val="VerbatimChar"/>
          <w:bCs/>
          <w:b/>
        </w:rPr>
        <w:t xml:space="preserve">Basic Entries</w:t>
      </w:r>
      <w:r>
        <w:t xml:space="preserve">, in which all information regarding the</w:t>
      </w:r>
      <w:r>
        <w:t xml:space="preserve"> </w:t>
      </w:r>
      <w:r>
        <w:t xml:space="preserve">“</w:t>
      </w:r>
      <w:r>
        <w:t xml:space="preserve">form</w:t>
      </w:r>
      <w:r>
        <w:t xml:space="preserve">”</w:t>
      </w:r>
      <w:r>
        <w:t xml:space="preserve"> </w:t>
      </w:r>
      <w:r>
        <w:t xml:space="preserve">(形),</w:t>
      </w:r>
      <w:r>
        <w:t xml:space="preserve"> </w:t>
      </w:r>
      <w:r>
        <w:t xml:space="preserve">“</w:t>
      </w:r>
      <w:r>
        <w:t xml:space="preserve">sound</w:t>
      </w:r>
      <w:r>
        <w:t xml:space="preserve">”</w:t>
      </w:r>
      <w:r>
        <w:t xml:space="preserve"> </w:t>
      </w:r>
      <w:r>
        <w:t xml:space="preserve">(音), and</w:t>
      </w:r>
      <w:r>
        <w:t xml:space="preserve"> </w:t>
      </w:r>
      <w:r>
        <w:t xml:space="preserve">“</w:t>
      </w:r>
      <w:r>
        <w:t xml:space="preserve">meaning</w:t>
      </w:r>
      <w:r>
        <w:t xml:space="preserve">”</w:t>
      </w:r>
      <w:r>
        <w:t xml:space="preserve"> </w:t>
      </w:r>
      <w:r>
        <w:t xml:space="preserve">(義) of the</w:t>
      </w:r>
      <w:r>
        <w:t xml:space="preserve"> </w:t>
      </w:r>
      <w:r>
        <w:rPr>
          <w:rStyle w:val="VerbatimChar"/>
          <w:bCs/>
          <w:b/>
        </w:rPr>
        <w:t xml:space="preserve">Headword</w:t>
      </w:r>
      <w:r>
        <w:t xml:space="preserve"> </w:t>
      </w:r>
      <w:r>
        <w:t xml:space="preserve">is recorded, and</w:t>
      </w:r>
      <w:r>
        <w:t xml:space="preserve"> </w:t>
      </w:r>
      <w:r>
        <w:rPr>
          <w:rStyle w:val="VerbatimChar"/>
          <w:bCs/>
          <w:b/>
        </w:rPr>
        <w:t xml:space="preserve">Extended Entries</w:t>
      </w:r>
      <w:r>
        <w:t xml:space="preserve">, which are all other</w:t>
      </w:r>
      <w:r>
        <w:t xml:space="preserve"> </w:t>
      </w:r>
      <w:r>
        <w:rPr>
          <w:rStyle w:val="VerbatimChar"/>
          <w:bCs/>
          <w:b/>
        </w:rPr>
        <w:t xml:space="preserve">Entries</w:t>
      </w:r>
      <w:r>
        <w:t xml:space="preserve">.</w:t>
      </w:r>
    </w:p>
    <w:p>
      <w:pPr>
        <w:pStyle w:val="BodyText"/>
      </w:pPr>
      <w:r>
        <w:t xml:space="preserve">“</w:t>
      </w:r>
      <w:r>
        <w:t xml:space="preserve">Form</w:t>
      </w:r>
      <w:r>
        <w:t xml:space="preserve">”</w:t>
      </w:r>
      <w:r>
        <w:t xml:space="preserve"> </w:t>
      </w:r>
      <w:r>
        <w:t xml:space="preserve">is represented by the</w:t>
      </w:r>
      <w:r>
        <w:t xml:space="preserve"> </w:t>
      </w:r>
      <w:r>
        <w:rPr>
          <w:rStyle w:val="VerbatimChar"/>
          <w:bCs/>
          <w:b/>
        </w:rPr>
        <w:t xml:space="preserve">Headword</w:t>
      </w:r>
      <w:r>
        <w:t xml:space="preserve"> </w:t>
      </w:r>
      <w:r>
        <w:t xml:space="preserve">itself and</w:t>
      </w:r>
      <w:r>
        <w:t xml:space="preserve"> </w:t>
      </w:r>
      <w:r>
        <w:rPr>
          <w:bCs/>
          <w:b/>
        </w:rPr>
        <w:t xml:space="preserve">Form Classification Tags</w:t>
      </w:r>
      <w:r>
        <w:t xml:space="preserve">,</w:t>
      </w:r>
      <w:r>
        <w:t xml:space="preserve"> </w:t>
      </w:r>
      <w:r>
        <w:t xml:space="preserve">“</w:t>
      </w:r>
      <w:r>
        <w:t xml:space="preserve">sound</w:t>
      </w:r>
      <w:r>
        <w:t xml:space="preserve">”</w:t>
      </w:r>
      <w:r>
        <w:t xml:space="preserve"> </w:t>
      </w:r>
      <w:r>
        <w:t xml:space="preserve">by</w:t>
      </w:r>
      <w:r>
        <w:t xml:space="preserve"> </w:t>
      </w:r>
      <w:r>
        <w:rPr>
          <w:rStyle w:val="VerbatimChar"/>
          <w:bCs/>
          <w:b/>
        </w:rPr>
        <w:t xml:space="preserve">Phonetic Glosses</w:t>
      </w:r>
      <w:r>
        <w:t xml:space="preserve">, and</w:t>
      </w:r>
      <w:r>
        <w:t xml:space="preserve"> </w:t>
      </w:r>
      <w:r>
        <w:t xml:space="preserve">“</w:t>
      </w:r>
      <w:r>
        <w:t xml:space="preserve">meaning</w:t>
      </w:r>
      <w:r>
        <w:t xml:space="preserve">”</w:t>
      </w:r>
      <w:r>
        <w:t xml:space="preserve"> </w:t>
      </w:r>
      <w:r>
        <w:t xml:space="preserve">by</w:t>
      </w:r>
      <w:r>
        <w:t xml:space="preserve"> </w:t>
      </w:r>
      <w:r>
        <w:rPr>
          <w:rStyle w:val="VerbatimChar"/>
          <w:bCs/>
          <w:b/>
        </w:rPr>
        <w:t xml:space="preserve">Semantic Glosses in Chinese</w:t>
      </w:r>
      <w:r>
        <w:t xml:space="preserve"> </w:t>
      </w:r>
      <w:r>
        <w:t xml:space="preserve">and</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w:t>
      </w:r>
    </w:p>
    <w:p>
      <w:pPr>
        <w:pStyle w:val="BodyText"/>
      </w:pPr>
      <w:r>
        <w:rPr>
          <w:rStyle w:val="VerbatimChar"/>
          <w:bCs/>
          <w:b/>
        </w:rPr>
        <w:t xml:space="preserve">Basic Entries</w:t>
      </w:r>
      <w:r>
        <w:t xml:space="preserve"> </w:t>
      </w:r>
      <w:r>
        <w:t xml:space="preserve">can be either in single-character or multi-character form.</w:t>
      </w:r>
      <w:r>
        <w:t xml:space="preserve"> </w:t>
      </w:r>
      <w:r>
        <w:rPr>
          <w:rStyle w:val="VerbatimChar"/>
          <w:bCs/>
          <w:b/>
        </w:rPr>
        <w:t xml:space="preserve">Extended Entries</w:t>
      </w:r>
      <w:r>
        <w:t xml:space="preserve"> </w:t>
      </w:r>
      <w:r>
        <w:t xml:space="preserve">are, in terms of format, considered to follow</w:t>
      </w:r>
      <w:r>
        <w:t xml:space="preserve"> </w:t>
      </w:r>
      <w:r>
        <w:rPr>
          <w:rStyle w:val="VerbatimChar"/>
          <w:bCs/>
          <w:b/>
        </w:rPr>
        <w:t xml:space="preserve">Basic Entries</w:t>
      </w:r>
      <w:r>
        <w:t xml:space="preserve">.</w:t>
      </w:r>
    </w:p>
    <w:p>
      <w:pPr>
        <w:pStyle w:val="BodyText"/>
      </w:pPr>
      <w:r>
        <w:t xml:space="preserve">In terms of content,</w:t>
      </w:r>
      <w:r>
        <w:t xml:space="preserve"> </w:t>
      </w:r>
      <w:r>
        <w:rPr>
          <w:rStyle w:val="VerbatimChar"/>
          <w:bCs/>
          <w:b/>
        </w:rPr>
        <w:t xml:space="preserve">Extended Entries</w:t>
      </w:r>
      <w:r>
        <w:t xml:space="preserve"> </w:t>
      </w:r>
      <w:r>
        <w:t xml:space="preserve">include those in which only a part of the</w:t>
      </w:r>
      <w:r>
        <w:t xml:space="preserve"> </w:t>
      </w:r>
      <w:r>
        <w:t xml:space="preserve">“</w:t>
      </w:r>
      <w:r>
        <w:t xml:space="preserve">form,</w:t>
      </w:r>
      <w:r>
        <w:t xml:space="preserve">”</w:t>
      </w:r>
      <w:r>
        <w:t xml:space="preserve"> </w:t>
      </w:r>
      <w:r>
        <w:t xml:space="preserve">“</w:t>
      </w:r>
      <w:r>
        <w:t xml:space="preserve">sound,</w:t>
      </w:r>
      <w:r>
        <w:t xml:space="preserve">”</w:t>
      </w:r>
      <w:r>
        <w:t xml:space="preserve"> </w:t>
      </w:r>
      <w:r>
        <w:t xml:space="preserve">or</w:t>
      </w:r>
      <w:r>
        <w:t xml:space="preserve"> </w:t>
      </w:r>
      <w:r>
        <w:t xml:space="preserve">“</w:t>
      </w:r>
      <w:r>
        <w:t xml:space="preserve">meaning</w:t>
      </w:r>
      <w:r>
        <w:t xml:space="preserve">”</w:t>
      </w:r>
      <w:r>
        <w:t xml:space="preserve"> </w:t>
      </w:r>
      <w:r>
        <w:t xml:space="preserve">of the</w:t>
      </w:r>
      <w:r>
        <w:t xml:space="preserve"> </w:t>
      </w:r>
      <w:r>
        <w:rPr>
          <w:rStyle w:val="VerbatimChar"/>
          <w:bCs/>
          <w:b/>
        </w:rPr>
        <w:t xml:space="preserve">Headword</w:t>
      </w:r>
      <w:r>
        <w:t xml:space="preserve"> </w:t>
      </w:r>
      <w:r>
        <w:t xml:space="preserve">is recorded. However, even</w:t>
      </w:r>
      <w:r>
        <w:t xml:space="preserve"> </w:t>
      </w:r>
      <w:r>
        <w:rPr>
          <w:rStyle w:val="VerbatimChar"/>
          <w:bCs/>
          <w:b/>
        </w:rPr>
        <w:t xml:space="preserve">Entries</w:t>
      </w:r>
      <w:r>
        <w:t xml:space="preserve"> </w:t>
      </w:r>
      <w:r>
        <w:t xml:space="preserve">without</w:t>
      </w:r>
      <w:r>
        <w:t xml:space="preserve"> </w:t>
      </w:r>
      <w:r>
        <w:rPr>
          <w:rStyle w:val="VerbatimChar"/>
          <w:bCs/>
          <w:b/>
        </w:rPr>
        <w:t xml:space="preserve">Original Glosses</w:t>
      </w:r>
      <w:r>
        <w:t xml:space="preserve"> </w:t>
      </w:r>
      <w:r>
        <w:t xml:space="preserve">or with</w:t>
      </w:r>
      <w:r>
        <w:t xml:space="preserve"> </w:t>
      </w:r>
      <w:r>
        <w:t xml:space="preserve">“</w:t>
      </w:r>
      <w:r>
        <w:rPr>
          <w:rStyle w:val="VerbatimChar"/>
          <w:bCs/>
          <w:b/>
        </w:rPr>
        <w:t xml:space="preserve">unknown</w:t>
      </w:r>
      <w:r>
        <w:t xml:space="preserve">”</w:t>
      </w:r>
      <w:r>
        <w:t xml:space="preserve"> </w:t>
      </w:r>
      <w:r>
        <w:t xml:space="preserve">(未詳) noted in the</w:t>
      </w:r>
      <w:r>
        <w:t xml:space="preserve"> </w:t>
      </w:r>
      <w:r>
        <w:rPr>
          <w:rStyle w:val="VerbatimChar"/>
          <w:bCs/>
          <w:b/>
        </w:rPr>
        <w:t xml:space="preserve">Original Glosses</w:t>
      </w:r>
      <w:r>
        <w:t xml:space="preserve"> </w:t>
      </w:r>
      <w:r>
        <w:t xml:space="preserve">are included as</w:t>
      </w:r>
      <w:r>
        <w:t xml:space="preserve"> </w:t>
      </w:r>
      <w:r>
        <w:rPr>
          <w:rStyle w:val="VerbatimChar"/>
          <w:bCs/>
          <w:b/>
        </w:rPr>
        <w:t xml:space="preserve">Extended Entries</w:t>
      </w:r>
      <w:r>
        <w:t xml:space="preserve"> </w:t>
      </w:r>
      <w:r>
        <w:t xml:space="preserve">if some kind of relationship is recognized between them and the preceding or succeeding</w:t>
      </w:r>
      <w:r>
        <w:t xml:space="preserve"> </w:t>
      </w:r>
      <w:r>
        <w:rPr>
          <w:rStyle w:val="VerbatimChar"/>
          <w:bCs/>
          <w:b/>
        </w:rPr>
        <w:t xml:space="preserve">Entries</w:t>
      </w:r>
      <w:r>
        <w:t xml:space="preserve">.</w:t>
      </w:r>
    </w:p>
    <w:p>
      <w:pPr>
        <w:pStyle w:val="BodyText"/>
      </w:pPr>
      <w:r>
        <w:t xml:space="preserve">Currently, while precise figures are not available, our estimates suggest that out of the approximately 32,600</w:t>
      </w:r>
      <w:r>
        <w:t xml:space="preserve"> </w:t>
      </w:r>
      <w:r>
        <w:rPr>
          <w:rStyle w:val="VerbatimChar"/>
          <w:bCs/>
          <w:b/>
        </w:rPr>
        <w:t xml:space="preserve">Entries</w:t>
      </w:r>
      <w:r>
        <w:t xml:space="preserve"> </w:t>
      </w:r>
      <w:r>
        <w:t xml:space="preserve">in the Kanchi-in manuscript, around 15,100 are expected to be</w:t>
      </w:r>
      <w:r>
        <w:t xml:space="preserve"> </w:t>
      </w:r>
      <w:r>
        <w:rPr>
          <w:rStyle w:val="VerbatimChar"/>
          <w:bCs/>
          <w:b/>
        </w:rPr>
        <w:t xml:space="preserve">Basic Entries</w:t>
      </w:r>
      <w:r>
        <w:t xml:space="preserve"> </w:t>
      </w:r>
      <w:r>
        <w:t xml:space="preserve">and approximately 17,000 are projected to be</w:t>
      </w:r>
      <w:r>
        <w:t xml:space="preserve"> </w:t>
      </w:r>
      <w:r>
        <w:rPr>
          <w:rStyle w:val="VerbatimChar"/>
          <w:bCs/>
          <w:b/>
        </w:rPr>
        <w:t xml:space="preserve">Extended Entries</w:t>
      </w:r>
      <w:r>
        <w:t xml:space="preserve">. The remaining approximately 500</w:t>
      </w:r>
      <w:r>
        <w:t xml:space="preserve"> </w:t>
      </w:r>
      <w:r>
        <w:rPr>
          <w:rStyle w:val="VerbatimChar"/>
          <w:bCs/>
          <w:b/>
        </w:rPr>
        <w:t xml:space="preserve">Entries</w:t>
      </w:r>
      <w:r>
        <w:t xml:space="preserve"> </w:t>
      </w:r>
      <w:r>
        <w:t xml:space="preserve">have weak relationships with other</w:t>
      </w:r>
      <w:r>
        <w:t xml:space="preserve"> </w:t>
      </w:r>
      <w:r>
        <w:rPr>
          <w:rStyle w:val="VerbatimChar"/>
          <w:bCs/>
          <w:b/>
        </w:rPr>
        <w:t xml:space="preserve">Entries</w:t>
      </w:r>
      <w:r>
        <w:t xml:space="preserve"> </w:t>
      </w:r>
      <w:r>
        <w:t xml:space="preserve">and are presumed to have been arranged temporarily or for convenience.</w:t>
      </w:r>
    </w:p>
    <w:p>
      <w:pPr>
        <w:pStyle w:val="BodyText"/>
      </w:pPr>
      <w:r>
        <w:t xml:space="preserve">Next, we will provide specific examples.</w:t>
      </w:r>
    </w:p>
    <w:p>
      <w:pPr>
        <w:pStyle w:val="BodyText"/>
      </w:pPr>
      <w:r>
        <w:rPr>
          <w:bCs/>
          <w:b/>
        </w:rPr>
        <w:t xml:space="preserve">Examples:</w:t>
      </w:r>
    </w:p>
    <w:p>
      <w:pPr>
        <w:numPr>
          <w:ilvl w:val="0"/>
          <w:numId w:val="1122"/>
        </w:numPr>
        <w:pStyle w:val="Compact"/>
      </w:pPr>
      <w:r>
        <w:rPr>
          <w:rStyle w:val="VerbatimChar"/>
          <w:bCs/>
          <w:b/>
        </w:rPr>
        <w:t xml:space="preserve">Basic Entry</w:t>
      </w:r>
      <w:r>
        <w:t xml:space="preserve">: 人　音仁（LV）「ニン」　ヒト（HL）　ワレ（LL）　サネ　マホル　ユク</w:t>
      </w:r>
    </w:p>
    <w:p>
      <w:pPr>
        <w:numPr>
          <w:ilvl w:val="0"/>
          <w:numId w:val="1122"/>
        </w:numPr>
        <w:pStyle w:val="Compact"/>
      </w:pPr>
      <w:r>
        <w:rPr>
          <w:rStyle w:val="VerbatimChar"/>
          <w:bCs/>
          <w:b/>
        </w:rPr>
        <w:t xml:space="preserve">Extended Entry</w:t>
      </w:r>
      <w:r>
        <w:t xml:space="preserve">: 一人　ヒトリ（LH_）</w:t>
      </w:r>
    </w:p>
    <w:p>
      <w:pPr>
        <w:numPr>
          <w:ilvl w:val="0"/>
          <w:numId w:val="1122"/>
        </w:numPr>
        <w:pStyle w:val="Compact"/>
      </w:pPr>
      <w:r>
        <w:rPr>
          <w:rStyle w:val="VerbatimChar"/>
          <w:bCs/>
          <w:b/>
        </w:rPr>
        <w:t xml:space="preserve">Extended Entry</w:t>
      </w:r>
      <w:r>
        <w:t xml:space="preserve">: 二人　フタリ（HHL）</w:t>
      </w:r>
    </w:p>
    <w:bookmarkEnd w:id="138"/>
    <w:bookmarkStart w:id="139" w:name="X0f98009b73c09e85997d0e507eff9589be4a796"/>
    <w:p>
      <w:pPr>
        <w:pStyle w:val="Heading3"/>
      </w:pPr>
      <w:r>
        <w:rPr>
          <w:rStyle w:val="SectionNumber"/>
        </w:rPr>
        <w:t xml:space="preserve">12.2.4</w:t>
      </w:r>
      <w:r>
        <w:tab/>
      </w:r>
      <w:r>
        <w:t xml:space="preserve">Independent Entries and Serial Entries</w:t>
      </w:r>
    </w:p>
    <w:p>
      <w:pPr>
        <w:pStyle w:val="FirstParagraph"/>
      </w:pPr>
      <w:r>
        <w:rPr>
          <w:rStyle w:val="VerbatimChar"/>
          <w:bCs/>
          <w:b/>
        </w:rPr>
        <w:t xml:space="preserve">Headword</w:t>
      </w:r>
      <w:r>
        <w:t xml:space="preserve"> </w:t>
      </w:r>
      <w:r>
        <w:rPr>
          <w:rStyle w:val="VerbatimChar"/>
          <w:bCs/>
          <w:b/>
        </w:rPr>
        <w:t xml:space="preserve">Entries</w:t>
      </w:r>
      <w:r>
        <w:t xml:space="preserve"> </w:t>
      </w:r>
      <w:r>
        <w:t xml:space="preserve">are divided, based on whether a</w:t>
      </w:r>
      <w:r>
        <w:t xml:space="preserve"> </w:t>
      </w:r>
      <w:r>
        <w:rPr>
          <w:rStyle w:val="VerbatimChar"/>
          <w:bCs/>
          <w:b/>
        </w:rPr>
        <w:t xml:space="preserve">Basic Entry</w:t>
      </w:r>
      <w:r>
        <w:t xml:space="preserve"> </w:t>
      </w:r>
      <w:r>
        <w:t xml:space="preserve">has</w:t>
      </w:r>
      <w:r>
        <w:t xml:space="preserve"> </w:t>
      </w:r>
      <w:r>
        <w:rPr>
          <w:rStyle w:val="VerbatimChar"/>
          <w:bCs/>
          <w:b/>
        </w:rPr>
        <w:t xml:space="preserve">Extended Entries</w:t>
      </w:r>
      <w:r>
        <w:t xml:space="preserve">, into</w:t>
      </w:r>
      <w:r>
        <w:t xml:space="preserve"> </w:t>
      </w:r>
      <w:r>
        <w:rPr>
          <w:rStyle w:val="VerbatimChar"/>
          <w:bCs/>
          <w:b/>
        </w:rPr>
        <w:t xml:space="preserve">Independent Entries</w:t>
      </w:r>
      <w:r>
        <w:t xml:space="preserve">, which consist only of a</w:t>
      </w:r>
      <w:r>
        <w:t xml:space="preserve"> </w:t>
      </w:r>
      <w:r>
        <w:rPr>
          <w:rStyle w:val="VerbatimChar"/>
          <w:bCs/>
          <w:b/>
        </w:rPr>
        <w:t xml:space="preserve">Basic Entry</w:t>
      </w:r>
      <w:r>
        <w:t xml:space="preserve"> </w:t>
      </w:r>
      <w:r>
        <w:t xml:space="preserve">without any</w:t>
      </w:r>
      <w:r>
        <w:t xml:space="preserve"> </w:t>
      </w:r>
      <w:r>
        <w:rPr>
          <w:rStyle w:val="VerbatimChar"/>
          <w:bCs/>
          <w:b/>
        </w:rPr>
        <w:t xml:space="preserve">Extended Entries</w:t>
      </w:r>
      <w:r>
        <w:t xml:space="preserve">, and</w:t>
      </w:r>
      <w:r>
        <w:t xml:space="preserve"> </w:t>
      </w:r>
      <w:r>
        <w:rPr>
          <w:rStyle w:val="VerbatimChar"/>
          <w:bCs/>
          <w:b/>
        </w:rPr>
        <w:t xml:space="preserve">Serial Entries</w:t>
      </w:r>
      <w:r>
        <w:t xml:space="preserve">, which consist of both a</w:t>
      </w:r>
      <w:r>
        <w:t xml:space="preserve"> </w:t>
      </w:r>
      <w:r>
        <w:rPr>
          <w:rStyle w:val="VerbatimChar"/>
          <w:bCs/>
          <w:b/>
        </w:rPr>
        <w:t xml:space="preserve">Basic Entry</w:t>
      </w:r>
      <w:r>
        <w:t xml:space="preserve"> </w:t>
      </w:r>
      <w:r>
        <w:t xml:space="preserve">and one or more</w:t>
      </w:r>
      <w:r>
        <w:t xml:space="preserve"> </w:t>
      </w:r>
      <w:r>
        <w:rPr>
          <w:rStyle w:val="VerbatimChar"/>
          <w:bCs/>
          <w:b/>
        </w:rPr>
        <w:t xml:space="preserve">Extended Entries</w:t>
      </w:r>
      <w:r>
        <w:t xml:space="preserve">. Within a</w:t>
      </w:r>
      <w:r>
        <w:t xml:space="preserve"> </w:t>
      </w:r>
      <w:r>
        <w:rPr>
          <w:rStyle w:val="VerbatimChar"/>
          <w:bCs/>
          <w:b/>
        </w:rPr>
        <w:t xml:space="preserve">Serial Entry</w:t>
      </w:r>
      <w:r>
        <w:t xml:space="preserve">, the</w:t>
      </w:r>
      <w:r>
        <w:t xml:space="preserve"> </w:t>
      </w:r>
      <w:r>
        <w:rPr>
          <w:rStyle w:val="VerbatimChar"/>
          <w:bCs/>
          <w:b/>
        </w:rPr>
        <w:t xml:space="preserve">Basic Entry</w:t>
      </w:r>
      <w:r>
        <w:t xml:space="preserve"> </w:t>
      </w:r>
      <w:r>
        <w:t xml:space="preserve">is sometimes referred to as the</w:t>
      </w:r>
      <w:r>
        <w:t xml:space="preserve"> </w:t>
      </w:r>
      <w:r>
        <w:rPr>
          <w:rStyle w:val="VerbatimChar"/>
          <w:bCs/>
          <w:b/>
        </w:rPr>
        <w:t xml:space="preserve">Chief Entry</w:t>
      </w:r>
      <w:r>
        <w:t xml:space="preserve">, and the</w:t>
      </w:r>
      <w:r>
        <w:t xml:space="preserve"> </w:t>
      </w:r>
      <w:r>
        <w:rPr>
          <w:rStyle w:val="VerbatimChar"/>
          <w:bCs/>
          <w:b/>
        </w:rPr>
        <w:t xml:space="preserve">Extended Entries</w:t>
      </w:r>
      <w:r>
        <w:t xml:space="preserve"> </w:t>
      </w:r>
      <w:r>
        <w:t xml:space="preserve">as</w:t>
      </w:r>
      <w:r>
        <w:t xml:space="preserve"> </w:t>
      </w:r>
      <w:r>
        <w:rPr>
          <w:rStyle w:val="VerbatimChar"/>
          <w:bCs/>
          <w:b/>
        </w:rPr>
        <w:t xml:space="preserve">Sub Entries</w:t>
      </w:r>
      <w:r>
        <w:t xml:space="preserve">.</w:t>
      </w:r>
    </w:p>
    <w:p>
      <w:pPr>
        <w:pStyle w:val="BodyText"/>
      </w:pPr>
      <w:r>
        <w:t xml:space="preserve">The number of</w:t>
      </w:r>
      <w:r>
        <w:t xml:space="preserve"> </w:t>
      </w:r>
      <w:r>
        <w:rPr>
          <w:rStyle w:val="VerbatimChar"/>
          <w:bCs/>
          <w:b/>
        </w:rPr>
        <w:t xml:space="preserve">Independent Entries</w:t>
      </w:r>
      <w:r>
        <w:t xml:space="preserve"> </w:t>
      </w:r>
      <w:r>
        <w:t xml:space="preserve">and</w:t>
      </w:r>
      <w:r>
        <w:t xml:space="preserve"> </w:t>
      </w:r>
      <w:r>
        <w:rPr>
          <w:rStyle w:val="VerbatimChar"/>
          <w:bCs/>
          <w:b/>
        </w:rPr>
        <w:t xml:space="preserve">Serial Entries</w:t>
      </w:r>
      <w:r>
        <w:t xml:space="preserve"> </w:t>
      </w:r>
      <w:r>
        <w:t xml:space="preserve">has not yet been calculated.</w:t>
      </w:r>
    </w:p>
    <w:p>
      <w:pPr>
        <w:pStyle w:val="BodyText"/>
      </w:pPr>
      <w:r>
        <w:rPr>
          <w:rStyle w:val="VerbatimChar"/>
          <w:bCs/>
          <w:b/>
        </w:rPr>
        <w:t xml:space="preserve">Independent Entries</w:t>
      </w:r>
      <w:r>
        <w:t xml:space="preserve"> </w:t>
      </w:r>
      <w:r>
        <w:t xml:space="preserve">are exemplified by the following:</w:t>
      </w:r>
    </w:p>
    <w:p>
      <w:pPr>
        <w:pStyle w:val="BodyText"/>
      </w:pPr>
      <w:r>
        <w:rPr>
          <w:bCs/>
          <w:b/>
        </w:rPr>
        <w:t xml:space="preserve">Examples:</w:t>
      </w:r>
    </w:p>
    <w:p>
      <w:pPr>
        <w:numPr>
          <w:ilvl w:val="0"/>
          <w:numId w:val="1123"/>
        </w:numPr>
        <w:pStyle w:val="Compact"/>
      </w:pPr>
      <w:r>
        <w:t xml:space="preserve">仕　音士　ツカフ（HHL）　ツカマツル（HL___）　ミヤツカヘ　ツモム</w:t>
      </w:r>
    </w:p>
    <w:p>
      <w:pPr>
        <w:numPr>
          <w:ilvl w:val="0"/>
          <w:numId w:val="1123"/>
        </w:numPr>
        <w:pStyle w:val="Compact"/>
      </w:pPr>
      <w:r>
        <w:t xml:space="preserve">任　音壬（LV）「シム」「ニム」　タヘタリ（LR__、ヘ-フ）　…</w:t>
      </w:r>
    </w:p>
    <w:p>
      <w:pPr>
        <w:pStyle w:val="FirstParagraph"/>
      </w:pPr>
      <w:r>
        <w:t xml:space="preserve">Although</w:t>
      </w:r>
      <w:r>
        <w:t xml:space="preserve"> </w:t>
      </w:r>
      <w:r>
        <w:t xml:space="preserve">“</w:t>
      </w:r>
      <w:r>
        <w:t xml:space="preserve">仕</w:t>
      </w:r>
      <w:r>
        <w:t xml:space="preserve">”</w:t>
      </w:r>
      <w:r>
        <w:t xml:space="preserve"> </w:t>
      </w:r>
      <w:r>
        <w:t xml:space="preserve">(to serve) and</w:t>
      </w:r>
      <w:r>
        <w:t xml:space="preserve"> </w:t>
      </w:r>
      <w:r>
        <w:t xml:space="preserve">“</w:t>
      </w:r>
      <w:r>
        <w:t xml:space="preserve">任</w:t>
      </w:r>
      <w:r>
        <w:t xml:space="preserve">”</w:t>
      </w:r>
      <w:r>
        <w:t xml:space="preserve"> </w:t>
      </w:r>
      <w:r>
        <w:t xml:space="preserve">(to entrust) have similar graphic forms, they are distinct</w:t>
      </w:r>
      <w:r>
        <w:t xml:space="preserve"> </w:t>
      </w:r>
      <w:r>
        <w:rPr>
          <w:bCs/>
          <w:b/>
        </w:rPr>
        <w:t xml:space="preserve">Chinese characters</w:t>
      </w:r>
      <w:r>
        <w:t xml:space="preserve">, and each functions as a</w:t>
      </w:r>
      <w:r>
        <w:t xml:space="preserve"> </w:t>
      </w:r>
      <w:r>
        <w:rPr>
          <w:rStyle w:val="VerbatimChar"/>
          <w:bCs/>
          <w:b/>
        </w:rPr>
        <w:t xml:space="preserve">Basic Entry</w:t>
      </w:r>
      <w:r>
        <w:t xml:space="preserve"> </w:t>
      </w:r>
      <w:r>
        <w:t xml:space="preserve">with its own</w:t>
      </w:r>
      <w:r>
        <w:t xml:space="preserve"> </w:t>
      </w:r>
      <w:r>
        <w:rPr>
          <w:rStyle w:val="VerbatimChar"/>
          <w:bCs/>
          <w:b/>
        </w:rPr>
        <w:t xml:space="preserve">Phonetic Glosses</w:t>
      </w:r>
      <w:r>
        <w:t xml:space="preserve"> </w:t>
      </w:r>
      <w:r>
        <w:t xml:space="preserve">and</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However, no</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of</w:t>
      </w:r>
      <w:r>
        <w:t xml:space="preserve"> </w:t>
      </w:r>
      <w:r>
        <w:t xml:space="preserve">“</w:t>
      </w:r>
      <w:r>
        <w:t xml:space="preserve">仕</w:t>
      </w:r>
      <w:r>
        <w:t xml:space="preserve">”</w:t>
      </w:r>
      <w:r>
        <w:t xml:space="preserve"> </w:t>
      </w:r>
      <w:r>
        <w:t xml:space="preserve">or compound words containing</w:t>
      </w:r>
      <w:r>
        <w:t xml:space="preserve"> </w:t>
      </w:r>
      <w:r>
        <w:t xml:space="preserve">“</w:t>
      </w:r>
      <w:r>
        <w:t xml:space="preserve">仕</w:t>
      </w:r>
      <w:r>
        <w:t xml:space="preserve">”</w:t>
      </w:r>
      <w:r>
        <w:t xml:space="preserve"> </w:t>
      </w:r>
      <w:r>
        <w:t xml:space="preserve">are found. Similarly, no related</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or compound words are found for</w:t>
      </w:r>
      <w:r>
        <w:t xml:space="preserve"> </w:t>
      </w:r>
      <w:r>
        <w:t xml:space="preserve">“</w:t>
      </w:r>
      <w:r>
        <w:t xml:space="preserve">任.</w:t>
      </w:r>
      <w:r>
        <w:t xml:space="preserve">”</w:t>
      </w:r>
    </w:p>
    <w:p>
      <w:pPr>
        <w:pStyle w:val="BodyText"/>
      </w:pPr>
      <w:r>
        <w:rPr>
          <w:rStyle w:val="VerbatimChar"/>
          <w:bCs/>
          <w:b/>
        </w:rPr>
        <w:t xml:space="preserve">Serial Entries</w:t>
      </w:r>
      <w:r>
        <w:t xml:space="preserve"> </w:t>
      </w:r>
      <w:r>
        <w:t xml:space="preserve">are exemplified by</w:t>
      </w:r>
      <w:r>
        <w:t xml:space="preserve"> </w:t>
      </w:r>
      <w:r>
        <w:t xml:space="preserve">“</w:t>
      </w:r>
      <w:r>
        <w:t xml:space="preserve">人</w:t>
      </w:r>
      <w:r>
        <w:t xml:space="preserve">”</w:t>
      </w:r>
      <w:r>
        <w:t xml:space="preserve"> </w:t>
      </w:r>
      <w:r>
        <w:t xml:space="preserve">(person) as the</w:t>
      </w:r>
      <w:r>
        <w:t xml:space="preserve"> </w:t>
      </w:r>
      <w:r>
        <w:rPr>
          <w:rStyle w:val="VerbatimChar"/>
          <w:bCs/>
          <w:b/>
        </w:rPr>
        <w:t xml:space="preserve">Basic Entry</w:t>
      </w:r>
      <w:r>
        <w:t xml:space="preserve"> </w:t>
      </w:r>
      <w:r>
        <w:t xml:space="preserve">and</w:t>
      </w:r>
      <w:r>
        <w:t xml:space="preserve"> </w:t>
      </w:r>
      <w:r>
        <w:t xml:space="preserve">“</w:t>
      </w:r>
      <w:r>
        <w:t xml:space="preserve">一人</w:t>
      </w:r>
      <w:r>
        <w:t xml:space="preserve">”</w:t>
      </w:r>
      <w:r>
        <w:t xml:space="preserve"> </w:t>
      </w:r>
      <w:r>
        <w:t xml:space="preserve">(one person),</w:t>
      </w:r>
      <w:r>
        <w:t xml:space="preserve"> </w:t>
      </w:r>
      <w:r>
        <w:t xml:space="preserve">“</w:t>
      </w:r>
      <w:r>
        <w:t xml:space="preserve">二人</w:t>
      </w:r>
      <w:r>
        <w:t xml:space="preserve">”</w:t>
      </w:r>
      <w:r>
        <w:t xml:space="preserve"> </w:t>
      </w:r>
      <w:r>
        <w:t xml:space="preserve">(two people) as the</w:t>
      </w:r>
      <w:r>
        <w:t xml:space="preserve"> </w:t>
      </w:r>
      <w:r>
        <w:rPr>
          <w:rStyle w:val="VerbatimChar"/>
          <w:bCs/>
          <w:b/>
        </w:rPr>
        <w:t xml:space="preserve">Extended Entries</w:t>
      </w:r>
      <w:r>
        <w:t xml:space="preserve">, as shown in the examples for</w:t>
      </w:r>
      <w:r>
        <w:t xml:space="preserve"> </w:t>
      </w:r>
      <w:r>
        <w:rPr>
          <w:rStyle w:val="VerbatimChar"/>
          <w:bCs/>
          <w:b/>
        </w:rPr>
        <w:t xml:space="preserve">Basic Entries</w:t>
      </w:r>
      <w:r>
        <w:t xml:space="preserve"> </w:t>
      </w:r>
      <w:r>
        <w:t xml:space="preserve">and</w:t>
      </w:r>
      <w:r>
        <w:t xml:space="preserve"> </w:t>
      </w:r>
      <w:r>
        <w:rPr>
          <w:rStyle w:val="VerbatimChar"/>
          <w:bCs/>
          <w:b/>
        </w:rPr>
        <w:t xml:space="preserve">Extended Entries</w:t>
      </w:r>
      <w:r>
        <w:t xml:space="preserve">.</w:t>
      </w:r>
      <w:r>
        <w:t xml:space="preserve"> </w:t>
      </w:r>
      <w:r>
        <w:t xml:space="preserve">“</w:t>
      </w:r>
      <w:r>
        <w:t xml:space="preserve">人</w:t>
      </w:r>
      <w:r>
        <w:t xml:space="preserve">”</w:t>
      </w:r>
      <w:r>
        <w:t xml:space="preserve"> </w:t>
      </w:r>
      <w:r>
        <w:t xml:space="preserve">is the</w:t>
      </w:r>
      <w:r>
        <w:t xml:space="preserve"> </w:t>
      </w:r>
      <w:r>
        <w:rPr>
          <w:rStyle w:val="VerbatimChar"/>
          <w:bCs/>
          <w:b/>
        </w:rPr>
        <w:t xml:space="preserve">Chief Entry</w:t>
      </w:r>
      <w:r>
        <w:t xml:space="preserve">, and</w:t>
      </w:r>
      <w:r>
        <w:t xml:space="preserve"> </w:t>
      </w:r>
      <w:r>
        <w:t xml:space="preserve">“</w:t>
      </w:r>
      <w:r>
        <w:t xml:space="preserve">一人</w:t>
      </w:r>
      <w:r>
        <w:t xml:space="preserve">”</w:t>
      </w:r>
      <w:r>
        <w:t xml:space="preserve"> </w:t>
      </w:r>
      <w:r>
        <w:t xml:space="preserve">and</w:t>
      </w:r>
      <w:r>
        <w:t xml:space="preserve"> </w:t>
      </w:r>
      <w:r>
        <w:t xml:space="preserve">“</w:t>
      </w:r>
      <w:r>
        <w:t xml:space="preserve">二人</w:t>
      </w:r>
      <w:r>
        <w:t xml:space="preserve">”</w:t>
      </w:r>
      <w:r>
        <w:t xml:space="preserve"> </w:t>
      </w:r>
      <w:r>
        <w:t xml:space="preserve">are the</w:t>
      </w:r>
      <w:r>
        <w:t xml:space="preserve"> </w:t>
      </w:r>
      <w:r>
        <w:rPr>
          <w:rStyle w:val="VerbatimChar"/>
          <w:bCs/>
          <w:b/>
        </w:rPr>
        <w:t xml:space="preserve">Sub Entries</w:t>
      </w:r>
      <w:r>
        <w:t xml:space="preserve">.</w:t>
      </w:r>
    </w:p>
    <w:bookmarkEnd w:id="139"/>
    <w:bookmarkEnd w:id="140"/>
    <w:bookmarkEnd w:id="141"/>
    <w:bookmarkEnd w:id="142"/>
    <w:bookmarkStart w:id="150" w:name="Xd996517eaceb2f83d2159041581162d928b9c45"/>
    <w:bookmarkStart w:id="149" w:name="Xfa06df4ea2e39f41272d74c72050e038f0548a4"/>
    <w:p>
      <w:pPr>
        <w:pStyle w:val="Heading1"/>
      </w:pPr>
      <w:r>
        <w:rPr>
          <w:rStyle w:val="SectionNumber"/>
        </w:rPr>
        <w:t xml:space="preserve">13</w:t>
      </w:r>
      <w:r>
        <w:tab/>
      </w:r>
      <w:r>
        <w:t xml:space="preserve">Concepts Related to Character Notation</w:t>
      </w:r>
    </w:p>
    <w:bookmarkStart w:id="144" w:name="X4228fd876afbe59d215875e7da9e770ae858c01"/>
    <w:p>
      <w:pPr>
        <w:pStyle w:val="Heading2"/>
      </w:pPr>
      <w:r>
        <w:rPr>
          <w:rStyle w:val="SectionNumber"/>
        </w:rPr>
        <w:t xml:space="preserve">13.1</w:t>
      </w:r>
      <w:r>
        <w:tab/>
      </w:r>
      <w:r>
        <w:t xml:space="preserve">Script Styles, Character Standards, and Character Shapes</w:t>
      </w:r>
    </w:p>
    <w:p>
      <w:pPr>
        <w:pStyle w:val="FirstParagraph"/>
      </w:pPr>
      <w:r>
        <w:t xml:space="preserve">The terms</w:t>
      </w:r>
      <w:r>
        <w:t xml:space="preserve"> </w:t>
      </w:r>
      <w:r>
        <w:t xml:space="preserve">“</w:t>
      </w:r>
      <w:r>
        <w:t xml:space="preserve">書体</w:t>
      </w:r>
      <w:r>
        <w:t xml:space="preserve">”</w:t>
      </w:r>
      <w:r>
        <w:t xml:space="preserve"> </w:t>
      </w:r>
      <w:r>
        <w:t xml:space="preserve">(</w:t>
      </w:r>
      <w:r>
        <w:rPr>
          <w:iCs/>
          <w:i/>
        </w:rPr>
        <w:t xml:space="preserve">shotai</w:t>
      </w:r>
      <w:r>
        <w:t xml:space="preserve">, script style),</w:t>
      </w:r>
      <w:r>
        <w:t xml:space="preserve"> </w:t>
      </w:r>
      <w:r>
        <w:t xml:space="preserve">“</w:t>
      </w:r>
      <w:r>
        <w:t xml:space="preserve">字体</w:t>
      </w:r>
      <w:r>
        <w:t xml:space="preserve">”</w:t>
      </w:r>
      <w:r>
        <w:t xml:space="preserve"> </w:t>
      </w:r>
      <w:r>
        <w:t xml:space="preserve">(</w:t>
      </w:r>
      <w:r>
        <w:rPr>
          <w:iCs/>
          <w:i/>
        </w:rPr>
        <w:t xml:space="preserve">jitai</w:t>
      </w:r>
      <w:r>
        <w:t xml:space="preserve">, character standard), and</w:t>
      </w:r>
      <w:r>
        <w:t xml:space="preserve"> </w:t>
      </w:r>
      <w:r>
        <w:t xml:space="preserve">“</w:t>
      </w:r>
      <w:r>
        <w:t xml:space="preserve">字形</w:t>
      </w:r>
      <w:r>
        <w:t xml:space="preserve">”</w:t>
      </w:r>
      <w:r>
        <w:t xml:space="preserve"> </w:t>
      </w:r>
      <w:r>
        <w:t xml:space="preserve">(</w:t>
      </w:r>
      <w:r>
        <w:rPr>
          <w:iCs/>
          <w:i/>
        </w:rPr>
        <w:t xml:space="preserve">jikei</w:t>
      </w:r>
      <w:r>
        <w:t xml:space="preserve">, character shape) as used in this document primarily follow the definitions provided by Ishizuka Harumichi in</w:t>
      </w:r>
      <w:r>
        <w:t xml:space="preserve"> </w:t>
      </w:r>
      <w:r>
        <w:rPr>
          <w:iCs/>
          <w:i/>
        </w:rPr>
        <w:t xml:space="preserve">Zushoryōbon Nihon Shoki Kenkyūhen</w:t>
      </w:r>
      <w:r>
        <w:t xml:space="preserve"> </w:t>
      </w:r>
      <w:r>
        <w:t xml:space="preserve">(Tokyo: Kyūko Shoin, 1984). The following English explanations are translations from Ishizuka’s original Japanese definitions:</w:t>
      </w:r>
    </w:p>
    <w:p>
      <w:pPr>
        <w:numPr>
          <w:ilvl w:val="0"/>
          <w:numId w:val="1124"/>
        </w:numPr>
        <w:pStyle w:val="Compact"/>
      </w:pPr>
      <w:r>
        <w:rPr>
          <w:rStyle w:val="VerbatimChar"/>
          <w:bCs/>
          <w:b/>
        </w:rPr>
        <w:t xml:space="preserve">Script Style</w:t>
      </w:r>
      <w:r>
        <w:rPr>
          <w:bCs/>
          <w:b/>
        </w:rPr>
        <w:t xml:space="preserve"> </w:t>
      </w:r>
      <w:r>
        <w:rPr>
          <w:bCs/>
          <w:b/>
        </w:rPr>
        <w:t xml:space="preserve">(</w:t>
      </w:r>
      <w:r>
        <w:rPr>
          <w:iCs/>
          <w:i/>
          <w:bCs/>
          <w:b/>
        </w:rPr>
        <w:t xml:space="preserve">shotai</w:t>
      </w:r>
      <w:r>
        <w:rPr>
          <w:bCs/>
          <w:b/>
        </w:rPr>
        <w:t xml:space="preserve">)</w:t>
      </w:r>
      <w:r>
        <w:t xml:space="preserve">: A socially common style existing in the form of</w:t>
      </w:r>
      <w:r>
        <w:t xml:space="preserve"> </w:t>
      </w:r>
      <w:r>
        <w:rPr>
          <w:rStyle w:val="VerbatimChar"/>
          <w:bCs/>
          <w:b/>
        </w:rPr>
        <w:t xml:space="preserve">Hanzi (Chinese characters)</w:t>
      </w:r>
      <w:r>
        <w:t xml:space="preserve">. It is often determined by the purpose of the material in which the characters appear (e.g., 楷書</w:t>
      </w:r>
      <w:r>
        <w:t xml:space="preserve"> </w:t>
      </w:r>
      <w:r>
        <w:rPr>
          <w:iCs/>
          <w:i/>
        </w:rPr>
        <w:t xml:space="preserve">Kaisho</w:t>
      </w:r>
      <w:r>
        <w:t xml:space="preserve"> </w:t>
      </w:r>
      <w:r>
        <w:t xml:space="preserve">[regular script], 草書</w:t>
      </w:r>
      <w:r>
        <w:t xml:space="preserve"> </w:t>
      </w:r>
      <w:r>
        <w:rPr>
          <w:iCs/>
          <w:i/>
        </w:rPr>
        <w:t xml:space="preserve">Sōsho</w:t>
      </w:r>
      <w:r>
        <w:t xml:space="preserve"> </w:t>
      </w:r>
      <w:r>
        <w:t xml:space="preserve">[cursive script]).</w:t>
      </w:r>
      <w:r>
        <w:t xml:space="preserve"> </w:t>
      </w:r>
      <w:r>
        <w:t xml:space="preserve">(Original Japanese: 書体 — 漢字の形に於て存在する社会共通の様式。多くは其の漢字資料の目的により決まる。楷書・草書等)</w:t>
      </w:r>
    </w:p>
    <w:p>
      <w:pPr>
        <w:numPr>
          <w:ilvl w:val="0"/>
          <w:numId w:val="1124"/>
        </w:numPr>
        <w:pStyle w:val="Compact"/>
      </w:pPr>
      <w:r>
        <w:rPr>
          <w:rStyle w:val="VerbatimChar"/>
          <w:bCs/>
          <w:b/>
        </w:rPr>
        <w:t xml:space="preserve">Character Standard</w:t>
      </w:r>
      <w:r>
        <w:rPr>
          <w:bCs/>
          <w:b/>
        </w:rPr>
        <w:t xml:space="preserve"> </w:t>
      </w:r>
      <w:r>
        <w:rPr>
          <w:bCs/>
          <w:b/>
        </w:rPr>
        <w:t xml:space="preserve">(</w:t>
      </w:r>
      <w:r>
        <w:rPr>
          <w:iCs/>
          <w:i/>
          <w:bCs/>
          <w:b/>
        </w:rPr>
        <w:t xml:space="preserve">jitai</w:t>
      </w:r>
      <w:r>
        <w:rPr>
          <w:bCs/>
          <w:b/>
        </w:rPr>
        <w:t xml:space="preserve">)</w:t>
      </w:r>
      <w:r>
        <w:t xml:space="preserve">: A socially common standard for each</w:t>
      </w:r>
      <w:r>
        <w:t xml:space="preserve"> </w:t>
      </w:r>
      <w:r>
        <w:rPr>
          <w:rStyle w:val="VerbatimChar"/>
          <w:bCs/>
          <w:b/>
        </w:rPr>
        <w:t xml:space="preserve">Hanzi (Chinese character)</w:t>
      </w:r>
      <w:r>
        <w:t xml:space="preserve"> </w:t>
      </w:r>
      <w:r>
        <w:t xml:space="preserve">existing within a given</w:t>
      </w:r>
      <w:r>
        <w:t xml:space="preserve"> </w:t>
      </w:r>
      <w:r>
        <w:rPr>
          <w:iCs/>
          <w:i/>
        </w:rPr>
        <w:t xml:space="preserve">shotai</w:t>
      </w:r>
      <w:r>
        <w:t xml:space="preserve"> </w:t>
      </w:r>
      <w:r>
        <w:t xml:space="preserve">(script style).</w:t>
      </w:r>
      <w:r>
        <w:t xml:space="preserve"> </w:t>
      </w:r>
      <w:r>
        <w:t xml:space="preserve">(Original Japanese: 字体 — 書体内に於て存在する一々の漢字の社会共通の基準)</w:t>
      </w:r>
    </w:p>
    <w:p>
      <w:pPr>
        <w:numPr>
          <w:ilvl w:val="0"/>
          <w:numId w:val="1124"/>
        </w:numPr>
        <w:pStyle w:val="Compact"/>
      </w:pPr>
      <w:r>
        <w:rPr>
          <w:rStyle w:val="VerbatimChar"/>
          <w:bCs/>
          <w:b/>
        </w:rPr>
        <w:t xml:space="preserve">Character Shape</w:t>
      </w:r>
      <w:r>
        <w:rPr>
          <w:bCs/>
          <w:b/>
        </w:rPr>
        <w:t xml:space="preserve"> </w:t>
      </w:r>
      <w:r>
        <w:rPr>
          <w:bCs/>
          <w:b/>
        </w:rPr>
        <w:t xml:space="preserve">(</w:t>
      </w:r>
      <w:r>
        <w:rPr>
          <w:iCs/>
          <w:i/>
          <w:bCs/>
          <w:b/>
        </w:rPr>
        <w:t xml:space="preserve">jikei</w:t>
      </w:r>
      <w:r>
        <w:rPr>
          <w:bCs/>
          <w:b/>
        </w:rPr>
        <w:t xml:space="preserve">)</w:t>
      </w:r>
      <w:r>
        <w:t xml:space="preserve">: The actual written shape itself of each</w:t>
      </w:r>
      <w:r>
        <w:t xml:space="preserve"> </w:t>
      </w:r>
      <w:r>
        <w:rPr>
          <w:rStyle w:val="VerbatimChar"/>
          <w:bCs/>
          <w:b/>
        </w:rPr>
        <w:t xml:space="preserve">Hanzi (Chinese character)</w:t>
      </w:r>
      <w:r>
        <w:t xml:space="preserve"> </w:t>
      </w:r>
      <w:r>
        <w:t xml:space="preserve">as realized or recognized within a given</w:t>
      </w:r>
      <w:r>
        <w:t xml:space="preserve"> </w:t>
      </w:r>
      <w:r>
        <w:rPr>
          <w:iCs/>
          <w:i/>
        </w:rPr>
        <w:t xml:space="preserve">jitai</w:t>
      </w:r>
      <w:r>
        <w:t xml:space="preserve"> </w:t>
      </w:r>
      <w:r>
        <w:t xml:space="preserve">(character standard).</w:t>
      </w:r>
      <w:r>
        <w:t xml:space="preserve"> </w:t>
      </w:r>
      <w:r>
        <w:t xml:space="preserve">(Original Japanese: 字形 — 字体内に於て認識する一々の漢字の書写された形そのもの)</w:t>
      </w:r>
    </w:p>
    <w:p>
      <w:pPr>
        <w:pStyle w:val="FirstParagraph"/>
      </w:pPr>
      <w:r>
        <w:t xml:space="preserve">A key feature of these definitions is their hierarchical understanding of</w:t>
      </w:r>
      <w:r>
        <w:t xml:space="preserve"> </w:t>
      </w:r>
      <w:r>
        <w:rPr>
          <w:iCs/>
          <w:i/>
        </w:rPr>
        <w:t xml:space="preserve">shotai</w:t>
      </w:r>
      <w:r>
        <w:t xml:space="preserve">,</w:t>
      </w:r>
      <w:r>
        <w:t xml:space="preserve"> </w:t>
      </w:r>
      <w:r>
        <w:rPr>
          <w:iCs/>
          <w:i/>
        </w:rPr>
        <w:t xml:space="preserve">jitai</w:t>
      </w:r>
      <w:r>
        <w:t xml:space="preserve">, and</w:t>
      </w:r>
      <w:r>
        <w:t xml:space="preserve"> </w:t>
      </w:r>
      <w:r>
        <w:rPr>
          <w:iCs/>
          <w:i/>
        </w:rPr>
        <w:t xml:space="preserve">jikei</w:t>
      </w:r>
      <w:r>
        <w:t xml:space="preserve">.</w:t>
      </w:r>
    </w:p>
    <w:p>
      <w:pPr>
        <w:pStyle w:val="BodyText"/>
      </w:pPr>
      <w:r>
        <w:t xml:space="preserve">The English definitions provided by Ishizuka et al. are as follows</w:t>
      </w:r>
      <w:r>
        <w:rPr>
          <w:rStyle w:val="FootnoteReference"/>
        </w:rPr>
        <w:footnoteReference w:id="143"/>
      </w:r>
      <w:r>
        <w:t xml:space="preserve">:</w:t>
      </w:r>
    </w:p>
    <w:p>
      <w:pPr>
        <w:numPr>
          <w:ilvl w:val="0"/>
          <w:numId w:val="1125"/>
        </w:numPr>
        <w:pStyle w:val="Compact"/>
      </w:pPr>
      <w:r>
        <w:t xml:space="preserve">書體 (</w:t>
      </w:r>
      <w:r>
        <w:rPr>
          <w:iCs/>
          <w:i/>
        </w:rPr>
        <w:t xml:space="preserve">Shotai</w:t>
      </w:r>
      <w:r>
        <w:t xml:space="preserve">): Socially common form of the type of a Chinese character. In many instances, the usage of a particular type is determined by the purpose of writing, 楷書, 草書, etc.</w:t>
      </w:r>
    </w:p>
    <w:p>
      <w:pPr>
        <w:numPr>
          <w:ilvl w:val="0"/>
          <w:numId w:val="1125"/>
        </w:numPr>
        <w:pStyle w:val="Compact"/>
      </w:pPr>
      <w:r>
        <w:t xml:space="preserve">字體 (</w:t>
      </w:r>
      <w:r>
        <w:rPr>
          <w:iCs/>
          <w:i/>
        </w:rPr>
        <w:t xml:space="preserve">Jitai</w:t>
      </w:r>
      <w:r>
        <w:t xml:space="preserve">): Socially common standard of writing Chinese character existing within the 書體.</w:t>
      </w:r>
    </w:p>
    <w:p>
      <w:pPr>
        <w:numPr>
          <w:ilvl w:val="0"/>
          <w:numId w:val="1125"/>
        </w:numPr>
        <w:pStyle w:val="Compact"/>
      </w:pPr>
      <w:r>
        <w:t xml:space="preserve">字形 (</w:t>
      </w:r>
      <w:r>
        <w:rPr>
          <w:iCs/>
          <w:i/>
        </w:rPr>
        <w:t xml:space="preserve">Jikei</w:t>
      </w:r>
      <w:r>
        <w:t xml:space="preserve">): Shape itself of a Chinese character as recognized within the standard of the 字體.</w:t>
      </w:r>
    </w:p>
    <w:p>
      <w:pPr>
        <w:pStyle w:val="FirstParagraph"/>
      </w:pPr>
      <w:r>
        <w:t xml:space="preserve">Based on these English explanations (from Ishizuka et al., 2003, which are consistent with the translated 1984 definitions), this document will use the following English terms:</w:t>
      </w:r>
      <w:r>
        <w:t xml:space="preserve"> </w:t>
      </w:r>
      <w:r>
        <w:t xml:space="preserve">* For 「書體（書体）」:</w:t>
      </w:r>
      <w:r>
        <w:t xml:space="preserve"> </w:t>
      </w:r>
      <w:r>
        <w:rPr>
          <w:rStyle w:val="VerbatimChar"/>
          <w:bCs/>
          <w:b/>
        </w:rPr>
        <w:t xml:space="preserve">Script Styles</w:t>
      </w:r>
      <w:r>
        <w:rPr>
          <w:bCs/>
          <w:b/>
        </w:rPr>
        <w:t xml:space="preserve"> </w:t>
      </w:r>
      <w:r>
        <w:rPr>
          <w:bCs/>
          <w:b/>
        </w:rPr>
        <w:t xml:space="preserve">(</w:t>
      </w:r>
      <w:r>
        <w:rPr>
          <w:iCs/>
          <w:i/>
          <w:bCs/>
          <w:b/>
        </w:rPr>
        <w:t xml:space="preserve">shotai</w:t>
      </w:r>
      <w:r>
        <w:rPr>
          <w:bCs/>
          <w:b/>
        </w:rPr>
        <w:t xml:space="preserve">)</w:t>
      </w:r>
      <w:r>
        <w:t xml:space="preserve"> </w:t>
      </w:r>
      <w:r>
        <w:t xml:space="preserve">(書体)</w:t>
      </w:r>
      <w:r>
        <w:t xml:space="preserve"> </w:t>
      </w:r>
      <w:r>
        <w:t xml:space="preserve">* For 「字體（字体）」:</w:t>
      </w:r>
      <w:r>
        <w:t xml:space="preserve"> </w:t>
      </w:r>
      <w:r>
        <w:rPr>
          <w:rStyle w:val="VerbatimChar"/>
          <w:bCs/>
          <w:b/>
        </w:rPr>
        <w:t xml:space="preserve">Standard of Writing Chinese Characters</w:t>
      </w:r>
      <w:r>
        <w:rPr>
          <w:bCs/>
          <w:b/>
        </w:rPr>
        <w:t xml:space="preserve"> </w:t>
      </w:r>
      <w:r>
        <w:rPr>
          <w:bCs/>
          <w:b/>
        </w:rPr>
        <w:t xml:space="preserve">(</w:t>
      </w:r>
      <w:r>
        <w:rPr>
          <w:iCs/>
          <w:i/>
          <w:bCs/>
          <w:b/>
        </w:rPr>
        <w:t xml:space="preserve">jitai</w:t>
      </w:r>
      <w:r>
        <w:rPr>
          <w:bCs/>
          <w:b/>
        </w:rPr>
        <w:t xml:space="preserve">)</w:t>
      </w:r>
      <w:r>
        <w:t xml:space="preserve"> </w:t>
      </w:r>
      <w:r>
        <w:t xml:space="preserve">(字体)</w:t>
      </w:r>
      <w:r>
        <w:t xml:space="preserve"> </w:t>
      </w:r>
      <w:r>
        <w:t xml:space="preserve">* For 「字形」:</w:t>
      </w:r>
      <w:r>
        <w:t xml:space="preserve"> </w:t>
      </w:r>
      <w:r>
        <w:rPr>
          <w:rStyle w:val="VerbatimChar"/>
          <w:bCs/>
          <w:b/>
        </w:rPr>
        <w:t xml:space="preserve">Shapes of Chinese Characters</w:t>
      </w:r>
      <w:r>
        <w:rPr>
          <w:bCs/>
          <w:b/>
        </w:rPr>
        <w:t xml:space="preserve"> </w:t>
      </w:r>
      <w:r>
        <w:rPr>
          <w:bCs/>
          <w:b/>
        </w:rPr>
        <w:t xml:space="preserve">(</w:t>
      </w:r>
      <w:r>
        <w:rPr>
          <w:iCs/>
          <w:i/>
          <w:bCs/>
          <w:b/>
        </w:rPr>
        <w:t xml:space="preserve">jikei</w:t>
      </w:r>
      <w:r>
        <w:rPr>
          <w:bCs/>
          <w:b/>
        </w:rPr>
        <w:t xml:space="preserve">)</w:t>
      </w:r>
      <w:r>
        <w:t xml:space="preserve"> </w:t>
      </w:r>
      <w:r>
        <w:t xml:space="preserve">(字形)</w:t>
      </w:r>
    </w:p>
    <w:bookmarkEnd w:id="144"/>
    <w:bookmarkStart w:id="146" w:name="X8be14242e95da24075f4aa5fc77ea0847188b8f"/>
    <w:p>
      <w:pPr>
        <w:pStyle w:val="Heading2"/>
      </w:pPr>
      <w:r>
        <w:rPr>
          <w:rStyle w:val="SectionNumber"/>
        </w:rPr>
        <w:t xml:space="preserve">13.2</w:t>
      </w:r>
      <w:r>
        <w:tab/>
      </w:r>
      <w:r>
        <w:t xml:space="preserve">Variant Characters (異体字)</w:t>
      </w:r>
    </w:p>
    <w:p>
      <w:pPr>
        <w:pStyle w:val="FirstParagraph"/>
      </w:pPr>
      <w:r>
        <w:t xml:space="preserve">The term</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(異体字) is, at the level of</w:t>
      </w:r>
      <w:r>
        <w:t xml:space="preserve"> </w:t>
      </w:r>
      <w:r>
        <w:rPr>
          <w:rStyle w:val="VerbatimChar"/>
          <w:bCs/>
          <w:b/>
        </w:rPr>
        <w:t xml:space="preserve">Character Standards</w:t>
      </w:r>
      <w:r>
        <w:rPr>
          <w:bCs/>
          <w:b/>
        </w:rPr>
        <w:t xml:space="preserve"> </w:t>
      </w:r>
      <w:r>
        <w:rPr>
          <w:bCs/>
          <w:b/>
        </w:rPr>
        <w:t xml:space="preserve">(</w:t>
      </w:r>
      <w:r>
        <w:rPr>
          <w:iCs/>
          <w:i/>
          <w:bCs/>
          <w:b/>
        </w:rPr>
        <w:t xml:space="preserve">jitai</w:t>
      </w:r>
      <w:r>
        <w:rPr>
          <w:bCs/>
          <w:b/>
        </w:rPr>
        <w:t xml:space="preserve">)</w:t>
      </w:r>
      <w:r>
        <w:t xml:space="preserve"> </w:t>
      </w:r>
      <w:r>
        <w:t xml:space="preserve">(字体), a concept corresponding to</w:t>
      </w:r>
      <w:r>
        <w:t xml:space="preserve"> </w:t>
      </w:r>
      <w:r>
        <w:t xml:space="preserve">“</w:t>
      </w:r>
      <w:r>
        <w:rPr>
          <w:rStyle w:val="VerbatimChar"/>
          <w:bCs/>
          <w:b/>
        </w:rPr>
        <w:t xml:space="preserve">Standard Characters</w:t>
      </w:r>
      <w:r>
        <w:rPr>
          <w:bCs/>
          <w:b/>
        </w:rPr>
        <w:t xml:space="preserve"> </w:t>
      </w:r>
      <w:r>
        <w:rPr>
          <w:bCs/>
          <w:b/>
        </w:rPr>
        <w:t xml:space="preserve">(</w:t>
      </w:r>
      <w:r>
        <w:rPr>
          <w:iCs/>
          <w:i/>
          <w:bCs/>
          <w:b/>
        </w:rPr>
        <w:t xml:space="preserve">seiji</w:t>
      </w:r>
      <w:r>
        <w:rPr>
          <w:bCs/>
          <w:b/>
        </w:rPr>
        <w:t xml:space="preserve">)</w:t>
      </w:r>
      <w:r>
        <w:t xml:space="preserve">”</w:t>
      </w:r>
      <w:r>
        <w:t xml:space="preserve"> </w:t>
      </w:r>
      <w:r>
        <w:t xml:space="preserve">(正字).</w:t>
      </w:r>
      <w:r>
        <w:t xml:space="preserve"> </w:t>
      </w:r>
      <w:r>
        <w:t xml:space="preserve">In models of the historical study of Chinese character forms, such as those presented by Ishizuka Harumichi in</w:t>
      </w:r>
      <w:r>
        <w:t xml:space="preserve"> </w:t>
      </w:r>
      <w:r>
        <w:t xml:space="preserve">“</w:t>
      </w:r>
      <w:r>
        <w:t xml:space="preserve">Kanji Jitai no Nihonteki Hyōjun</w:t>
      </w:r>
      <w:r>
        <w:t xml:space="preserve">”</w:t>
      </w:r>
      <w:r>
        <w:t xml:space="preserve"> </w:t>
      </w:r>
      <w:r>
        <w:t xml:space="preserve">(Japanese Standards of Chinese Character Forms;</w:t>
      </w:r>
      <w:r>
        <w:t xml:space="preserve"> </w:t>
      </w:r>
      <w:r>
        <w:rPr>
          <w:iCs/>
          <w:i/>
        </w:rPr>
        <w:t xml:space="preserve">Kokugo to Kokubungaku</w:t>
      </w:r>
      <w:r>
        <w:t xml:space="preserve"> </w:t>
      </w:r>
      <w:r>
        <w:t xml:space="preserve">76, no. 5, 1999), the standard for Chinese character forms is considered to have changed according to period and region. The</w:t>
      </w:r>
      <w:r>
        <w:t xml:space="preserve"> </w:t>
      </w:r>
      <w:r>
        <w:rPr>
          <w:bCs/>
          <w:b/>
        </w:rPr>
        <w:t xml:space="preserve">Hanzi Normative Glyphs Database (HNG)</w:t>
      </w:r>
      <w:r>
        <w:t xml:space="preserve"> </w:t>
      </w:r>
      <w:r>
        <w:t xml:space="preserve">was intended to empirically demonstrate this model. Related data, including materials from its predecessor (the Ishizuka Register of Chinese Character Standards of Writing), can be accessed via the</w:t>
      </w:r>
      <w:r>
        <w:t xml:space="preserve"> </w:t>
      </w:r>
      <w:r>
        <w:rPr>
          <w:bCs/>
          <w:b/>
        </w:rPr>
        <w:t xml:space="preserve">Hanzi Normative Glyphs Dataset</w:t>
      </w:r>
      <w:r>
        <w:t xml:space="preserve"> </w:t>
      </w:r>
      <w:r>
        <w:t xml:space="preserve">available at</w:t>
      </w:r>
      <w:r>
        <w:t xml:space="preserve"> </w:t>
      </w:r>
      <w:hyperlink r:id="rId145">
        <w:r>
          <w:rPr>
            <w:rStyle w:val="Hyperlink"/>
          </w:rPr>
          <w:t xml:space="preserve">https://www.hng-data.org</w:t>
        </w:r>
      </w:hyperlink>
      <w:r>
        <w:t xml:space="preserve">.</w:t>
      </w:r>
    </w:p>
    <w:p>
      <w:pPr>
        <w:pStyle w:val="BodyText"/>
      </w:pPr>
      <w:r>
        <w:t xml:space="preserve">While</w:t>
      </w:r>
      <w:r>
        <w:t xml:space="preserve"> </w:t>
      </w:r>
      <w:r>
        <w:t xml:space="preserve">“</w:t>
      </w:r>
      <w:r>
        <w:rPr>
          <w:rStyle w:val="VerbatimChar"/>
          <w:bCs/>
          <w:b/>
        </w:rPr>
        <w:t xml:space="preserve">Variant Characters</w:t>
      </w:r>
      <w:r>
        <w:t xml:space="preserve">”</w:t>
      </w:r>
      <w:r>
        <w:t xml:space="preserve"> </w:t>
      </w:r>
      <w:r>
        <w:t xml:space="preserve">are generally understood to refer to character forms that are not</w:t>
      </w:r>
      <w:r>
        <w:t xml:space="preserve"> </w:t>
      </w:r>
      <w:r>
        <w:t xml:space="preserve">“</w:t>
      </w:r>
      <w:r>
        <w:rPr>
          <w:rStyle w:val="VerbatimChar"/>
          <w:bCs/>
          <w:b/>
        </w:rPr>
        <w:t xml:space="preserve">Standard Characters</w:t>
      </w:r>
      <w:r>
        <w:t xml:space="preserve">,</w:t>
      </w:r>
      <w:r>
        <w:t xml:space="preserve">”</w:t>
      </w:r>
      <w:r>
        <w:t xml:space="preserve"> </w:t>
      </w:r>
      <w:r>
        <w:t xml:space="preserve">Ishizuka’s model posits that the standard for Chinese character forms—that is, the</w:t>
      </w:r>
      <w:r>
        <w:t xml:space="preserve"> </w:t>
      </w:r>
      <w:r>
        <w:t xml:space="preserve">“</w:t>
      </w:r>
      <w:r>
        <w:rPr>
          <w:rStyle w:val="VerbatimChar"/>
          <w:bCs/>
          <w:b/>
        </w:rPr>
        <w:t xml:space="preserve">Standard Character</w:t>
      </w:r>
      <w:r>
        <w:t xml:space="preserve">”</w:t>
      </w:r>
      <w:r>
        <w:t xml:space="preserve">—differs by period and region, making it impossible to distinguish</w:t>
      </w:r>
      <w:r>
        <w:t xml:space="preserve"> </w:t>
      </w:r>
      <w:r>
        <w:rPr>
          <w:iCs/>
          <w:i/>
        </w:rPr>
        <w:t xml:space="preserve">a priori</w:t>
      </w:r>
      <w:r>
        <w:t xml:space="preserve"> </w:t>
      </w:r>
      <w:r>
        <w:t xml:space="preserve">between</w:t>
      </w:r>
      <w:r>
        <w:t xml:space="preserve"> </w:t>
      </w:r>
      <w:r>
        <w:t xml:space="preserve">“</w:t>
      </w:r>
      <w:r>
        <w:rPr>
          <w:rStyle w:val="VerbatimChar"/>
          <w:bCs/>
          <w:b/>
        </w:rPr>
        <w:t xml:space="preserve">Standard Characters</w:t>
      </w:r>
      <w:r>
        <w:t xml:space="preserve">”</w:t>
      </w:r>
      <w:r>
        <w:t xml:space="preserve"> </w:t>
      </w:r>
      <w:r>
        <w:t xml:space="preserve">and</w:t>
      </w:r>
      <w:r>
        <w:t xml:space="preserve"> </w:t>
      </w:r>
      <w:r>
        <w:t xml:space="preserve">“</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w:t>
      </w:r>
      <w:r>
        <w:t xml:space="preserve">”</w:t>
      </w:r>
      <w:r>
        <w:t xml:space="preserve"> </w:t>
      </w:r>
      <w:r>
        <w:t xml:space="preserve">In this document, we consider</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as variations of Chinese character forms. We judge that a character indicates a variant if it is accompanied by</w:t>
      </w:r>
      <w:r>
        <w:t xml:space="preserve"> </w:t>
      </w:r>
      <w:r>
        <w:rPr>
          <w:rStyle w:val="VerbatimChar"/>
          <w:bCs/>
          <w:b/>
        </w:rPr>
        <w:t xml:space="preserve">Form Classification Tags</w:t>
      </w:r>
      <w:r>
        <w:t xml:space="preserve"> </w:t>
      </w:r>
      <w:r>
        <w:t xml:space="preserve">(字体注記,</w:t>
      </w:r>
      <w:r>
        <w:t xml:space="preserve"> </w:t>
      </w:r>
      <w:r>
        <w:rPr>
          <w:iCs/>
          <w:i/>
        </w:rPr>
        <w:t xml:space="preserve">jitaichūki</w:t>
      </w:r>
      <w:r>
        <w:t xml:space="preserve">, also referred to as 字級,</w:t>
      </w:r>
      <w:r>
        <w:t xml:space="preserve"> </w:t>
      </w:r>
      <w:r>
        <w:rPr>
          <w:iCs/>
          <w:i/>
        </w:rPr>
        <w:t xml:space="preserve">zìjí</w:t>
      </w:r>
      <w:r>
        <w:t xml:space="preserve">) such as</w:t>
      </w:r>
      <w:r>
        <w:t xml:space="preserve"> </w:t>
      </w:r>
      <w:r>
        <w:t xml:space="preserve">“</w:t>
      </w:r>
      <w:r>
        <w:t xml:space="preserve">正</w:t>
      </w:r>
      <w:r>
        <w:t xml:space="preserve">”</w:t>
      </w:r>
      <w:r>
        <w:t xml:space="preserve"> </w:t>
      </w:r>
      <w:r>
        <w:t xml:space="preserve">(standard),</w:t>
      </w:r>
      <w:r>
        <w:t xml:space="preserve"> </w:t>
      </w:r>
      <w:r>
        <w:t xml:space="preserve">“</w:t>
      </w:r>
      <w:r>
        <w:t xml:space="preserve">俗</w:t>
      </w:r>
      <w:r>
        <w:t xml:space="preserve">”</w:t>
      </w:r>
      <w:r>
        <w:t xml:space="preserve"> </w:t>
      </w:r>
      <w:r>
        <w:t xml:space="preserve">(popular/vulgar),</w:t>
      </w:r>
      <w:r>
        <w:t xml:space="preserve"> </w:t>
      </w:r>
      <w:r>
        <w:t xml:space="preserve">“</w:t>
      </w:r>
      <w:r>
        <w:t xml:space="preserve">通</w:t>
      </w:r>
      <w:r>
        <w:t xml:space="preserve">”</w:t>
      </w:r>
      <w:r>
        <w:t xml:space="preserve"> </w:t>
      </w:r>
      <w:r>
        <w:t xml:space="preserve">(common), or</w:t>
      </w:r>
      <w:r>
        <w:t xml:space="preserve"> </w:t>
      </w:r>
      <w:r>
        <w:t xml:space="preserve">“</w:t>
      </w:r>
      <w:r>
        <w:t xml:space="preserve">或</w:t>
      </w:r>
      <w:r>
        <w:t xml:space="preserve">”</w:t>
      </w:r>
      <w:r>
        <w:t xml:space="preserve"> </w:t>
      </w:r>
      <w:r>
        <w:t xml:space="preserve">(alternative).</w:t>
      </w:r>
    </w:p>
    <w:p>
      <w:pPr>
        <w:pStyle w:val="BodyText"/>
      </w:pPr>
      <w:r>
        <w:t xml:space="preserve">The practice of calling</w:t>
      </w:r>
      <w:r>
        <w:t xml:space="preserve"> </w:t>
      </w:r>
      <w:r>
        <w:rPr>
          <w:rStyle w:val="VerbatimChar"/>
          <w:bCs/>
          <w:b/>
        </w:rPr>
        <w:t xml:space="preserve">Form Classification Tags</w:t>
      </w:r>
      <w:r>
        <w:t xml:space="preserve"> </w:t>
      </w:r>
      <w:r>
        <w:t xml:space="preserve">like</w:t>
      </w:r>
      <w:r>
        <w:t xml:space="preserve"> </w:t>
      </w:r>
      <w:r>
        <w:t xml:space="preserve">“</w:t>
      </w:r>
      <w:r>
        <w:t xml:space="preserve">正</w:t>
      </w:r>
      <w:r>
        <w:t xml:space="preserve">”</w:t>
      </w:r>
      <w:r>
        <w:t xml:space="preserve"> </w:t>
      </w:r>
      <w:r>
        <w:t xml:space="preserve">or</w:t>
      </w:r>
      <w:r>
        <w:t xml:space="preserve"> </w:t>
      </w:r>
      <w:r>
        <w:t xml:space="preserve">“</w:t>
      </w:r>
      <w:r>
        <w:t xml:space="preserve">俗</w:t>
      </w:r>
      <w:r>
        <w:t xml:space="preserve">”</w:t>
      </w:r>
      <w:r>
        <w:t xml:space="preserve"> </w:t>
      </w:r>
      <w:r>
        <w:rPr>
          <w:iCs/>
          <w:i/>
        </w:rPr>
        <w:t xml:space="preserve">zìjí</w:t>
      </w:r>
      <w:r>
        <w:t xml:space="preserve"> </w:t>
      </w:r>
      <w:r>
        <w:t xml:space="preserve">(字級) follows Lee Kyeong Won in his</w:t>
      </w:r>
      <w:r>
        <w:t xml:space="preserve"> </w:t>
      </w:r>
      <w:r>
        <w:rPr>
          <w:iCs/>
          <w:i/>
        </w:rPr>
        <w:t xml:space="preserve">Zui-Tang Ziyangxue Yanjiu</w:t>
      </w:r>
      <w:r>
        <w:t xml:space="preserve"> </w:t>
      </w:r>
      <w:r>
        <w:t xml:space="preserve">(隋唐字様學研究; A Study of Sui and Tang Dynasty Character Lexicography; PhD diss., National Taiwan Normal University, Graduate Institute of Chinese, 1997).</w:t>
      </w:r>
    </w:p>
    <w:bookmarkEnd w:id="146"/>
    <w:bookmarkStart w:id="148" w:name="Xd1ef622e5b1304de8f11f8ac66ed7e6dc11ba13"/>
    <w:p>
      <w:pPr>
        <w:pStyle w:val="Heading2"/>
      </w:pPr>
      <w:r>
        <w:rPr>
          <w:rStyle w:val="SectionNumber"/>
        </w:rPr>
        <w:t xml:space="preserve">13.3</w:t>
      </w:r>
      <w:r>
        <w:tab/>
      </w:r>
      <w:r>
        <w:t xml:space="preserve">Graphically Similar Characters (形近字)</w:t>
      </w:r>
    </w:p>
    <w:p>
      <w:pPr>
        <w:pStyle w:val="FirstParagraph"/>
      </w:pPr>
      <w:r>
        <w:rPr>
          <w:rStyle w:val="VerbatimChar"/>
          <w:bCs/>
          <w:b/>
        </w:rPr>
        <w:t xml:space="preserve">Graphically Similar Characters</w:t>
      </w:r>
      <w:r>
        <w:rPr>
          <w:bCs/>
          <w:b/>
        </w:rPr>
        <w:t xml:space="preserve"> </w:t>
      </w:r>
      <w:r>
        <w:rPr>
          <w:bCs/>
          <w:b/>
        </w:rPr>
        <w:t xml:space="preserve">(</w:t>
      </w:r>
      <w:r>
        <w:rPr>
          <w:iCs/>
          <w:i/>
          <w:bCs/>
          <w:b/>
        </w:rPr>
        <w:t xml:space="preserve">keikinki</w:t>
      </w:r>
      <w:r>
        <w:rPr>
          <w:bCs/>
          <w:b/>
        </w:rPr>
        <w:t xml:space="preserve">)</w:t>
      </w:r>
      <w:r>
        <w:t xml:space="preserve"> </w:t>
      </w:r>
      <w:r>
        <w:t xml:space="preserve">(形近字) are distinct characters that have similar visual forms. They are also known as</w:t>
      </w:r>
      <w:r>
        <w:t xml:space="preserve"> </w:t>
      </w:r>
      <w:r>
        <w:rPr>
          <w:iCs/>
          <w:i/>
        </w:rPr>
        <w:t xml:space="preserve">ruikei betsuji</w:t>
      </w:r>
      <w:r>
        <w:t xml:space="preserve"> </w:t>
      </w:r>
      <w:r>
        <w:t xml:space="preserve">(類形別字) or</w:t>
      </w:r>
      <w:r>
        <w:t xml:space="preserve"> </w:t>
      </w:r>
      <w:r>
        <w:rPr>
          <w:iCs/>
          <w:i/>
        </w:rPr>
        <w:t xml:space="preserve">ruikei iji</w:t>
      </w:r>
      <w:r>
        <w:t xml:space="preserve"> </w:t>
      </w:r>
      <w:r>
        <w:t xml:space="preserve">(類形異字) (distinct characters of similar form).</w:t>
      </w:r>
      <w:r>
        <w:t xml:space="preserve"> </w:t>
      </w:r>
      <w:r>
        <w:t xml:space="preserve">In the study of the Kanchi-in manuscript of the</w:t>
      </w:r>
      <w:r>
        <w:t xml:space="preserve"> </w:t>
      </w:r>
      <w:r>
        <w:rPr>
          <w:iCs/>
          <w:i/>
        </w:rPr>
        <w:t xml:space="preserve">Ruiju Myōgishō</w:t>
      </w:r>
      <w:r>
        <w:t xml:space="preserve">, Sakai Kenji, in his article</w:t>
      </w:r>
      <w:r>
        <w:t xml:space="preserve"> </w:t>
      </w:r>
      <w:r>
        <w:t xml:space="preserve">“</w:t>
      </w:r>
      <w:r>
        <w:t xml:space="preserve">Ruiju Myōgishō no Jijun to Bushu Hairetsu</w:t>
      </w:r>
      <w:r>
        <w:t xml:space="preserve">”</w:t>
      </w:r>
      <w:r>
        <w:t xml:space="preserve"> </w:t>
      </w:r>
      <w:r>
        <w:t xml:space="preserve">(Character Order and Radical Arrangement in the</w:t>
      </w:r>
      <w:r>
        <w:t xml:space="preserve"> </w:t>
      </w:r>
      <w:r>
        <w:rPr>
          <w:iCs/>
          <w:i/>
        </w:rPr>
        <w:t xml:space="preserve">Ruiju Myōgishō</w:t>
      </w:r>
      <w:r>
        <w:t xml:space="preserve">),</w:t>
      </w:r>
      <w:r>
        <w:rPr>
          <w:rStyle w:val="FootnoteReference"/>
        </w:rPr>
        <w:footnoteReference w:id="147"/>
      </w:r>
      <w:r>
        <w:t xml:space="preserve"> </w:t>
      </w:r>
      <w:r>
        <w:t xml:space="preserve">identified an</w:t>
      </w:r>
      <w:r>
        <w:t xml:space="preserve"> </w:t>
      </w:r>
      <w:r>
        <w:t xml:space="preserve">“</w:t>
      </w:r>
      <w:r>
        <w:t xml:space="preserve">arrangement by similar character forms</w:t>
      </w:r>
      <w:r>
        <w:t xml:space="preserve">”</w:t>
      </w:r>
      <w:r>
        <w:t xml:space="preserve"> </w:t>
      </w:r>
      <w:r>
        <w:t xml:space="preserve">(類似字形排列,</w:t>
      </w:r>
      <w:r>
        <w:t xml:space="preserve"> </w:t>
      </w:r>
      <w:r>
        <w:rPr>
          <w:iCs/>
          <w:i/>
        </w:rPr>
        <w:t xml:space="preserve">ruiji jikei hairetsu</w:t>
      </w:r>
      <w:r>
        <w:t xml:space="preserve">) within radical sections. This can be rephrased as</w:t>
      </w:r>
      <w:r>
        <w:t xml:space="preserve"> </w:t>
      </w:r>
      <w:r>
        <w:rPr>
          <w:rStyle w:val="VerbatimChar"/>
          <w:bCs/>
          <w:b/>
        </w:rPr>
        <w:t xml:space="preserve">Variant Characters</w:t>
      </w:r>
      <w:r>
        <w:rPr>
          <w:bCs/>
          <w:b/>
        </w:rPr>
        <w:t xml:space="preserve">(</w:t>
      </w:r>
      <w:r>
        <w:rPr>
          <w:iCs/>
          <w:i/>
          <w:bCs/>
          <w:b/>
        </w:rPr>
        <w:t xml:space="preserve">itaiji</w:t>
      </w:r>
      <w:r>
        <w:rPr>
          <w:bCs/>
          <w:b/>
        </w:rPr>
        <w:t xml:space="preserve">)</w:t>
      </w:r>
      <w:r>
        <w:t xml:space="preserve"> </w:t>
      </w:r>
      <w:r>
        <w:t xml:space="preserve">and</w:t>
      </w:r>
      <w:r>
        <w:t xml:space="preserve"> </w:t>
      </w:r>
      <w:r>
        <w:rPr>
          <w:rStyle w:val="VerbatimChar"/>
          <w:bCs/>
          <w:b/>
        </w:rPr>
        <w:t xml:space="preserve">Graphically Similar Characters</w:t>
      </w:r>
      <w:r>
        <w:t xml:space="preserve"> </w:t>
      </w:r>
      <w:r>
        <w:t xml:space="preserve">being listed consecutively.</w:t>
      </w:r>
    </w:p>
    <w:bookmarkEnd w:id="148"/>
    <w:bookmarkEnd w:id="149"/>
    <w:bookmarkEnd w:id="150"/>
    <w:bookmarkStart w:id="157" w:name="X8a652584763313b5403d2c41b464965a21b2449"/>
    <w:bookmarkStart w:id="156" w:name="Xd444e247099c5d90dd7826feda7f5be561bd87e"/>
    <w:p>
      <w:pPr>
        <w:pStyle w:val="Heading1"/>
      </w:pPr>
      <w:r>
        <w:rPr>
          <w:rStyle w:val="SectionNumber"/>
        </w:rPr>
        <w:t xml:space="preserve">14</w:t>
      </w:r>
      <w:r>
        <w:tab/>
      </w:r>
      <w:r>
        <w:t xml:space="preserve">Publication and Updates of Entry Data Files</w:t>
      </w:r>
    </w:p>
    <w:p>
      <w:pPr>
        <w:pStyle w:val="FirstParagraph"/>
      </w:pPr>
      <w:r>
        <w:t xml:space="preserve">This section covers the content and specific examples of</w:t>
      </w:r>
      <w:r>
        <w:t xml:space="preserve"> </w:t>
      </w:r>
      <w:r>
        <w:rPr>
          <w:rStyle w:val="VerbatimChar"/>
          <w:bCs/>
          <w:b/>
        </w:rPr>
        <w:t xml:space="preserve">Entry Data Files</w:t>
      </w:r>
      <w:r>
        <w:t xml:space="preserve">, as well as methods for their publication and updates using GitHub.</w:t>
      </w:r>
    </w:p>
    <w:bookmarkStart w:id="152" w:name="Xb123f5be6eae3c62ee71f14dde7bb487c777caa"/>
    <w:p>
      <w:pPr>
        <w:pStyle w:val="Heading2"/>
      </w:pPr>
      <w:r>
        <w:rPr>
          <w:rStyle w:val="SectionNumber"/>
        </w:rPr>
        <w:t xml:space="preserve">14.1</w:t>
      </w:r>
      <w:r>
        <w:tab/>
      </w:r>
      <w:r>
        <w:t xml:space="preserve">Examples of Entry Data Files</w:t>
      </w:r>
    </w:p>
    <w:p>
      <w:pPr>
        <w:pStyle w:val="FirstParagraph"/>
      </w:pPr>
      <w:r>
        <w:t xml:space="preserve">A list of the publicly available data files is provided in the</w:t>
      </w:r>
      <w:r>
        <w:t xml:space="preserve"> </w:t>
      </w:r>
      <w:hyperlink r:id="rId151">
        <w:r>
          <w:rPr>
            <w:rStyle w:val="Hyperlink"/>
          </w:rPr>
          <w:t xml:space="preserve">Overview of Public Data</w:t>
        </w:r>
      </w:hyperlink>
      <w:r>
        <w:t xml:space="preserve">.</w:t>
      </w:r>
      <w:r>
        <w:t xml:space="preserve"> </w:t>
      </w:r>
      <w:r>
        <w:t xml:space="preserve">Here, we will explain the content of</w:t>
      </w:r>
      <w:r>
        <w:t xml:space="preserve"> </w:t>
      </w:r>
      <w:r>
        <w:rPr>
          <w:rStyle w:val="VerbatimChar"/>
        </w:rPr>
        <w:t xml:space="preserve">krm_main</w:t>
      </w:r>
      <w:r>
        <w:t xml:space="preserve">, which is the core</w:t>
      </w:r>
      <w:r>
        <w:t xml:space="preserve"> </w:t>
      </w:r>
      <w:r>
        <w:rPr>
          <w:rStyle w:val="VerbatimChar"/>
          <w:bCs/>
          <w:b/>
        </w:rPr>
        <w:t xml:space="preserve">Entry Data File</w:t>
      </w:r>
      <w:r>
        <w:t xml:space="preserve">, using it as an example.</w:t>
      </w:r>
    </w:p>
    <w:p>
      <w:pPr>
        <w:pStyle w:val="BodyText"/>
      </w:pPr>
      <w:r>
        <w:t xml:space="preserve">Let’s consider as examples the three</w:t>
      </w:r>
      <w:r>
        <w:t xml:space="preserve"> </w:t>
      </w:r>
      <w:r>
        <w:rPr>
          <w:rStyle w:val="VerbatimChar"/>
          <w:bCs/>
          <w:b/>
        </w:rPr>
        <w:t xml:space="preserve">Entries</w:t>
      </w:r>
      <w:r>
        <w:t xml:space="preserve"> </w:t>
      </w:r>
      <w:r>
        <w:t xml:space="preserve">that were presented as specific illustrations in the</w:t>
      </w:r>
      <w:r>
        <w:t xml:space="preserve"> </w:t>
      </w:r>
      <w:hyperlink r:id="rId112">
        <w:r>
          <w:rPr>
            <w:rStyle w:val="VerbatimChar"/>
            <w:bCs/>
            <w:b/>
          </w:rPr>
          <w:t xml:space="preserve">Entry Data Structure</w:t>
        </w:r>
      </w:hyperlink>
      <w:r>
        <w:t xml:space="preserve"> </w:t>
      </w:r>
      <w:r>
        <w:t xml:space="preserve">section:</w:t>
      </w:r>
      <w:r>
        <w:t xml:space="preserve"> </w:t>
      </w:r>
      <w:r>
        <w:t xml:space="preserve">‘</w:t>
      </w:r>
      <w:r>
        <w:t xml:space="preserve">加復</w:t>
      </w:r>
      <w:r>
        <w:t xml:space="preserve">’</w:t>
      </w:r>
      <w:r>
        <w:t xml:space="preserve">,</w:t>
      </w:r>
      <w:r>
        <w:t xml:space="preserve"> </w:t>
      </w:r>
      <w:r>
        <w:t xml:space="preserve">‘</w:t>
      </w:r>
      <w:r>
        <w:t xml:space="preserve">ー之</w:t>
      </w:r>
      <w:r>
        <w:t xml:space="preserve">’</w:t>
      </w:r>
      <w:r>
        <w:t xml:space="preserve">,</w:t>
      </w:r>
      <w:r>
        <w:t xml:space="preserve"> </w:t>
      </w:r>
      <w:r>
        <w:t xml:space="preserve">‘</w:t>
      </w:r>
      <w:r>
        <w:t xml:space="preserve">助</w:t>
      </w:r>
      <w:r>
        <w:t xml:space="preserve">’</w:t>
      </w:r>
      <w:r>
        <w:t xml:space="preserve"> </w:t>
      </w:r>
      <w:r>
        <w:t xml:space="preserve">(along with its</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and</w:t>
      </w:r>
      <w:r>
        <w:t xml:space="preserve"> </w:t>
      </w:r>
      <w:r>
        <w:t xml:space="preserve">‘</w:t>
      </w:r>
      <w:r>
        <w:t xml:space="preserve">功</w:t>
      </w:r>
      <w:r>
        <w:t xml:space="preserve">’</w:t>
      </w:r>
      <w:r>
        <w:t xml:space="preserve">.</w:t>
      </w:r>
    </w:p>
    <w:p>
      <w:pPr>
        <w:pStyle w:val="BodyText"/>
      </w:pPr>
      <w:r>
        <w:t xml:space="preserve">The data in TSV format is shown below. A</w:t>
      </w:r>
      <w:r>
        <w:t xml:space="preserve"> </w:t>
      </w:r>
      <w:r>
        <w:t xml:space="preserve">“</w:t>
      </w:r>
      <w:r>
        <w:t xml:space="preserve">No.</w:t>
      </w:r>
      <w:r>
        <w:t xml:space="preserve">”</w:t>
      </w:r>
      <w:r>
        <w:t xml:space="preserve"> </w:t>
      </w:r>
      <w:r>
        <w:t xml:space="preserve">column has been added on the far left for explanatory purposes.</w:t>
      </w:r>
    </w:p>
    <w:p>
      <w:pPr>
        <w:pStyle w:val="SourceCode"/>
      </w:pPr>
      <w:r>
        <w:rPr>
          <w:rStyle w:val="VerbatimChar"/>
        </w:rPr>
        <w:t xml:space="preserve">No  entry_id    hanzi_id    kazama_location tenri_location  volume_name radical_name    volume_radical_index    hanzi_entry original_entry  definition</w:t>
      </w:r>
      <w:r>
        <w:br/>
      </w:r>
      <w:r>
        <w:rPr>
          <w:rStyle w:val="VerbatimChar"/>
        </w:rPr>
        <w:t xml:space="preserve">1   F25133  S31605  K08084810   Tc090810    僧上  力   v8#83   功   〇   音工（L-R）「コウ（_N）」「クウ（_N）」　續也　事也　成也　タシカニ（LHLH）　𭃄歟</w:t>
      </w:r>
      <w:r>
        <w:br/>
      </w:r>
      <w:r>
        <w:rPr>
          <w:rStyle w:val="VerbatimChar"/>
        </w:rPr>
        <w:t xml:space="preserve">2   F25062  S31507  K08081810   Tc087810    僧上  力   v8#83   助   ⿰目力 鉏據反　タスク（LL_）　マサル（HH_）　ハサム　和自ヨ（_L）</w:t>
      </w:r>
      <w:r>
        <w:br/>
      </w:r>
      <w:r>
        <w:rPr>
          <w:rStyle w:val="VerbatimChar"/>
        </w:rPr>
        <w:t xml:space="preserve">3   F25063  S31508  K08081821   Tc087821    僧上  力   v8#83   𦔳／助 ■／〇 今正</w:t>
      </w:r>
      <w:r>
        <w:br/>
      </w:r>
      <w:r>
        <w:rPr>
          <w:rStyle w:val="VerbatimChar"/>
        </w:rPr>
        <w:t xml:space="preserve">4   F25121  S31590  K08084411   Tc090411    僧上  力   v8#83   加／復 〇／〇 シカノミナラス</w:t>
      </w:r>
      <w:r>
        <w:br/>
      </w:r>
      <w:r>
        <w:rPr>
          <w:rStyle w:val="VerbatimChar"/>
        </w:rPr>
        <w:t xml:space="preserve">5   F25122  S31592  K08084421   Tc090421    僧上  力   v8#83   ー（加）／之  〇／〇 同</w:t>
      </w:r>
    </w:p>
    <w:p>
      <w:pPr>
        <w:pStyle w:val="FirstParagraph"/>
      </w:pPr>
      <w:r>
        <w:t xml:space="preserve">The following is an explanation of the sample data shown above:</w:t>
      </w:r>
    </w:p>
    <w:p>
      <w:pPr>
        <w:pStyle w:val="BodyText"/>
      </w:pPr>
      <w:r>
        <w:t xml:space="preserve">Entry 1,</w:t>
      </w:r>
      <w:r>
        <w:t xml:space="preserve"> </w:t>
      </w:r>
      <w:r>
        <w:t xml:space="preserve">‘</w:t>
      </w:r>
      <w:r>
        <w:rPr>
          <w:rStyle w:val="VerbatimChar"/>
          <w:bCs/>
          <w:b/>
        </w:rPr>
        <w:t xml:space="preserve">Headword</w:t>
      </w:r>
      <w:r>
        <w:t xml:space="preserve">’</w:t>
      </w:r>
      <w:r>
        <w:t xml:space="preserve"> </w:t>
      </w:r>
      <w:r>
        <w:t xml:space="preserve">‘</w:t>
      </w:r>
      <w:r>
        <w:t xml:space="preserve">功</w:t>
      </w:r>
      <w:r>
        <w:t xml:space="preserve">’</w:t>
      </w:r>
      <w:r>
        <w:t xml:space="preserve">, is an example of the</w:t>
      </w:r>
      <w:r>
        <w:t xml:space="preserve"> </w:t>
      </w:r>
      <w:r>
        <w:rPr>
          <w:rStyle w:val="VerbatimChar"/>
          <w:bCs/>
          <w:b/>
        </w:rPr>
        <w:t xml:space="preserve">Single Character Form</w:t>
      </w:r>
      <w:r>
        <w:t xml:space="preserve">.</w:t>
      </w:r>
      <w:r>
        <w:t xml:space="preserve"> </w:t>
      </w:r>
      <w:r>
        <w:t xml:space="preserve">This particular</w:t>
      </w:r>
      <w:r>
        <w:t xml:space="preserve"> </w:t>
      </w:r>
      <w:r>
        <w:rPr>
          <w:rStyle w:val="VerbatimChar"/>
          <w:bCs/>
          <w:b/>
        </w:rPr>
        <w:t xml:space="preserve">Entry</w:t>
      </w:r>
      <w:r>
        <w:t xml:space="preserve"> </w:t>
      </w:r>
      <w:r>
        <w:t xml:space="preserve">has complex content within its</w:t>
      </w:r>
      <w:r>
        <w:t xml:space="preserve"> </w:t>
      </w:r>
      <w:r>
        <w:rPr>
          <w:rStyle w:val="VerbatimChar"/>
          <w:bCs/>
          <w:b/>
        </w:rPr>
        <w:t xml:space="preserve">Original Glosses</w:t>
      </w:r>
      <w:r>
        <w:t xml:space="preserve">; its</w:t>
      </w:r>
      <w:r>
        <w:t xml:space="preserve"> </w:t>
      </w:r>
      <w:r>
        <w:rPr>
          <w:rStyle w:val="VerbatimChar"/>
          <w:bCs/>
          <w:b/>
        </w:rPr>
        <w:t xml:space="preserve">Phonetic Gloss</w:t>
      </w:r>
      <w:r>
        <w:t xml:space="preserve"> </w:t>
      </w:r>
      <w:r>
        <w:t xml:space="preserve">includes multiple</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Sino-Japanese readings in kana (仮名字音,</w:t>
      </w:r>
      <w:r>
        <w:t xml:space="preserve"> </w:t>
      </w:r>
      <w:r>
        <w:rPr>
          <w:iCs/>
          <w:i/>
        </w:rPr>
        <w:t xml:space="preserve">kana jion</w:t>
      </w:r>
      <w:r>
        <w:t xml:space="preserve">), and nasal sound symbols.</w:t>
      </w:r>
      <w:r>
        <w:t xml:space="preserve"> </w:t>
      </w:r>
      <w:r>
        <w:rPr>
          <w:iCs/>
          <w:i/>
        </w:rPr>
        <w:t xml:space="preserve">(In the provided transcription format, details such as the distinction between circle and star types of</w:t>
      </w:r>
      <w:r>
        <w:rPr>
          <w:iCs/>
          <w:i/>
        </w:rPr>
        <w:t xml:space="preserve"> </w:t>
      </w:r>
      <w:r>
        <w:rPr>
          <w:rStyle w:val="VerbatimChar"/>
          <w:bCs/>
          <w:b/>
          <w:iCs/>
          <w:i/>
        </w:rPr>
        <w:t xml:space="preserve">Tone marks</w:t>
      </w:r>
      <w:r>
        <w:rPr>
          <w:bCs/>
          <w:b/>
          <w:iCs/>
          <w:i/>
        </w:rPr>
        <w:t xml:space="preserve"> </w:t>
      </w:r>
      <w:r>
        <w:rPr>
          <w:bCs/>
          <w:b/>
          <w:iCs/>
          <w:i/>
        </w:rPr>
        <w:t xml:space="preserve">(</w:t>
      </w:r>
      <w:r>
        <w:rPr>
          <w:iCs/>
          <w:i/>
          <w:bCs/>
          <w:b/>
          <w:iCs/>
          <w:i/>
        </w:rPr>
        <w:t xml:space="preserve">shōten</w:t>
      </w:r>
      <w:r>
        <w:rPr>
          <w:bCs/>
          <w:b/>
          <w:iCs/>
          <w:i/>
        </w:rPr>
        <w:t xml:space="preserve">)</w:t>
      </w:r>
      <w:r>
        <w:rPr>
          <w:iCs/>
          <w:i/>
        </w:rPr>
        <w:t xml:space="preserve">, or the use of red versus black ink to differentiate</w:t>
      </w:r>
      <w:r>
        <w:rPr>
          <w:iCs/>
          <w:i/>
        </w:rPr>
        <w:t xml:space="preserve"> </w:t>
      </w:r>
      <w:r>
        <w:rPr>
          <w:rStyle w:val="VerbatimChar"/>
          <w:bCs/>
          <w:b/>
          <w:iCs/>
          <w:i/>
        </w:rPr>
        <w:t xml:space="preserve">Tone marks</w:t>
      </w:r>
      <w:r>
        <w:rPr>
          <w:bCs/>
          <w:b/>
          <w:iCs/>
          <w:i/>
        </w:rPr>
        <w:t xml:space="preserve"> </w:t>
      </w:r>
      <w:r>
        <w:rPr>
          <w:bCs/>
          <w:b/>
          <w:iCs/>
          <w:i/>
        </w:rPr>
        <w:t xml:space="preserve">(</w:t>
      </w:r>
      <w:r>
        <w:rPr>
          <w:iCs/>
          <w:i/>
          <w:bCs/>
          <w:b/>
          <w:iCs/>
          <w:i/>
        </w:rPr>
        <w:t xml:space="preserve">shōten</w:t>
      </w:r>
      <w:r>
        <w:rPr>
          <w:bCs/>
          <w:b/>
          <w:iCs/>
          <w:i/>
        </w:rPr>
        <w:t xml:space="preserve">)</w:t>
      </w:r>
      <w:r>
        <w:rPr>
          <w:iCs/>
          <w:i/>
        </w:rPr>
        <w:t xml:space="preserve"> </w:t>
      </w:r>
      <w:r>
        <w:rPr>
          <w:iCs/>
          <w:i/>
        </w:rPr>
        <w:t xml:space="preserve">from Sino-Japanese readings in kana, are not represented.)</w:t>
      </w:r>
      <w:r>
        <w:t xml:space="preserve"> </w:t>
      </w:r>
      <w:r>
        <w:t xml:space="preserve">The</w:t>
      </w:r>
      <w:r>
        <w:t xml:space="preserve"> </w:t>
      </w:r>
      <w:r>
        <w:rPr>
          <w:rStyle w:val="VerbatimChar"/>
          <w:bCs/>
          <w:b/>
        </w:rPr>
        <w:t xml:space="preserve">Semantic Gloss in Chinese</w:t>
      </w:r>
      <w:r>
        <w:t xml:space="preserve"> </w:t>
      </w:r>
      <w:r>
        <w:t xml:space="preserve">‘</w:t>
      </w:r>
      <w:r>
        <w:t xml:space="preserve">續也</w:t>
      </w:r>
      <w:r>
        <w:t xml:space="preserve">’</w:t>
      </w:r>
      <w:r>
        <w:t xml:space="preserve"> </w:t>
      </w:r>
      <w:r>
        <w:t xml:space="preserve">is a scribal error for</w:t>
      </w:r>
      <w:r>
        <w:t xml:space="preserve"> </w:t>
      </w:r>
      <w:r>
        <w:t xml:space="preserve">‘</w:t>
      </w:r>
      <w:r>
        <w:t xml:space="preserve">績也</w:t>
      </w:r>
      <w:r>
        <w:t xml:space="preserve">’</w:t>
      </w:r>
      <w:r>
        <w:t xml:space="preserve">.</w:t>
      </w:r>
      <w:r>
        <w:t xml:space="preserve"> </w:t>
      </w:r>
      <w:r>
        <w:t xml:space="preserve">The</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w:t>
      </w:r>
      <w:r>
        <w:t xml:space="preserve">タシカニ</w:t>
      </w:r>
      <w:r>
        <w:t xml:space="preserve">’</w:t>
      </w:r>
      <w:r>
        <w:t xml:space="preserve"> </w:t>
      </w:r>
      <w:r>
        <w:t xml:space="preserve">(</w:t>
      </w:r>
      <w:r>
        <w:rPr>
          <w:iCs/>
          <w:i/>
        </w:rPr>
        <w:t xml:space="preserve">tashikani</w:t>
      </w:r>
      <w:r>
        <w:t xml:space="preserve">) is questionable as it does not correspond to the semantic meaning of the</w:t>
      </w:r>
      <w:r>
        <w:t xml:space="preserve"> </w:t>
      </w:r>
      <w:r>
        <w:rPr>
          <w:rStyle w:val="VerbatimChar"/>
          <w:bCs/>
          <w:b/>
        </w:rPr>
        <w:t xml:space="preserve">Headword</w:t>
      </w:r>
      <w:r>
        <w:t xml:space="preserve"> </w:t>
      </w:r>
      <w:r>
        <w:t xml:space="preserve">‘</w:t>
      </w:r>
      <w:r>
        <w:t xml:space="preserve">功</w:t>
      </w:r>
      <w:r>
        <w:t xml:space="preserve">’</w:t>
      </w:r>
      <w:r>
        <w:t xml:space="preserve">.</w:t>
      </w:r>
      <w:r>
        <w:t xml:space="preserve"> </w:t>
      </w:r>
      <w:r>
        <w:t xml:space="preserve">Immediately following this</w:t>
      </w:r>
      <w:r>
        <w:t xml:space="preserve"> </w:t>
      </w:r>
      <w:r>
        <w:rPr>
          <w:iCs/>
          <w:i/>
        </w:rPr>
        <w:t xml:space="preserve">wakun</w:t>
      </w:r>
      <w:r>
        <w:t xml:space="preserve">, there is a note</w:t>
      </w:r>
      <w:r>
        <w:t xml:space="preserve"> </w:t>
      </w:r>
      <w:r>
        <w:t xml:space="preserve">‘</w:t>
      </w:r>
      <w:r>
        <w:t xml:space="preserve">𭃄歟</w:t>
      </w:r>
      <w:r>
        <w:t xml:space="preserve">’</w:t>
      </w:r>
      <w:r>
        <w:t xml:space="preserve"> </w:t>
      </w:r>
      <w:r>
        <w:t xml:space="preserve">(</w:t>
      </w:r>
      <w:r>
        <w:rPr>
          <w:iCs/>
          <w:i/>
        </w:rPr>
        <w:t xml:space="preserve">setsu ka</w:t>
      </w:r>
      <w:r>
        <w:t xml:space="preserve">;</w:t>
      </w:r>
      <w:r>
        <w:t xml:space="preserve"> </w:t>
      </w:r>
      <w:r>
        <w:t xml:space="preserve">“</w:t>
      </w:r>
      <w:r>
        <w:t xml:space="preserve">perhaps 𭃄?</w:t>
      </w:r>
      <w:r>
        <w:t xml:space="preserve">”</w:t>
      </w:r>
      <w:r>
        <w:t xml:space="preserve">), and indeed, the character</w:t>
      </w:r>
      <w:r>
        <w:t xml:space="preserve"> </w:t>
      </w:r>
      <w:r>
        <w:t xml:space="preserve">‘</w:t>
      </w:r>
      <w:r>
        <w:t xml:space="preserve">切</w:t>
      </w:r>
      <w:r>
        <w:t xml:space="preserve">’</w:t>
      </w:r>
      <w:r>
        <w:t xml:space="preserve"> </w:t>
      </w:r>
      <w:r>
        <w:t xml:space="preserve">has the</w:t>
      </w:r>
      <w:r>
        <w:t xml:space="preserve"> </w:t>
      </w:r>
      <w:r>
        <w:rPr>
          <w:iCs/>
          <w:i/>
        </w:rPr>
        <w:t xml:space="preserve">wakun</w:t>
      </w:r>
      <w:r>
        <w:t xml:space="preserve"> </w:t>
      </w:r>
      <w:r>
        <w:t xml:space="preserve">‘</w:t>
      </w:r>
      <w:r>
        <w:t xml:space="preserve">タシカニ</w:t>
      </w:r>
      <w:r>
        <w:t xml:space="preserve">’</w:t>
      </w:r>
      <w:r>
        <w:t xml:space="preserve"> </w:t>
      </w:r>
      <w:r>
        <w:t xml:space="preserve">(</w:t>
      </w:r>
      <w:r>
        <w:rPr>
          <w:iCs/>
          <w:i/>
        </w:rPr>
        <w:t xml:space="preserve">tashikani</w:t>
      </w:r>
      <w:r>
        <w:t xml:space="preserve">).</w:t>
      </w:r>
      <w:r>
        <w:t xml:space="preserve"> </w:t>
      </w:r>
      <w:r>
        <w:t xml:space="preserve">The character</w:t>
      </w:r>
      <w:r>
        <w:t xml:space="preserve"> </w:t>
      </w:r>
      <w:r>
        <w:t xml:space="preserve">‘</w:t>
      </w:r>
      <w:r>
        <w:t xml:space="preserve">功</w:t>
      </w:r>
      <w:r>
        <w:t xml:space="preserve">’</w:t>
      </w:r>
      <w:r>
        <w:t xml:space="preserve"> </w:t>
      </w:r>
      <w:r>
        <w:t xml:space="preserve">has a</w:t>
      </w:r>
      <w:r>
        <w:t xml:space="preserve"> </w:t>
      </w:r>
      <w:r>
        <w:rPr>
          <w:rStyle w:val="VerbatimChar"/>
          <w:bCs/>
          <w:b/>
        </w:rPr>
        <w:t xml:space="preserve">variant character</w:t>
      </w:r>
      <w:r>
        <w:rPr>
          <w:bCs/>
          <w:b/>
        </w:rPr>
        <w:t xml:space="preserve"> </w:t>
      </w:r>
      <w:r>
        <w:rPr>
          <w:bCs/>
          <w:b/>
        </w:rPr>
        <w:t xml:space="preserve">(</w:t>
      </w:r>
      <w:r>
        <w:rPr>
          <w:iCs/>
          <w:i/>
          <w:bCs/>
          <w:b/>
        </w:rPr>
        <w:t xml:space="preserve">itaiji</w:t>
      </w:r>
      <w:r>
        <w:rPr>
          <w:bCs/>
          <w:b/>
        </w:rPr>
        <w:t xml:space="preserve">)</w:t>
      </w:r>
      <w:r>
        <w:t xml:space="preserve"> </w:t>
      </w:r>
      <w:r>
        <w:t xml:space="preserve">‘</w:t>
      </w:r>
      <w:r>
        <w:t xml:space="preserve">㓛</w:t>
      </w:r>
      <w:r>
        <w:t xml:space="preserve">’</w:t>
      </w:r>
      <w:r>
        <w:t xml:space="preserve">, which is graphically similar to</w:t>
      </w:r>
      <w:r>
        <w:t xml:space="preserve"> </w:t>
      </w:r>
      <w:r>
        <w:t xml:space="preserve">‘</w:t>
      </w:r>
      <w:r>
        <w:t xml:space="preserve">切</w:t>
      </w:r>
      <w:r>
        <w:t xml:space="preserve">’</w:t>
      </w:r>
      <w:r>
        <w:t xml:space="preserve"> </w:t>
      </w:r>
      <w:r>
        <w:t xml:space="preserve">and its</w:t>
      </w:r>
      <w:r>
        <w:t xml:space="preserve"> </w:t>
      </w:r>
      <w:r>
        <w:rPr>
          <w:rStyle w:val="VerbatimChar"/>
          <w:bCs/>
          <w:b/>
        </w:rPr>
        <w:t xml:space="preserve">variant character</w:t>
      </w:r>
      <w:r>
        <w:rPr>
          <w:bCs/>
          <w:b/>
        </w:rPr>
        <w:t xml:space="preserve"> </w:t>
      </w:r>
      <w:r>
        <w:rPr>
          <w:bCs/>
          <w:b/>
        </w:rPr>
        <w:t xml:space="preserve">(</w:t>
      </w:r>
      <w:r>
        <w:rPr>
          <w:iCs/>
          <w:i/>
          <w:bCs/>
          <w:b/>
        </w:rPr>
        <w:t xml:space="preserve">itaiji</w:t>
      </w:r>
      <w:r>
        <w:rPr>
          <w:bCs/>
          <w:b/>
        </w:rPr>
        <w:t xml:space="preserve">)</w:t>
      </w:r>
      <w:r>
        <w:t xml:space="preserve"> </w:t>
      </w:r>
      <w:r>
        <w:t xml:space="preserve">‘</w:t>
      </w:r>
      <w:r>
        <w:t xml:space="preserve">𭃄</w:t>
      </w:r>
      <w:r>
        <w:t xml:space="preserve">’</w:t>
      </w:r>
      <w:r>
        <w:t xml:space="preserve">.</w:t>
      </w:r>
      <w:r>
        <w:t xml:space="preserve"> </w:t>
      </w:r>
      <w:r>
        <w:t xml:space="preserve">‘</w:t>
      </w:r>
      <w:r>
        <w:t xml:space="preserve">切</w:t>
      </w:r>
      <w:r>
        <w:t xml:space="preserve">’</w:t>
      </w:r>
      <w:r>
        <w:t xml:space="preserve"> </w:t>
      </w:r>
      <w:r>
        <w:t xml:space="preserve">is a</w:t>
      </w:r>
      <w:r>
        <w:t xml:space="preserve"> </w:t>
      </w:r>
      <w:r>
        <w:rPr>
          <w:rStyle w:val="VerbatimChar"/>
          <w:bCs/>
          <w:b/>
        </w:rPr>
        <w:t xml:space="preserve">graphically similar character</w:t>
      </w:r>
      <w:r>
        <w:t xml:space="preserve"> </w:t>
      </w:r>
      <w:r>
        <w:t xml:space="preserve">to the</w:t>
      </w:r>
      <w:r>
        <w:t xml:space="preserve"> </w:t>
      </w:r>
      <w:r>
        <w:rPr>
          <w:rStyle w:val="VerbatimChar"/>
          <w:bCs/>
          <w:b/>
        </w:rPr>
        <w:t xml:space="preserve">Headword</w:t>
      </w:r>
      <w:r>
        <w:t xml:space="preserve"> </w:t>
      </w:r>
      <w:r>
        <w:t xml:space="preserve">‘</w:t>
      </w:r>
      <w:r>
        <w:t xml:space="preserve">功</w:t>
      </w:r>
      <w:r>
        <w:t xml:space="preserve">’</w:t>
      </w:r>
      <w:r>
        <w:t xml:space="preserve">, and this particular</w:t>
      </w:r>
      <w:r>
        <w:t xml:space="preserve"> </w:t>
      </w:r>
      <w:r>
        <w:rPr>
          <w:iCs/>
          <w:i/>
        </w:rPr>
        <w:t xml:space="preserve">wakun</w:t>
      </w:r>
      <w:r>
        <w:t xml:space="preserve"> </w:t>
      </w:r>
      <w:r>
        <w:t xml:space="preserve">is thought to have resulted from confusion between these two graphically similar characters.</w:t>
      </w:r>
      <w:r>
        <w:t xml:space="preserve"> </w:t>
      </w:r>
      <w:r>
        <w:t xml:space="preserve">However, instead of altering the content of the</w:t>
      </w:r>
      <w:r>
        <w:t xml:space="preserve"> </w:t>
      </w:r>
      <w:r>
        <w:rPr>
          <w:rStyle w:val="VerbatimChar"/>
          <w:bCs/>
          <w:b/>
        </w:rPr>
        <w:t xml:space="preserve">Original Glosses</w:t>
      </w:r>
      <w:r>
        <w:t xml:space="preserve">, the note</w:t>
      </w:r>
      <w:r>
        <w:t xml:space="preserve"> </w:t>
      </w:r>
      <w:r>
        <w:t xml:space="preserve">‘</w:t>
      </w:r>
      <w:r>
        <w:t xml:space="preserve">𭃄歟</w:t>
      </w:r>
      <w:r>
        <w:t xml:space="preserve">’</w:t>
      </w:r>
      <w:r>
        <w:t xml:space="preserve"> </w:t>
      </w:r>
      <w:r>
        <w:t xml:space="preserve">(</w:t>
      </w:r>
      <w:r>
        <w:t xml:space="preserve">“</w:t>
      </w:r>
      <w:r>
        <w:t xml:space="preserve">perhaps 𭃄?</w:t>
      </w:r>
      <w:r>
        <w:t xml:space="preserve">”</w:t>
      </w:r>
      <w:r>
        <w:t xml:space="preserve">) was added by the compiler or scribe.</w:t>
      </w:r>
      <w:r>
        <w:t xml:space="preserve"> </w:t>
      </w:r>
      <w:r>
        <w:t xml:space="preserve">Such notes appended with</w:t>
      </w:r>
      <w:r>
        <w:t xml:space="preserve"> </w:t>
      </w:r>
      <w:r>
        <w:t xml:space="preserve">‘</w:t>
      </w:r>
      <w:r>
        <w:t xml:space="preserve">歟</w:t>
      </w:r>
      <w:r>
        <w:t xml:space="preserve">’</w:t>
      </w:r>
      <w:r>
        <w:t xml:space="preserve"> </w:t>
      </w:r>
      <w:r>
        <w:t xml:space="preserve">(</w:t>
      </w:r>
      <w:r>
        <w:rPr>
          <w:iCs/>
          <w:i/>
        </w:rPr>
        <w:t xml:space="preserve">ka</w:t>
      </w:r>
      <w:r>
        <w:t xml:space="preserve">), like</w:t>
      </w:r>
      <w:r>
        <w:t xml:space="preserve"> </w:t>
      </w:r>
      <w:r>
        <w:t xml:space="preserve">‘</w:t>
      </w:r>
      <w:r>
        <w:t xml:space="preserve">𭃄歟</w:t>
      </w:r>
      <w:r>
        <w:t xml:space="preserve">’</w:t>
      </w:r>
      <w:r>
        <w:t xml:space="preserve">, are treated as</w:t>
      </w:r>
      <w:r>
        <w:t xml:space="preserve"> </w:t>
      </w:r>
      <w:r>
        <w:t xml:space="preserve">‘</w:t>
      </w:r>
      <w:r>
        <w:t xml:space="preserve">editorial notes</w:t>
      </w:r>
      <w:r>
        <w:t xml:space="preserve">’</w:t>
      </w:r>
      <w:r>
        <w:t xml:space="preserve"> </w:t>
      </w:r>
      <w:r>
        <w:t xml:space="preserve">(</w:t>
      </w:r>
      <w:r>
        <w:rPr>
          <w:iCs/>
          <w:i/>
        </w:rPr>
        <w:t xml:space="preserve">ango</w:t>
      </w:r>
      <w:r>
        <w:t xml:space="preserve">, 案語) by the original compiler or a later scribe of the</w:t>
      </w:r>
      <w:r>
        <w:t xml:space="preserve"> </w:t>
      </w:r>
      <w:r>
        <w:rPr>
          <w:iCs/>
          <w:i/>
        </w:rPr>
        <w:t xml:space="preserve">Myōgishō</w:t>
      </w:r>
      <w:r>
        <w:t xml:space="preserve">.</w:t>
      </w:r>
    </w:p>
    <w:p>
      <w:pPr>
        <w:pStyle w:val="BodyText"/>
      </w:pPr>
      <w:r>
        <w:t xml:space="preserve">Entry 2,</w:t>
      </w:r>
      <w:r>
        <w:t xml:space="preserve"> </w:t>
      </w:r>
      <w:r>
        <w:t xml:space="preserve">‘</w:t>
      </w:r>
      <w:r>
        <w:rPr>
          <w:rStyle w:val="VerbatimChar"/>
          <w:bCs/>
          <w:b/>
        </w:rPr>
        <w:t xml:space="preserve">Headword</w:t>
      </w:r>
      <w:r>
        <w:t xml:space="preserve">’</w:t>
      </w:r>
      <w:r>
        <w:t xml:space="preserve"> </w:t>
      </w:r>
      <w:r>
        <w:t xml:space="preserve">‘</w:t>
      </w:r>
      <w:r>
        <w:t xml:space="preserve">助</w:t>
      </w:r>
      <w:r>
        <w:t xml:space="preserve">’</w:t>
      </w:r>
      <w:r>
        <w:t xml:space="preserve"> </w:t>
      </w:r>
      <w:r>
        <w:t xml:space="preserve">(whose original form is ⿰目力 in this</w:t>
      </w:r>
      <w:r>
        <w:t xml:space="preserve"> </w:t>
      </w:r>
      <w:r>
        <w:rPr>
          <w:rStyle w:val="VerbatimChar"/>
          <w:bCs/>
          <w:b/>
        </w:rPr>
        <w:t xml:space="preserve">Entry</w:t>
      </w:r>
      <w:r>
        <w:t xml:space="preserve">), is in</w:t>
      </w:r>
      <w:r>
        <w:t xml:space="preserve"> </w:t>
      </w:r>
      <w:r>
        <w:rPr>
          <w:rStyle w:val="VerbatimChar"/>
          <w:bCs/>
          <w:b/>
        </w:rPr>
        <w:t xml:space="preserve">Single Character Form</w:t>
      </w:r>
      <w:r>
        <w:t xml:space="preserve"> </w:t>
      </w:r>
      <w:r>
        <w:t xml:space="preserve">and provides a</w:t>
      </w:r>
      <w:r>
        <w:t xml:space="preserve"> </w:t>
      </w:r>
      <w:r>
        <w:rPr>
          <w:rStyle w:val="VerbatimChar"/>
          <w:bCs/>
          <w:b/>
        </w:rPr>
        <w:t xml:space="preserve">Phonetic Gloss</w:t>
      </w:r>
      <w:r>
        <w:t xml:space="preserve"> </w:t>
      </w:r>
      <w:r>
        <w:t xml:space="preserve">and</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w:t>
      </w:r>
      <w:r>
        <w:t xml:space="preserve"> </w:t>
      </w:r>
      <w:r>
        <w:t xml:space="preserve">The subsequent Entry 3,</w:t>
      </w:r>
      <w:r>
        <w:t xml:space="preserve"> </w:t>
      </w:r>
      <w:r>
        <w:t xml:space="preserve">‘</w:t>
      </w:r>
      <w:r>
        <w:rPr>
          <w:rStyle w:val="VerbatimChar"/>
          <w:bCs/>
          <w:b/>
        </w:rPr>
        <w:t xml:space="preserve">Headword</w:t>
      </w:r>
      <w:r>
        <w:t xml:space="preserve">’</w:t>
      </w:r>
      <w:r>
        <w:t xml:space="preserve"> </w:t>
      </w:r>
      <w:r>
        <w:t xml:space="preserve">‘</w:t>
      </w:r>
      <w:r>
        <w:t xml:space="preserve">𦔳／助</w:t>
      </w:r>
      <w:r>
        <w:t xml:space="preserve">’</w:t>
      </w:r>
      <w:r>
        <w:t xml:space="preserve">, is in</w:t>
      </w:r>
      <w:r>
        <w:t xml:space="preserve"> </w:t>
      </w:r>
      <w:r>
        <w:rPr>
          <w:rStyle w:val="VerbatimChar"/>
          <w:bCs/>
          <w:b/>
        </w:rPr>
        <w:t xml:space="preserve">Multi-Character Form</w:t>
      </w:r>
      <w:r>
        <w:t xml:space="preserve"> </w:t>
      </w:r>
      <w:r>
        <w:t xml:space="preserve">and indicates</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through a</w:t>
      </w:r>
      <w:r>
        <w:t xml:space="preserve"> </w:t>
      </w:r>
      <w:r>
        <w:rPr>
          <w:rStyle w:val="VerbatimChar"/>
          <w:bCs/>
          <w:b/>
        </w:rPr>
        <w:t xml:space="preserve">Note on Character Form</w:t>
      </w:r>
      <w:r>
        <w:t xml:space="preserve"> </w:t>
      </w:r>
      <w:r>
        <w:t xml:space="preserve">(</w:t>
      </w:r>
      <w:r>
        <w:t xml:space="preserve">“</w:t>
      </w:r>
      <w:r>
        <w:t xml:space="preserve">今正</w:t>
      </w:r>
      <w:r>
        <w:t xml:space="preserve">”</w:t>
      </w:r>
      <w:r>
        <w:t xml:space="preserve">).</w:t>
      </w:r>
      <w:r>
        <w:t xml:space="preserve"> </w:t>
      </w:r>
      <w:r>
        <w:t xml:space="preserve">The</w:t>
      </w:r>
      <w:r>
        <w:t xml:space="preserve"> </w:t>
      </w:r>
      <w:r>
        <w:t xml:space="preserve">‘</w:t>
      </w:r>
      <w:r>
        <w:t xml:space="preserve">／</w:t>
      </w:r>
      <w:r>
        <w:t xml:space="preserve">’</w:t>
      </w:r>
      <w:r>
        <w:t xml:space="preserve"> </w:t>
      </w:r>
      <w:r>
        <w:t xml:space="preserve">(full-width slash) is a separator used for</w:t>
      </w:r>
      <w:r>
        <w:t xml:space="preserve"> </w:t>
      </w:r>
      <w:r>
        <w:rPr>
          <w:rStyle w:val="VerbatimChar"/>
          <w:bCs/>
          <w:b/>
        </w:rPr>
        <w:t xml:space="preserve">Multi-Character Form</w:t>
      </w:r>
      <w:r>
        <w:t xml:space="preserve"> </w:t>
      </w:r>
      <w:r>
        <w:rPr>
          <w:rStyle w:val="VerbatimChar"/>
          <w:bCs/>
          <w:b/>
        </w:rPr>
        <w:t xml:space="preserve">Headwords</w:t>
      </w:r>
      <w:r>
        <w:t xml:space="preserve">. The number of characters in such a</w:t>
      </w:r>
      <w:r>
        <w:t xml:space="preserve"> </w:t>
      </w:r>
      <w:r>
        <w:rPr>
          <w:rStyle w:val="VerbatimChar"/>
          <w:bCs/>
          <w:b/>
        </w:rPr>
        <w:t xml:space="preserve">Headword</w:t>
      </w:r>
      <w:r>
        <w:t xml:space="preserve"> </w:t>
      </w:r>
      <w:r>
        <w:t xml:space="preserve">can be determined from the number of segments separated by these slashes (e.g., one slash indicates two characters).</w:t>
      </w:r>
    </w:p>
    <w:p>
      <w:pPr>
        <w:pStyle w:val="BodyText"/>
      </w:pPr>
      <w:r>
        <w:t xml:space="preserve">Entry 4,</w:t>
      </w:r>
      <w:r>
        <w:t xml:space="preserve"> </w:t>
      </w:r>
      <w:r>
        <w:t xml:space="preserve">‘</w:t>
      </w:r>
      <w:r>
        <w:rPr>
          <w:rStyle w:val="VerbatimChar"/>
          <w:bCs/>
          <w:b/>
        </w:rPr>
        <w:t xml:space="preserve">Headword</w:t>
      </w:r>
      <w:r>
        <w:t xml:space="preserve">’</w:t>
      </w:r>
      <w:r>
        <w:t xml:space="preserve"> </w:t>
      </w:r>
      <w:r>
        <w:t xml:space="preserve">‘</w:t>
      </w:r>
      <w:r>
        <w:t xml:space="preserve">加／復</w:t>
      </w:r>
      <w:r>
        <w:t xml:space="preserve">’</w:t>
      </w:r>
      <w:r>
        <w:t xml:space="preserve">, presents a</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for a compound term. Entry 5,</w:t>
      </w:r>
      <w:r>
        <w:t xml:space="preserve"> </w:t>
      </w:r>
      <w:r>
        <w:t xml:space="preserve">‘</w:t>
      </w:r>
      <w:r>
        <w:rPr>
          <w:rStyle w:val="VerbatimChar"/>
          <w:bCs/>
          <w:b/>
        </w:rPr>
        <w:t xml:space="preserve">Headword</w:t>
      </w:r>
      <w:r>
        <w:t xml:space="preserve">’</w:t>
      </w:r>
      <w:r>
        <w:t xml:space="preserve"> </w:t>
      </w:r>
      <w:r>
        <w:t xml:space="preserve">‘</w:t>
      </w:r>
      <w:r>
        <w:t xml:space="preserve">ー（加）／之</w:t>
      </w:r>
      <w:r>
        <w:t xml:space="preserve">’</w:t>
      </w:r>
      <w:r>
        <w:t xml:space="preserve">, indicates that it shares the same</w:t>
      </w:r>
      <w:r>
        <w:t xml:space="preserve"> </w:t>
      </w:r>
      <w:r>
        <w:rPr>
          <w:iCs/>
          <w:i/>
        </w:rPr>
        <w:t xml:space="preserve">wakun</w:t>
      </w:r>
      <w:r>
        <w:t xml:space="preserve"> </w:t>
      </w:r>
      <w:r>
        <w:t xml:space="preserve">(</w:t>
      </w:r>
      <w:r>
        <w:t xml:space="preserve">‘</w:t>
      </w:r>
      <w:r>
        <w:t xml:space="preserve">同</w:t>
      </w:r>
      <w:r>
        <w:t xml:space="preserve">’</w:t>
      </w:r>
      <w:r>
        <w:t xml:space="preserve">).</w:t>
      </w:r>
      <w:r>
        <w:t xml:space="preserve"> </w:t>
      </w:r>
      <w:r>
        <w:t xml:space="preserve">The</w:t>
      </w:r>
      <w:r>
        <w:t xml:space="preserve"> </w:t>
      </w:r>
      <w:r>
        <w:t xml:space="preserve">‘</w:t>
      </w:r>
      <w:r>
        <w:t xml:space="preserve">ー</w:t>
      </w:r>
      <w:r>
        <w:t xml:space="preserve">’</w:t>
      </w:r>
      <w:r>
        <w:t xml:space="preserve"> </w:t>
      </w:r>
      <w:r>
        <w:t xml:space="preserve">in</w:t>
      </w:r>
      <w:r>
        <w:t xml:space="preserve"> </w:t>
      </w:r>
      <w:r>
        <w:t xml:space="preserve">‘</w:t>
      </w:r>
      <w:r>
        <w:t xml:space="preserve">ー（加）／之</w:t>
      </w:r>
      <w:r>
        <w:t xml:space="preserve">’</w:t>
      </w:r>
      <w:r>
        <w:t xml:space="preserve"> </w:t>
      </w:r>
      <w:r>
        <w:t xml:space="preserve">is a symbol used to concisely represent</w:t>
      </w:r>
      <w:r>
        <w:t xml:space="preserve"> </w:t>
      </w:r>
      <w:r>
        <w:t xml:space="preserve">‘</w:t>
      </w:r>
      <w:r>
        <w:t xml:space="preserve">加</w:t>
      </w:r>
      <w:r>
        <w:t xml:space="preserve">’</w:t>
      </w:r>
      <w:r>
        <w:t xml:space="preserve">, the first character of the</w:t>
      </w:r>
      <w:r>
        <w:t xml:space="preserve"> </w:t>
      </w:r>
      <w:r>
        <w:rPr>
          <w:rStyle w:val="VerbatimChar"/>
          <w:bCs/>
          <w:b/>
        </w:rPr>
        <w:t xml:space="preserve">Headword</w:t>
      </w:r>
      <w:r>
        <w:t xml:space="preserve"> </w:t>
      </w:r>
      <w:r>
        <w:t xml:space="preserve">in the preceding</w:t>
      </w:r>
      <w:r>
        <w:t xml:space="preserve"> </w:t>
      </w:r>
      <w:r>
        <w:rPr>
          <w:rStyle w:val="VerbatimChar"/>
          <w:bCs/>
          <w:b/>
        </w:rPr>
        <w:t xml:space="preserve">Entry</w:t>
      </w:r>
      <w:r>
        <w:t xml:space="preserve"> </w:t>
      </w:r>
      <w:r>
        <w:t xml:space="preserve">(Entry 4,</w:t>
      </w:r>
      <w:r>
        <w:t xml:space="preserve"> </w:t>
      </w:r>
      <w:r>
        <w:t xml:space="preserve">‘</w:t>
      </w:r>
      <w:r>
        <w:t xml:space="preserve">加／復</w:t>
      </w:r>
      <w:r>
        <w:t xml:space="preserve">’</w:t>
      </w:r>
      <w:r>
        <w:t xml:space="preserve">).</w:t>
      </w:r>
    </w:p>
    <w:p>
      <w:pPr>
        <w:pStyle w:val="BodyText"/>
      </w:pPr>
      <w:r>
        <w:t xml:space="preserve">The same content is shown below in JSON format.</w:t>
      </w:r>
      <w:r>
        <w:t xml:space="preserve"> </w:t>
      </w:r>
      <w:r>
        <w:t xml:space="preserve">While this format enhances readability, it also increases the data volume, so loading the file may take some time even when using a high-performance editor like VS Code.</w:t>
      </w:r>
    </w:p>
    <w:p>
      <w:pPr>
        <w:pStyle w:val="SourceCode"/>
      </w:pPr>
      <w:r>
        <w:rPr>
          <w:rStyle w:val="VerbatimChar"/>
        </w:rPr>
        <w:t xml:space="preserve">[</w:t>
      </w:r>
      <w:r>
        <w:br/>
      </w:r>
      <w:r>
        <w:rPr>
          <w:rStyle w:val="VerbatimChar"/>
        </w:rPr>
        <w:t xml:space="preserve">    {</w:t>
      </w:r>
      <w:r>
        <w:br/>
      </w:r>
      <w:r>
        <w:rPr>
          <w:rStyle w:val="VerbatimChar"/>
        </w:rPr>
        <w:t xml:space="preserve">        "entry_id": "F25133",</w:t>
      </w:r>
      <w:r>
        <w:br/>
      </w:r>
      <w:r>
        <w:rPr>
          <w:rStyle w:val="VerbatimChar"/>
        </w:rPr>
        <w:t xml:space="preserve">        "hanzi_id": "S31605",</w:t>
      </w:r>
      <w:r>
        <w:br/>
      </w:r>
      <w:r>
        <w:rPr>
          <w:rStyle w:val="VerbatimChar"/>
        </w:rPr>
        <w:t xml:space="preserve">        "kazama_location": "K08084810",</w:t>
      </w:r>
      <w:r>
        <w:br/>
      </w:r>
      <w:r>
        <w:rPr>
          <w:rStyle w:val="VerbatimChar"/>
        </w:rPr>
        <w:t xml:space="preserve">        "tenri_location": "Tc090810",</w:t>
      </w:r>
      <w:r>
        <w:br/>
      </w:r>
      <w:r>
        <w:rPr>
          <w:rStyle w:val="VerbatimChar"/>
        </w:rPr>
        <w:t xml:space="preserve">        "volume_name": "僧上",</w:t>
      </w:r>
      <w:r>
        <w:br/>
      </w:r>
      <w:r>
        <w:rPr>
          <w:rStyle w:val="VerbatimChar"/>
        </w:rPr>
        <w:t xml:space="preserve">        "radical_name": "力",</w:t>
      </w:r>
      <w:r>
        <w:br/>
      </w:r>
      <w:r>
        <w:rPr>
          <w:rStyle w:val="VerbatimChar"/>
        </w:rPr>
        <w:t xml:space="preserve">        "volume_radical_index": "v8#83",</w:t>
      </w:r>
      <w:r>
        <w:br/>
      </w:r>
      <w:r>
        <w:rPr>
          <w:rStyle w:val="VerbatimChar"/>
        </w:rPr>
        <w:t xml:space="preserve">        "hanzi_entry": "功",</w:t>
      </w:r>
      <w:r>
        <w:br/>
      </w:r>
      <w:r>
        <w:rPr>
          <w:rStyle w:val="VerbatimChar"/>
        </w:rPr>
        <w:t xml:space="preserve">        "original_entry": "〇",</w:t>
      </w:r>
      <w:r>
        <w:br/>
      </w:r>
      <w:r>
        <w:rPr>
          <w:rStyle w:val="VerbatimChar"/>
        </w:rPr>
        <w:t xml:space="preserve">        "definition": "音工（L-R）「コウ（_N）」「クウ（_N）」　續也　事也　成也　タシカニ（LHLH）　𭃄歟"</w:t>
      </w:r>
      <w:r>
        <w:br/>
      </w:r>
      <w:r>
        <w:rPr>
          <w:rStyle w:val="VerbatimChar"/>
        </w:rPr>
        <w:t xml:space="preserve">    },</w:t>
      </w:r>
      <w:r>
        <w:br/>
      </w:r>
      <w:r>
        <w:rPr>
          <w:rStyle w:val="VerbatimChar"/>
        </w:rPr>
        <w:t xml:space="preserve">    {</w:t>
      </w:r>
      <w:r>
        <w:br/>
      </w:r>
      <w:r>
        <w:rPr>
          <w:rStyle w:val="VerbatimChar"/>
        </w:rPr>
        <w:t xml:space="preserve">        "entry_id": "F25062",</w:t>
      </w:r>
      <w:r>
        <w:br/>
      </w:r>
      <w:r>
        <w:rPr>
          <w:rStyle w:val="VerbatimChar"/>
        </w:rPr>
        <w:t xml:space="preserve">        "hanzi_id": "S31507",</w:t>
      </w:r>
      <w:r>
        <w:br/>
      </w:r>
      <w:r>
        <w:rPr>
          <w:rStyle w:val="VerbatimChar"/>
        </w:rPr>
        <w:t xml:space="preserve">        "kazama_location": "K08081810",</w:t>
      </w:r>
      <w:r>
        <w:br/>
      </w:r>
      <w:r>
        <w:rPr>
          <w:rStyle w:val="VerbatimChar"/>
        </w:rPr>
        <w:t xml:space="preserve">        "tenri_location": "Tc087810",</w:t>
      </w:r>
      <w:r>
        <w:br/>
      </w:r>
      <w:r>
        <w:rPr>
          <w:rStyle w:val="VerbatimChar"/>
        </w:rPr>
        <w:t xml:space="preserve">        "volume_name": "僧上",</w:t>
      </w:r>
      <w:r>
        <w:br/>
      </w:r>
      <w:r>
        <w:rPr>
          <w:rStyle w:val="VerbatimChar"/>
        </w:rPr>
        <w:t xml:space="preserve">        "radical_name": "力",</w:t>
      </w:r>
      <w:r>
        <w:br/>
      </w:r>
      <w:r>
        <w:rPr>
          <w:rStyle w:val="VerbatimChar"/>
        </w:rPr>
        <w:t xml:space="preserve">        "volume_radical_index": "v8#83",</w:t>
      </w:r>
      <w:r>
        <w:br/>
      </w:r>
      <w:r>
        <w:rPr>
          <w:rStyle w:val="VerbatimChar"/>
        </w:rPr>
        <w:t xml:space="preserve">        "hanzi_entry": "助",</w:t>
      </w:r>
      <w:r>
        <w:br/>
      </w:r>
      <w:r>
        <w:rPr>
          <w:rStyle w:val="VerbatimChar"/>
        </w:rPr>
        <w:t xml:space="preserve">        "original_entry": "⿰目力",</w:t>
      </w:r>
      <w:r>
        <w:br/>
      </w:r>
      <w:r>
        <w:rPr>
          <w:rStyle w:val="VerbatimChar"/>
        </w:rPr>
        <w:t xml:space="preserve">        "definition": "鉏據反　タスク（LL_）　マサル（HH_）　ハサム　和自ヨ（_L）"</w:t>
      </w:r>
      <w:r>
        <w:br/>
      </w:r>
      <w:r>
        <w:rPr>
          <w:rStyle w:val="VerbatimChar"/>
        </w:rPr>
        <w:t xml:space="preserve">    },</w:t>
      </w:r>
      <w:r>
        <w:br/>
      </w:r>
      <w:r>
        <w:rPr>
          <w:rStyle w:val="VerbatimChar"/>
        </w:rPr>
        <w:t xml:space="preserve">    {</w:t>
      </w:r>
      <w:r>
        <w:br/>
      </w:r>
      <w:r>
        <w:rPr>
          <w:rStyle w:val="VerbatimChar"/>
        </w:rPr>
        <w:t xml:space="preserve">        "entry_id": "F25063",</w:t>
      </w:r>
      <w:r>
        <w:br/>
      </w:r>
      <w:r>
        <w:rPr>
          <w:rStyle w:val="VerbatimChar"/>
        </w:rPr>
        <w:t xml:space="preserve">        "hanzi_id": "S31508",</w:t>
      </w:r>
      <w:r>
        <w:br/>
      </w:r>
      <w:r>
        <w:rPr>
          <w:rStyle w:val="VerbatimChar"/>
        </w:rPr>
        <w:t xml:space="preserve">        "kazama_location": "K08081821",</w:t>
      </w:r>
      <w:r>
        <w:br/>
      </w:r>
      <w:r>
        <w:rPr>
          <w:rStyle w:val="VerbatimChar"/>
        </w:rPr>
        <w:t xml:space="preserve">        "tenri_location": "Tc087821",</w:t>
      </w:r>
      <w:r>
        <w:br/>
      </w:r>
      <w:r>
        <w:rPr>
          <w:rStyle w:val="VerbatimChar"/>
        </w:rPr>
        <w:t xml:space="preserve">        "volume_name": "僧上",</w:t>
      </w:r>
      <w:r>
        <w:br/>
      </w:r>
      <w:r>
        <w:rPr>
          <w:rStyle w:val="VerbatimChar"/>
        </w:rPr>
        <w:t xml:space="preserve">        "radical_name": "力",</w:t>
      </w:r>
      <w:r>
        <w:br/>
      </w:r>
      <w:r>
        <w:rPr>
          <w:rStyle w:val="VerbatimChar"/>
        </w:rPr>
        <w:t xml:space="preserve">        "volume_radical_index": "v8#83",</w:t>
      </w:r>
      <w:r>
        <w:br/>
      </w:r>
      <w:r>
        <w:rPr>
          <w:rStyle w:val="VerbatimChar"/>
        </w:rPr>
        <w:t xml:space="preserve">        "hanzi_entry": "𦔳／助",</w:t>
      </w:r>
      <w:r>
        <w:br/>
      </w:r>
      <w:r>
        <w:rPr>
          <w:rStyle w:val="VerbatimChar"/>
        </w:rPr>
        <w:t xml:space="preserve">        "original_entry": "■／〇",</w:t>
      </w:r>
      <w:r>
        <w:br/>
      </w:r>
      <w:r>
        <w:rPr>
          <w:rStyle w:val="VerbatimChar"/>
        </w:rPr>
        <w:t xml:space="preserve">        "definition": "今正"</w:t>
      </w:r>
      <w:r>
        <w:br/>
      </w:r>
      <w:r>
        <w:rPr>
          <w:rStyle w:val="VerbatimChar"/>
        </w:rPr>
        <w:t xml:space="preserve">    },</w:t>
      </w:r>
      <w:r>
        <w:br/>
      </w:r>
      <w:r>
        <w:rPr>
          <w:rStyle w:val="VerbatimChar"/>
        </w:rPr>
        <w:t xml:space="preserve">    {</w:t>
      </w:r>
      <w:r>
        <w:br/>
      </w:r>
      <w:r>
        <w:rPr>
          <w:rStyle w:val="VerbatimChar"/>
        </w:rPr>
        <w:t xml:space="preserve">        "entry_id": "F25121",</w:t>
      </w:r>
      <w:r>
        <w:br/>
      </w:r>
      <w:r>
        <w:rPr>
          <w:rStyle w:val="VerbatimChar"/>
        </w:rPr>
        <w:t xml:space="preserve">        "hanzi_id": "S31590",</w:t>
      </w:r>
      <w:r>
        <w:br/>
      </w:r>
      <w:r>
        <w:rPr>
          <w:rStyle w:val="VerbatimChar"/>
        </w:rPr>
        <w:t xml:space="preserve">        "kazama_location": "K08084411",</w:t>
      </w:r>
      <w:r>
        <w:br/>
      </w:r>
      <w:r>
        <w:rPr>
          <w:rStyle w:val="VerbatimChar"/>
        </w:rPr>
        <w:t xml:space="preserve">        "tenri_location": "Tc090411",</w:t>
      </w:r>
      <w:r>
        <w:br/>
      </w:r>
      <w:r>
        <w:rPr>
          <w:rStyle w:val="VerbatimChar"/>
        </w:rPr>
        <w:t xml:space="preserve">        "volume_name": "僧上",</w:t>
      </w:r>
      <w:r>
        <w:br/>
      </w:r>
      <w:r>
        <w:rPr>
          <w:rStyle w:val="VerbatimChar"/>
        </w:rPr>
        <w:t xml:space="preserve">        "radical_name": "力",</w:t>
      </w:r>
      <w:r>
        <w:br/>
      </w:r>
      <w:r>
        <w:rPr>
          <w:rStyle w:val="VerbatimChar"/>
        </w:rPr>
        <w:t xml:space="preserve">        "volume_radical_index": "v8#83",</w:t>
      </w:r>
      <w:r>
        <w:br/>
      </w:r>
      <w:r>
        <w:rPr>
          <w:rStyle w:val="VerbatimChar"/>
        </w:rPr>
        <w:t xml:space="preserve">        "hanzi_entry": "加／復",</w:t>
      </w:r>
      <w:r>
        <w:br/>
      </w:r>
      <w:r>
        <w:rPr>
          <w:rStyle w:val="VerbatimChar"/>
        </w:rPr>
        <w:t xml:space="preserve">        "original_entry": "〇／〇",</w:t>
      </w:r>
      <w:r>
        <w:br/>
      </w:r>
      <w:r>
        <w:rPr>
          <w:rStyle w:val="VerbatimChar"/>
        </w:rPr>
        <w:t xml:space="preserve">        "definition": "シカノミナラス"</w:t>
      </w:r>
      <w:r>
        <w:br/>
      </w:r>
      <w:r>
        <w:rPr>
          <w:rStyle w:val="VerbatimChar"/>
        </w:rPr>
        <w:t xml:space="preserve">    },</w:t>
      </w:r>
      <w:r>
        <w:br/>
      </w:r>
      <w:r>
        <w:rPr>
          <w:rStyle w:val="VerbatimChar"/>
        </w:rPr>
        <w:t xml:space="preserve">    {</w:t>
      </w:r>
      <w:r>
        <w:br/>
      </w:r>
      <w:r>
        <w:rPr>
          <w:rStyle w:val="VerbatimChar"/>
        </w:rPr>
        <w:t xml:space="preserve">        "entry_id": "F25122",</w:t>
      </w:r>
      <w:r>
        <w:br/>
      </w:r>
      <w:r>
        <w:rPr>
          <w:rStyle w:val="VerbatimChar"/>
        </w:rPr>
        <w:t xml:space="preserve">        "hanzi_id": "S31592",</w:t>
      </w:r>
      <w:r>
        <w:br/>
      </w:r>
      <w:r>
        <w:rPr>
          <w:rStyle w:val="VerbatimChar"/>
        </w:rPr>
        <w:t xml:space="preserve">        "kazama_location": "K08084421",</w:t>
      </w:r>
      <w:r>
        <w:br/>
      </w:r>
      <w:r>
        <w:rPr>
          <w:rStyle w:val="VerbatimChar"/>
        </w:rPr>
        <w:t xml:space="preserve">        "tenri_location": "Tc090421",</w:t>
      </w:r>
      <w:r>
        <w:br/>
      </w:r>
      <w:r>
        <w:rPr>
          <w:rStyle w:val="VerbatimChar"/>
        </w:rPr>
        <w:t xml:space="preserve">        "volume_name": "僧上",</w:t>
      </w:r>
      <w:r>
        <w:br/>
      </w:r>
      <w:r>
        <w:rPr>
          <w:rStyle w:val="VerbatimChar"/>
        </w:rPr>
        <w:t xml:space="preserve">        "radical_name": "力",</w:t>
      </w:r>
      <w:r>
        <w:br/>
      </w:r>
      <w:r>
        <w:rPr>
          <w:rStyle w:val="VerbatimChar"/>
        </w:rPr>
        <w:t xml:space="preserve">        "volume_radical_index": "v8#83",</w:t>
      </w:r>
      <w:r>
        <w:br/>
      </w:r>
      <w:r>
        <w:rPr>
          <w:rStyle w:val="VerbatimChar"/>
        </w:rPr>
        <w:t xml:space="preserve">        "hanzi_entry": "ー（加）／之",</w:t>
      </w:r>
      <w:r>
        <w:br/>
      </w:r>
      <w:r>
        <w:rPr>
          <w:rStyle w:val="VerbatimChar"/>
        </w:rPr>
        <w:t xml:space="preserve">        "original_entry": "〇／〇",</w:t>
      </w:r>
      <w:r>
        <w:br/>
      </w:r>
      <w:r>
        <w:rPr>
          <w:rStyle w:val="VerbatimChar"/>
        </w:rPr>
        <w:t xml:space="preserve">        "definition": "同"</w:t>
      </w:r>
      <w:r>
        <w:br/>
      </w:r>
      <w:r>
        <w:rPr>
          <w:rStyle w:val="VerbatimChar"/>
        </w:rPr>
        <w:t xml:space="preserve">    },</w:t>
      </w:r>
      <w:r>
        <w:br/>
      </w:r>
      <w:r>
        <w:rPr>
          <w:rStyle w:val="VerbatimChar"/>
        </w:rPr>
        <w:t xml:space="preserve">]</w:t>
      </w:r>
    </w:p>
    <w:bookmarkEnd w:id="152"/>
    <w:bookmarkStart w:id="153" w:name="Xd50297933ce9c3c1c82769f31d5d1659381aba9"/>
    <w:p>
      <w:pPr>
        <w:pStyle w:val="Heading2"/>
      </w:pPr>
      <w:r>
        <w:rPr>
          <w:rStyle w:val="SectionNumber"/>
        </w:rPr>
        <w:t xml:space="preserve">14.2</w:t>
      </w:r>
      <w:r>
        <w:tab/>
      </w:r>
      <w:r>
        <w:t xml:space="preserve">Description of Columns (Headers) in Entry Data Files</w:t>
      </w:r>
    </w:p>
    <w:p>
      <w:pPr>
        <w:pStyle w:val="FirstParagraph"/>
      </w:pPr>
      <w:r>
        <w:t xml:space="preserve">Data for the</w:t>
      </w:r>
      <w:r>
        <w:t xml:space="preserve"> </w:t>
      </w:r>
      <w:r>
        <w:rPr>
          <w:rStyle w:val="VerbatimChar"/>
        </w:rPr>
        <w:t xml:space="preserve">Entries</w:t>
      </w:r>
      <w:r>
        <w:t xml:space="preserve"> </w:t>
      </w:r>
      <w:r>
        <w:t xml:space="preserve">of the Myōgishō is stored in</w:t>
      </w:r>
      <w:r>
        <w:t xml:space="preserve"> </w:t>
      </w:r>
      <w:r>
        <w:rPr>
          <w:rStyle w:val="VerbatimChar"/>
        </w:rPr>
        <w:t xml:space="preserve">krm_main.tsv</w:t>
      </w:r>
      <w:r>
        <w:t xml:space="preserve"> </w:t>
      </w:r>
      <w:r>
        <w:t xml:space="preserve">and</w:t>
      </w:r>
      <w:r>
        <w:t xml:space="preserve"> </w:t>
      </w:r>
      <w:r>
        <w:rPr>
          <w:rStyle w:val="VerbatimChar"/>
        </w:rPr>
        <w:t xml:space="preserve">krm_main.json</w:t>
      </w:r>
      <w:r>
        <w:t xml:space="preserve">. These files constitute the primary data.</w:t>
      </w:r>
    </w:p>
    <w:p>
      <w:pPr>
        <w:pStyle w:val="BodyText"/>
      </w:pPr>
      <w:r>
        <w:t xml:space="preserve">For details on column names and their descriptions, please refer to the</w:t>
      </w:r>
      <w:r>
        <w:t xml:space="preserve"> </w:t>
      </w:r>
      <w:hyperlink r:id="rId151">
        <w:r>
          <w:rPr>
            <w:rStyle w:val="Hyperlink"/>
          </w:rPr>
          <w:t xml:space="preserve">Overview of Public Data</w:t>
        </w:r>
      </w:hyperlink>
      <w:r>
        <w:t xml:space="preserve">.</w:t>
      </w:r>
    </w:p>
    <w:bookmarkEnd w:id="153"/>
    <w:bookmarkStart w:id="155" w:name="X6e63774567273077f581a3a04ce956924c336e5"/>
    <w:p>
      <w:pPr>
        <w:pStyle w:val="Heading2"/>
      </w:pPr>
      <w:r>
        <w:rPr>
          <w:rStyle w:val="SectionNumber"/>
        </w:rPr>
        <w:t xml:space="preserve">14.3</w:t>
      </w:r>
      <w:r>
        <w:tab/>
      </w:r>
      <w:r>
        <w:t xml:space="preserve">Publication and Updates via GitHub</w:t>
      </w:r>
    </w:p>
    <w:p>
      <w:pPr>
        <w:pStyle w:val="FirstParagraph"/>
      </w:pPr>
      <w:r>
        <w:t xml:space="preserve">The Integrated Database of Hanzi Dictionaries in Early Japan (HDIC) has been publicly available via GitHub since October 2015. The repository can be accessed at</w:t>
      </w:r>
      <w:r>
        <w:t xml:space="preserve"> </w:t>
      </w:r>
      <w:hyperlink r:id="rId154">
        <w:r>
          <w:rPr>
            <w:rStyle w:val="Hyperlink"/>
          </w:rPr>
          <w:t xml:space="preserve">https://github.com/shikeda</w:t>
        </w:r>
      </w:hyperlink>
      <w:r>
        <w:t xml:space="preserve">.</w:t>
      </w:r>
    </w:p>
    <w:p>
      <w:pPr>
        <w:pStyle w:val="BodyText"/>
      </w:pPr>
      <w:r>
        <w:t xml:space="preserve">A summary of the Chinese character dictionaries included in the HDIC and the initial publication dates of their full-text databases is as follows:</w:t>
      </w:r>
    </w:p>
    <w:p>
      <w:pPr>
        <w:numPr>
          <w:ilvl w:val="0"/>
          <w:numId w:val="1126"/>
        </w:numPr>
        <w:pStyle w:val="Compact"/>
      </w:pPr>
      <w:r>
        <w:rPr>
          <w:iCs/>
          <w:i/>
        </w:rPr>
        <w:t xml:space="preserve">Sōhon Gyokuhen</w:t>
      </w:r>
      <w:r>
        <w:t xml:space="preserve"> </w:t>
      </w:r>
      <w:r>
        <w:t xml:space="preserve">(宋本玉篇,</w:t>
      </w:r>
      <w:r>
        <w:t xml:space="preserve"> </w:t>
      </w:r>
      <w:r>
        <w:rPr>
          <w:iCs/>
          <w:i/>
        </w:rPr>
        <w:t xml:space="preserve">Songben Yupian</w:t>
      </w:r>
      <w:r>
        <w:t xml:space="preserve">; abbr. SYP) – First published: October 20, 2015</w:t>
      </w:r>
    </w:p>
    <w:p>
      <w:pPr>
        <w:numPr>
          <w:ilvl w:val="0"/>
          <w:numId w:val="1126"/>
        </w:numPr>
        <w:pStyle w:val="Compact"/>
      </w:pPr>
      <w:r>
        <w:t xml:space="preserve">Kōsan-ji manuscript</w:t>
      </w:r>
      <w:r>
        <w:t xml:space="preserve"> </w:t>
      </w:r>
      <w:r>
        <w:rPr>
          <w:iCs/>
          <w:i/>
        </w:rPr>
        <w:t xml:space="preserve">Tenrei Banshō Meigi</w:t>
      </w:r>
      <w:r>
        <w:t xml:space="preserve"> </w:t>
      </w:r>
      <w:r>
        <w:t xml:space="preserve">(篆隷万象名義; abbr. KTB) – First published: September 1, 2016</w:t>
      </w:r>
    </w:p>
    <w:p>
      <w:pPr>
        <w:numPr>
          <w:ilvl w:val="0"/>
          <w:numId w:val="1126"/>
        </w:numPr>
        <w:pStyle w:val="Compact"/>
      </w:pPr>
      <w:r>
        <w:t xml:space="preserve">Tenji manuscript</w:t>
      </w:r>
      <w:r>
        <w:t xml:space="preserve"> </w:t>
      </w:r>
      <w:r>
        <w:rPr>
          <w:iCs/>
          <w:i/>
        </w:rPr>
        <w:t xml:space="preserve">Shinsen Jikyō</w:t>
      </w:r>
      <w:r>
        <w:t xml:space="preserve"> </w:t>
      </w:r>
      <w:r>
        <w:t xml:space="preserve">(新撰字鏡; abbr. TSJ) – First published: June 28, 2018</w:t>
      </w:r>
    </w:p>
    <w:p>
      <w:pPr>
        <w:numPr>
          <w:ilvl w:val="0"/>
          <w:numId w:val="1126"/>
        </w:numPr>
        <w:pStyle w:val="Compact"/>
      </w:pPr>
      <w:r>
        <w:t xml:space="preserve">Kanchi-in manuscript</w:t>
      </w:r>
      <w:r>
        <w:t xml:space="preserve"> </w:t>
      </w:r>
      <w:r>
        <w:rPr>
          <w:iCs/>
          <w:i/>
        </w:rPr>
        <w:t xml:space="preserve">Ruiju Myōgisho</w:t>
      </w:r>
      <w:r>
        <w:t xml:space="preserve"> </w:t>
      </w:r>
      <w:r>
        <w:t xml:space="preserve">(類聚名義抄; abbr. KRM) – First published: March 11, 2022</w:t>
      </w:r>
    </w:p>
    <w:p>
      <w:pPr>
        <w:pStyle w:val="FirstParagraph"/>
      </w:pPr>
      <w:r>
        <w:t xml:space="preserve">An explanation of what GitHub is and the significance of publishing research data through this system can be summarized as follows:</w:t>
      </w:r>
    </w:p>
    <w:p>
      <w:pPr>
        <w:pStyle w:val="BodyText"/>
      </w:pPr>
      <w:r>
        <w:t xml:space="preserve">GitHub is widely used as a platform for managing and publishing software source code. In recent years, however, it has also been utilized in various research fields, including the humanities, for sharing and publishing research data. GitHub is built upon a version control system called</w:t>
      </w:r>
      <w:r>
        <w:t xml:space="preserve"> </w:t>
      </w:r>
      <w:r>
        <w:t xml:space="preserve">“</w:t>
      </w:r>
      <w:r>
        <w:t xml:space="preserve">Git,</w:t>
      </w:r>
      <w:r>
        <w:t xml:space="preserve">”</w:t>
      </w:r>
      <w:r>
        <w:t xml:space="preserve"> </w:t>
      </w:r>
      <w:r>
        <w:t xml:space="preserve">which records the entire editing history and clearly preserves an audit trail of changes. This makes it possible to track who made what changes and when, thereby enhancing the transparency and reproducibility of research data.</w:t>
      </w:r>
    </w:p>
    <w:p>
      <w:pPr>
        <w:pStyle w:val="BodyText"/>
      </w:pPr>
      <w:r>
        <w:t xml:space="preserve">Furthermore, GitHub facilitates collaborative editing among multiple individuals. Features such as pull requests and issues allow for dialogue and peer-review-like interactions with other researchers to be recorded. Its appeal also lies in features like document creation using Markdown notation and the ability to view file-specific revision histories, making it relatively easy to use even for humanities researchers who do not write programs.</w:t>
      </w:r>
    </w:p>
    <w:p>
      <w:pPr>
        <w:pStyle w:val="BodyText"/>
      </w:pPr>
      <w:r>
        <w:t xml:space="preserve">The significance of placing data on GitHub extends beyond mere storage. It enables</w:t>
      </w:r>
      <w:r>
        <w:t xml:space="preserve"> </w:t>
      </w:r>
      <w:r>
        <w:t xml:space="preserve">“</w:t>
      </w:r>
      <w:r>
        <w:t xml:space="preserve">open science</w:t>
      </w:r>
      <w:r>
        <w:t xml:space="preserve">”</w:t>
      </w:r>
      <w:r>
        <w:t xml:space="preserve"> </w:t>
      </w:r>
      <w:r>
        <w:t xml:space="preserve">practices, where research progress is incrementally published, and improvements are made based on external feedback. It is particularly well-suited for structured humanities data, such as data on Sino-Japanese character readings (like</w:t>
      </w:r>
      <w:r>
        <w:t xml:space="preserve"> </w:t>
      </w:r>
      <w:r>
        <w:rPr>
          <w:iCs/>
          <w:i/>
        </w:rPr>
        <w:t xml:space="preserve">Kan-on</w:t>
      </w:r>
      <w:r>
        <w:t xml:space="preserve"> </w:t>
      </w:r>
      <w:r>
        <w:t xml:space="preserve">and</w:t>
      </w:r>
      <w:r>
        <w:t xml:space="preserve"> </w:t>
      </w:r>
      <w:r>
        <w:rPr>
          <w:iCs/>
          <w:i/>
        </w:rPr>
        <w:t xml:space="preserve">Go-on</w:t>
      </w:r>
      <w:r>
        <w:t xml:space="preserve"> </w:t>
      </w:r>
      <w:r>
        <w:t xml:space="preserve">based on historical sources), transcribed texts, and lexicographical information, with many existing examples of its use.</w:t>
      </w:r>
    </w:p>
    <w:p>
      <w:pPr>
        <w:pStyle w:val="BodyText"/>
      </w:pPr>
      <w:r>
        <w:t xml:space="preserve">Moreover, data on GitHub can be linked with Zenodo, a research data repository, to assign a formal DOI (Digital Object Identifier) and publish it in an academically stable manner. For instance, the</w:t>
      </w:r>
      <w:r>
        <w:t xml:space="preserve"> </w:t>
      </w:r>
      <w:r>
        <w:t xml:space="preserve">“</w:t>
      </w:r>
      <w:r>
        <w:t xml:space="preserve">Database of Historical Sino-Japanese Readings</w:t>
      </w:r>
      <w:r>
        <w:t xml:space="preserve">”</w:t>
      </w:r>
      <w:r>
        <w:t xml:space="preserve"> </w:t>
      </w:r>
      <w:r>
        <w:t xml:space="preserve">(DHSJR) utilizes GitHub for data construction, and this data is then registered with Zenodo and published with a DOI, making it internationally citable and reusable. In this way, GitHub is playing a significant role as a foundation for the long-term sharing and utilization of digital resources in the humanities.</w:t>
      </w:r>
    </w:p>
    <w:bookmarkEnd w:id="155"/>
    <w:bookmarkEnd w:id="156"/>
    <w:bookmarkEnd w:id="157"/>
    <w:bookmarkStart w:id="163" w:name="X8b4a2540054de69d65b173515471a05bdc52d41"/>
    <w:bookmarkStart w:id="162" w:name="X571cbbfc436e138239adfb99bfe943c6f282e29"/>
    <w:p>
      <w:pPr>
        <w:pStyle w:val="Heading1"/>
      </w:pPr>
      <w:r>
        <w:rPr>
          <w:rStyle w:val="SectionNumber"/>
        </w:rPr>
        <w:t xml:space="preserve">15</w:t>
      </w:r>
      <w:r>
        <w:tab/>
      </w:r>
      <w:r>
        <w:t xml:space="preserve">Input of Entry Data</w:t>
      </w:r>
    </w:p>
    <w:p>
      <w:pPr>
        <w:pStyle w:val="FirstParagraph"/>
      </w:pPr>
      <w:r>
        <w:t xml:space="preserve">This document explains how to input</w:t>
      </w:r>
      <w:r>
        <w:t xml:space="preserve"> </w:t>
      </w:r>
      <w:r>
        <w:rPr>
          <w:rStyle w:val="VerbatimChar"/>
          <w:bCs/>
          <w:b/>
        </w:rPr>
        <w:t xml:space="preserve">Entry</w:t>
      </w:r>
      <w:r>
        <w:t xml:space="preserve"> </w:t>
      </w:r>
      <w:r>
        <w:t xml:space="preserve">data for the Kanchi-in manuscript of the</w:t>
      </w:r>
      <w:r>
        <w:t xml:space="preserve"> </w:t>
      </w:r>
      <w:r>
        <w:rPr>
          <w:iCs/>
          <w:i/>
        </w:rPr>
        <w:t xml:space="preserve">Ruiju Myōgishō</w:t>
      </w:r>
      <w:r>
        <w:t xml:space="preserve">. Hereinafter, the Kanchi-in manuscript of the</w:t>
      </w:r>
      <w:r>
        <w:t xml:space="preserve"> </w:t>
      </w:r>
      <w:r>
        <w:rPr>
          <w:iCs/>
          <w:i/>
        </w:rPr>
        <w:t xml:space="preserve">Ruiju Myōgishō</w:t>
      </w:r>
      <w:r>
        <w:t xml:space="preserve"> </w:t>
      </w:r>
      <w:r>
        <w:t xml:space="preserve">will be referred to as</w:t>
      </w:r>
      <w:r>
        <w:t xml:space="preserve"> </w:t>
      </w:r>
      <w:r>
        <w:rPr>
          <w:iCs/>
          <w:i/>
        </w:rPr>
        <w:t xml:space="preserve">“</w:t>
      </w:r>
      <w:r>
        <w:rPr>
          <w:iCs/>
          <w:i/>
        </w:rPr>
        <w:t xml:space="preserve">Myōgishō</w:t>
      </w:r>
      <w:r>
        <w:rPr>
          <w:iCs/>
          <w:i/>
        </w:rPr>
        <w:t xml:space="preserve">”</w:t>
      </w:r>
      <w:r>
        <w:t xml:space="preserve"> </w:t>
      </w:r>
      <w:r>
        <w:t xml:space="preserve">or</w:t>
      </w:r>
      <w:r>
        <w:t xml:space="preserve"> </w:t>
      </w:r>
      <w:r>
        <w:t xml:space="preserve">“</w:t>
      </w:r>
      <w:r>
        <w:t xml:space="preserve">KRM.</w:t>
      </w:r>
      <w:r>
        <w:t xml:space="preserve">”</w:t>
      </w:r>
    </w:p>
    <w:p>
      <w:pPr>
        <w:pStyle w:val="BodyText"/>
      </w:pPr>
      <w:r>
        <w:t xml:space="preserve">An</w:t>
      </w:r>
      <w:r>
        <w:t xml:space="preserve"> </w:t>
      </w:r>
      <w:r>
        <w:rPr>
          <w:rStyle w:val="VerbatimChar"/>
          <w:bCs/>
          <w:b/>
        </w:rPr>
        <w:t xml:space="preserve">Entry</w:t>
      </w:r>
      <w:r>
        <w:t xml:space="preserve"> </w:t>
      </w:r>
      <w:r>
        <w:t xml:space="preserve">consists of a</w:t>
      </w:r>
      <w:r>
        <w:t xml:space="preserve"> </w:t>
      </w:r>
      <w:r>
        <w:rPr>
          <w:rStyle w:val="VerbatimChar"/>
          <w:bCs/>
          <w:b/>
        </w:rPr>
        <w:t xml:space="preserve">Headword</w:t>
      </w:r>
      <w:r>
        <w:t xml:space="preserve"> </w:t>
      </w:r>
      <w:r>
        <w:t xml:space="preserve">and</w:t>
      </w:r>
      <w:r>
        <w:t xml:space="preserve"> </w:t>
      </w:r>
      <w:r>
        <w:rPr>
          <w:rStyle w:val="VerbatimChar"/>
          <w:bCs/>
          <w:b/>
        </w:rPr>
        <w:t xml:space="preserve">Original Glosses</w:t>
      </w:r>
      <w:r>
        <w:t xml:space="preserve">. This section focuses on matters common to the input of</w:t>
      </w:r>
      <w:r>
        <w:t xml:space="preserve"> </w:t>
      </w:r>
      <w:r>
        <w:rPr>
          <w:rStyle w:val="VerbatimChar"/>
          <w:bCs/>
          <w:b/>
        </w:rPr>
        <w:t xml:space="preserve">Headwords</w:t>
      </w:r>
      <w:r>
        <w:t xml:space="preserve"> </w:t>
      </w:r>
      <w:r>
        <w:t xml:space="preserve">and</w:t>
      </w:r>
      <w:r>
        <w:t xml:space="preserve"> </w:t>
      </w:r>
      <w:r>
        <w:rPr>
          <w:rStyle w:val="VerbatimChar"/>
          <w:bCs/>
          <w:b/>
        </w:rPr>
        <w:t xml:space="preserve">Original Glosses</w:t>
      </w:r>
      <w:r>
        <w:t xml:space="preserve"> </w:t>
      </w:r>
      <w:r>
        <w:t xml:space="preserve">for the main</w:t>
      </w:r>
      <w:r>
        <w:t xml:space="preserve"> </w:t>
      </w:r>
      <w:r>
        <w:rPr>
          <w:rStyle w:val="VerbatimChar"/>
          <w:bCs/>
          <w:b/>
        </w:rPr>
        <w:t xml:space="preserve">Entry</w:t>
      </w:r>
      <w:r>
        <w:t xml:space="preserve"> </w:t>
      </w:r>
      <w:r>
        <w:t xml:space="preserve">data of the</w:t>
      </w:r>
      <w:r>
        <w:t xml:space="preserve"> </w:t>
      </w:r>
      <w:r>
        <w:rPr>
          <w:iCs/>
          <w:i/>
        </w:rPr>
        <w:t xml:space="preserve">“</w:t>
      </w:r>
      <w:r>
        <w:rPr>
          <w:iCs/>
          <w:i/>
        </w:rPr>
        <w:t xml:space="preserve">Myōgishō</w:t>
      </w:r>
      <w:r>
        <w:rPr>
          <w:iCs/>
          <w:i/>
        </w:rPr>
        <w:t xml:space="preserve">”</w:t>
      </w:r>
      <w:r>
        <w:t xml:space="preserve"> </w:t>
      </w:r>
      <w:r>
        <w:t xml:space="preserve">(e.g.,</w:t>
      </w:r>
      <w:r>
        <w:t xml:space="preserve"> </w:t>
      </w:r>
      <w:r>
        <w:rPr>
          <w:rStyle w:val="VerbatimChar"/>
        </w:rPr>
        <w:t xml:space="preserve">krm_main.tsv</w:t>
      </w:r>
      <w:r>
        <w:t xml:space="preserve">).</w:t>
      </w:r>
    </w:p>
    <w:p>
      <w:pPr>
        <w:pStyle w:val="BodyText"/>
      </w:pPr>
      <w:r>
        <w:t xml:space="preserve">Among the input rules explained in this document, those concerning</w:t>
      </w:r>
      <w:r>
        <w:t xml:space="preserve"> </w:t>
      </w:r>
      <w:r>
        <w:rPr>
          <w:bCs/>
          <w:b/>
        </w:rPr>
        <w:t xml:space="preserve">character representation methods</w:t>
      </w:r>
      <w:r>
        <w:t xml:space="preserve"> </w:t>
      </w:r>
      <w:r>
        <w:t xml:space="preserve">(such as for characters outside of Unicode, special symbols, etc.) may also apply to other published data, including</w:t>
      </w:r>
      <w:r>
        <w:t xml:space="preserve"> </w:t>
      </w:r>
      <w:r>
        <w:rPr>
          <w:rStyle w:val="VerbatimChar"/>
        </w:rPr>
        <w:t xml:space="preserve">krm_notes</w:t>
      </w:r>
      <w:r>
        <w:t xml:space="preserve"> </w:t>
      </w:r>
      <w:r>
        <w:t xml:space="preserve">(the file containing data for</w:t>
      </w:r>
      <w:r>
        <w:t xml:space="preserve"> </w:t>
      </w:r>
      <w:r>
        <w:rPr>
          <w:rStyle w:val="VerbatimChar"/>
          <w:bCs/>
          <w:b/>
        </w:rPr>
        <w:t xml:space="preserve">Compiler's Remarks</w:t>
      </w:r>
      <w:r>
        <w:t xml:space="preserve">). For details on the overall structure and file formats of the published data, please refer to the</w:t>
      </w:r>
      <w:r>
        <w:t xml:space="preserve"> </w:t>
      </w:r>
      <w:hyperlink r:id="rId158">
        <w:r>
          <w:rPr>
            <w:rStyle w:val="Hyperlink"/>
          </w:rPr>
          <w:t xml:space="preserve">Overview of Public Data</w:t>
        </w:r>
      </w:hyperlink>
      <w:r>
        <w:t xml:space="preserve">.</w:t>
      </w:r>
    </w:p>
    <w:p>
      <w:pPr>
        <w:pStyle w:val="BodyText"/>
      </w:pPr>
      <w:r>
        <w:t xml:space="preserve">The published data primarily uses TSV format, but some data is also available in JSON format for better readability.</w:t>
      </w:r>
    </w:p>
    <w:p>
      <w:pPr>
        <w:pStyle w:val="BodyText"/>
      </w:pPr>
      <w:r>
        <w:t xml:space="preserve">First, we will explain the</w:t>
      </w:r>
      <w:r>
        <w:t xml:space="preserve"> </w:t>
      </w:r>
      <w:r>
        <w:rPr>
          <w:rStyle w:val="VerbatimChar"/>
          <w:bCs/>
          <w:b/>
        </w:rPr>
        <w:t xml:space="preserve">Headwords</w:t>
      </w:r>
      <w:r>
        <w:rPr>
          <w:bCs/>
          <w:b/>
        </w:rPr>
        <w:t xml:space="preserve">,</w:t>
      </w:r>
      <w:r>
        <w:rPr>
          <w:bCs/>
          <w:b/>
        </w:rPr>
        <w:t xml:space="preserve"> </w:t>
      </w:r>
      <w:r>
        <w:rPr>
          <w:rStyle w:val="VerbatimChar"/>
          <w:bCs/>
          <w:b/>
        </w:rPr>
        <w:t xml:space="preserve">Entry</w:t>
      </w:r>
      <w:r>
        <w:rPr>
          <w:bCs/>
          <w:b/>
        </w:rPr>
        <w:t xml:space="preserve"> </w:t>
      </w:r>
      <w:r>
        <w:rPr>
          <w:bCs/>
          <w:b/>
        </w:rPr>
        <w:t xml:space="preserve">Structure, and ID System</w:t>
      </w:r>
      <w:r>
        <w:t xml:space="preserve">. The ID system for KRM data is complex, so users are advised to read this section carefully.</w:t>
      </w:r>
      <w:r>
        <w:t xml:space="preserve"> </w:t>
      </w:r>
      <w:r>
        <w:t xml:space="preserve">Next, we will discuss</w:t>
      </w:r>
      <w:r>
        <w:t xml:space="preserve"> </w:t>
      </w:r>
      <w:r>
        <w:rPr>
          <w:bCs/>
          <w:b/>
        </w:rPr>
        <w:t xml:space="preserve">Character Encoding and Representation</w:t>
      </w:r>
      <w:r>
        <w:t xml:space="preserve"> </w:t>
      </w:r>
      <w:r>
        <w:t xml:space="preserve">using Unicode. We will also explain the handling of characters that cannot be represented by Unicode, as multiple methods are used in combination.</w:t>
      </w:r>
      <w:r>
        <w:t xml:space="preserve"> </w:t>
      </w:r>
      <w:r>
        <w:t xml:space="preserve">Finally, we will organize</w:t>
      </w:r>
      <w:r>
        <w:t xml:space="preserve"> </w:t>
      </w:r>
      <w:r>
        <w:rPr>
          <w:bCs/>
          <w:b/>
        </w:rPr>
        <w:t xml:space="preserve">scribal issues</w:t>
      </w:r>
      <w:r>
        <w:t xml:space="preserve"> </w:t>
      </w:r>
      <w:r>
        <w:t xml:space="preserve">such as misspellings and omissions;</w:t>
      </w:r>
      <w:r>
        <w:t xml:space="preserve"> </w:t>
      </w:r>
      <w:r>
        <w:rPr>
          <w:bCs/>
          <w:b/>
        </w:rPr>
        <w:t xml:space="preserve">notation formats for characters and words</w:t>
      </w:r>
      <w:r>
        <w:t xml:space="preserve"> </w:t>
      </w:r>
      <w:r>
        <w:t xml:space="preserve">like abbreviation marks and iteration marks; and</w:t>
      </w:r>
      <w:r>
        <w:t xml:space="preserve"> </w:t>
      </w:r>
      <w:r>
        <w:rPr>
          <w:bCs/>
          <w:b/>
        </w:rPr>
        <w:t xml:space="preserve">additional notes and layout</w:t>
      </w:r>
      <w:r>
        <w:t xml:space="preserve"> </w:t>
      </w:r>
      <w:r>
        <w:t xml:space="preserve">features such as interlinear notes and small character annotations. We will then summarize the</w:t>
      </w:r>
      <w:r>
        <w:t xml:space="preserve"> </w:t>
      </w:r>
      <w:r>
        <w:rPr>
          <w:bCs/>
          <w:b/>
        </w:rPr>
        <w:t xml:space="preserve">Handling of Issues in Transcription, Notation, and Annotation</w:t>
      </w:r>
      <w:r>
        <w:t xml:space="preserve">.</w:t>
      </w:r>
    </w:p>
    <w:p>
      <w:pPr>
        <w:numPr>
          <w:ilvl w:val="0"/>
          <w:numId w:val="1127"/>
        </w:numPr>
        <w:pStyle w:val="Compact"/>
      </w:pPr>
      <w:hyperlink r:id="rId159">
        <w:r>
          <w:rPr>
            <w:rStyle w:val="Hyperlink"/>
          </w:rPr>
          <w:t xml:space="preserve">Headwords, Entry Structure, and ID System</w:t>
        </w:r>
      </w:hyperlink>
    </w:p>
    <w:p>
      <w:pPr>
        <w:numPr>
          <w:ilvl w:val="0"/>
          <w:numId w:val="1127"/>
        </w:numPr>
        <w:pStyle w:val="Compact"/>
      </w:pPr>
      <w:hyperlink r:id="rId160">
        <w:r>
          <w:rPr>
            <w:rStyle w:val="Hyperlink"/>
          </w:rPr>
          <w:t xml:space="preserve">Character Encoding and Representation</w:t>
        </w:r>
      </w:hyperlink>
    </w:p>
    <w:p>
      <w:pPr>
        <w:numPr>
          <w:ilvl w:val="0"/>
          <w:numId w:val="1127"/>
        </w:numPr>
        <w:pStyle w:val="Compact"/>
      </w:pPr>
      <w:hyperlink r:id="rId161">
        <w:r>
          <w:rPr>
            <w:rStyle w:val="Hyperlink"/>
          </w:rPr>
          <w:t xml:space="preserve">Handling Issues in Transcription, Notation, and Annotation</w:t>
        </w:r>
      </w:hyperlink>
    </w:p>
    <w:bookmarkEnd w:id="162"/>
    <w:bookmarkEnd w:id="163"/>
    <w:bookmarkStart w:id="180" w:name="X24fd5f3a1a774487775239a19cf15a63ee40814"/>
    <w:bookmarkStart w:id="179" w:name="X4742fd100c731a3073b6a043361405f118088ab"/>
    <w:p>
      <w:pPr>
        <w:pStyle w:val="Heading1"/>
      </w:pPr>
      <w:r>
        <w:rPr>
          <w:rStyle w:val="SectionNumber"/>
        </w:rPr>
        <w:t xml:space="preserve">16</w:t>
      </w:r>
      <w:r>
        <w:tab/>
      </w:r>
      <w:r>
        <w:t xml:space="preserve">Headwords, Entry Structure, and ID System</w:t>
      </w:r>
    </w:p>
    <w:p>
      <w:pPr>
        <w:pStyle w:val="FirstParagraph"/>
      </w:pPr>
      <w:r>
        <w:t xml:space="preserve">This section explains the structure of</w:t>
      </w:r>
      <w:r>
        <w:t xml:space="preserve"> </w:t>
      </w:r>
      <w:r>
        <w:rPr>
          <w:rStyle w:val="VerbatimChar"/>
          <w:bCs/>
          <w:b/>
        </w:rPr>
        <w:t xml:space="preserve">Entries</w:t>
      </w:r>
      <w:r>
        <w:t xml:space="preserve"> </w:t>
      </w:r>
      <w:r>
        <w:t xml:space="preserve">in the</w:t>
      </w:r>
      <w:r>
        <w:t xml:space="preserve"> </w:t>
      </w:r>
      <w:r>
        <w:rPr>
          <w:iCs/>
          <w:i/>
        </w:rPr>
        <w:t xml:space="preserve">Myōgishō</w:t>
      </w:r>
      <w:r>
        <w:t xml:space="preserve"> </w:t>
      </w:r>
      <w:r>
        <w:t xml:space="preserve">and the ID system used to identify them.</w:t>
      </w:r>
    </w:p>
    <w:bookmarkStart w:id="164" w:name="Xc729b573ce1bb428ab843297bc5424f2520667b"/>
    <w:p>
      <w:pPr>
        <w:pStyle w:val="Heading2"/>
      </w:pPr>
      <w:r>
        <w:rPr>
          <w:rStyle w:val="SectionNumber"/>
        </w:rPr>
        <w:t xml:space="preserve">16.1</w:t>
      </w:r>
      <w:r>
        <w:tab/>
      </w:r>
      <w:r>
        <w:t xml:space="preserve">Definitions of Headwords and Entries</w:t>
      </w:r>
    </w:p>
    <w:p>
      <w:pPr>
        <w:pStyle w:val="FirstParagraph"/>
      </w:pPr>
      <w:r>
        <w:t xml:space="preserve">A</w:t>
      </w:r>
      <w:r>
        <w:t xml:space="preserve"> </w:t>
      </w:r>
      <w:r>
        <w:rPr>
          <w:rStyle w:val="VerbatimChar"/>
          <w:bCs/>
          <w:b/>
        </w:rPr>
        <w:t xml:space="preserve">Headword</w:t>
      </w:r>
      <w:r>
        <w:t xml:space="preserve"> </w:t>
      </w:r>
      <w:r>
        <w:t xml:space="preserve">refers to the</w:t>
      </w:r>
      <w:r>
        <w:t xml:space="preserve"> </w:t>
      </w:r>
      <w:r>
        <w:rPr>
          <w:rStyle w:val="VerbatimChar"/>
          <w:bCs/>
          <w:b/>
        </w:rPr>
        <w:t xml:space="preserve">Chinese character</w:t>
      </w:r>
      <w:r>
        <w:t xml:space="preserve"> </w:t>
      </w:r>
      <w:r>
        <w:t xml:space="preserve">or string of</w:t>
      </w:r>
      <w:r>
        <w:t xml:space="preserve"> </w:t>
      </w:r>
      <w:r>
        <w:rPr>
          <w:rStyle w:val="VerbatimChar"/>
          <w:bCs/>
          <w:b/>
        </w:rPr>
        <w:t xml:space="preserve">Chinese characters</w:t>
      </w:r>
      <w:r>
        <w:t xml:space="preserve"> </w:t>
      </w:r>
      <w:r>
        <w:t xml:space="preserve">that forms the heading.</w:t>
      </w:r>
      <w:r>
        <w:t xml:space="preserve"> </w:t>
      </w:r>
      <w:r>
        <w:t xml:space="preserve">An</w:t>
      </w:r>
      <w:r>
        <w:t xml:space="preserve"> </w:t>
      </w:r>
      <w:r>
        <w:rPr>
          <w:rStyle w:val="VerbatimChar"/>
          <w:bCs/>
          <w:b/>
        </w:rPr>
        <w:t xml:space="preserve">Entry</w:t>
      </w:r>
      <w:r>
        <w:t xml:space="preserve"> </w:t>
      </w:r>
      <w:r>
        <w:t xml:space="preserve">is the basic unit of the dictionary, typically consisting of a</w:t>
      </w:r>
      <w:r>
        <w:t xml:space="preserve"> </w:t>
      </w:r>
      <w:r>
        <w:rPr>
          <w:rStyle w:val="VerbatimChar"/>
          <w:bCs/>
          <w:b/>
        </w:rPr>
        <w:t xml:space="preserve">Headword</w:t>
      </w:r>
      <w:r>
        <w:t xml:space="preserve"> </w:t>
      </w:r>
      <w:r>
        <w:t xml:space="preserve">and its associated</w:t>
      </w:r>
      <w:r>
        <w:t xml:space="preserve"> </w:t>
      </w:r>
      <w:r>
        <w:rPr>
          <w:rStyle w:val="VerbatimChar"/>
          <w:bCs/>
          <w:b/>
        </w:rPr>
        <w:t xml:space="preserve">Original Glosses</w:t>
      </w:r>
      <w:r>
        <w:t xml:space="preserve">.</w:t>
      </w:r>
    </w:p>
    <w:p>
      <w:pPr>
        <w:pStyle w:val="BodyText"/>
      </w:pPr>
      <w:r>
        <w:t xml:space="preserve">In the</w:t>
      </w:r>
      <w:r>
        <w:t xml:space="preserve"> </w:t>
      </w:r>
      <w:r>
        <w:rPr>
          <w:iCs/>
          <w:i/>
        </w:rPr>
        <w:t xml:space="preserve">Myōgishō</w:t>
      </w:r>
      <w:r>
        <w:t xml:space="preserve">, the</w:t>
      </w:r>
      <w:r>
        <w:t xml:space="preserve"> </w:t>
      </w:r>
      <w:r>
        <w:rPr>
          <w:rStyle w:val="VerbatimChar"/>
          <w:bCs/>
          <w:b/>
        </w:rPr>
        <w:t xml:space="preserve">Headword</w:t>
      </w:r>
      <w:r>
        <w:t xml:space="preserve"> </w:t>
      </w:r>
      <w:r>
        <w:t xml:space="preserve">of an</w:t>
      </w:r>
      <w:r>
        <w:t xml:space="preserve"> </w:t>
      </w:r>
      <w:r>
        <w:rPr>
          <w:rStyle w:val="VerbatimChar"/>
          <w:bCs/>
          <w:b/>
        </w:rPr>
        <w:t xml:space="preserve">Entry</w:t>
      </w:r>
      <w:r>
        <w:t xml:space="preserve"> </w:t>
      </w:r>
      <w:r>
        <w:t xml:space="preserve">consists of either a</w:t>
      </w:r>
      <w:r>
        <w:t xml:space="preserve"> </w:t>
      </w:r>
      <w:r>
        <w:rPr>
          <w:bCs/>
          <w:b/>
        </w:rPr>
        <w:t xml:space="preserve">single</w:t>
      </w:r>
      <w:r>
        <w:rPr>
          <w:bCs/>
          <w:b/>
        </w:rPr>
        <w:t xml:space="preserve"> </w:t>
      </w:r>
      <w:r>
        <w:rPr>
          <w:rStyle w:val="VerbatimChar"/>
          <w:bCs/>
          <w:b/>
        </w:rPr>
        <w:t xml:space="preserve">Chinese character</w:t>
      </w:r>
      <w:r>
        <w:t xml:space="preserve"> </w:t>
      </w:r>
      <w:r>
        <w:t xml:space="preserve">or</w:t>
      </w:r>
      <w:r>
        <w:t xml:space="preserve"> </w:t>
      </w:r>
      <w:r>
        <w:rPr>
          <w:bCs/>
          <w:b/>
        </w:rPr>
        <w:t xml:space="preserve">multiple</w:t>
      </w:r>
      <w:r>
        <w:rPr>
          <w:bCs/>
          <w:b/>
        </w:rPr>
        <w:t xml:space="preserve"> </w:t>
      </w:r>
      <w:r>
        <w:rPr>
          <w:rStyle w:val="VerbatimChar"/>
          <w:bCs/>
          <w:b/>
        </w:rPr>
        <w:t xml:space="preserve">Chinese characters</w:t>
      </w:r>
      <w:r>
        <w:t xml:space="preserve"> </w:t>
      </w:r>
      <w:r>
        <w:t xml:space="preserve">(a multi-character compound).</w:t>
      </w:r>
    </w:p>
    <w:p>
      <w:pPr>
        <w:pStyle w:val="BodyText"/>
      </w:pPr>
      <w:r>
        <w:rPr>
          <w:rStyle w:val="VerbatimChar"/>
          <w:bCs/>
          <w:b/>
        </w:rPr>
        <w:t xml:space="preserve">Entries</w:t>
      </w:r>
      <w:r>
        <w:t xml:space="preserve"> </w:t>
      </w:r>
      <w:r>
        <w:t xml:space="preserve">are presented in two forms based on their</w:t>
      </w:r>
      <w:r>
        <w:t xml:space="preserve"> </w:t>
      </w:r>
      <w:r>
        <w:rPr>
          <w:rStyle w:val="VerbatimChar"/>
          <w:bCs/>
          <w:b/>
        </w:rPr>
        <w:t xml:space="preserve">Headwords</w:t>
      </w:r>
      <w:r>
        <w:t xml:space="preserve">:</w:t>
      </w:r>
      <w:r>
        <w:t xml:space="preserve"> </w:t>
      </w:r>
      <w:r>
        <w:t xml:space="preserve">*</w:t>
      </w:r>
      <w:r>
        <w:t xml:space="preserve"> </w:t>
      </w:r>
      <w:r>
        <w:rPr>
          <w:rStyle w:val="VerbatimChar"/>
          <w:bCs/>
          <w:b/>
        </w:rPr>
        <w:t xml:space="preserve">Single Character Form</w:t>
      </w:r>
      <w:r>
        <w:t xml:space="preserve">: When the</w:t>
      </w:r>
      <w:r>
        <w:t xml:space="preserve"> </w:t>
      </w:r>
      <w:r>
        <w:rPr>
          <w:rStyle w:val="VerbatimChar"/>
          <w:bCs/>
          <w:b/>
        </w:rPr>
        <w:t xml:space="preserve">Headword</w:t>
      </w:r>
      <w:r>
        <w:t xml:space="preserve"> </w:t>
      </w:r>
      <w:r>
        <w:t xml:space="preserve">is a single</w:t>
      </w:r>
      <w:r>
        <w:t xml:space="preserve"> </w:t>
      </w:r>
      <w:r>
        <w:rPr>
          <w:rStyle w:val="VerbatimChar"/>
          <w:bCs/>
          <w:b/>
        </w:rPr>
        <w:t xml:space="preserve">Chinese character</w:t>
      </w:r>
      <w:r>
        <w:t xml:space="preserve">.</w:t>
      </w:r>
      <w:r>
        <w:t xml:space="preserve"> </w:t>
      </w:r>
      <w:r>
        <w:t xml:space="preserve">*</w:t>
      </w:r>
      <w:r>
        <w:t xml:space="preserve"> </w:t>
      </w:r>
      <w:r>
        <w:rPr>
          <w:rStyle w:val="VerbatimChar"/>
          <w:bCs/>
          <w:b/>
        </w:rPr>
        <w:t xml:space="preserve">Multi-Character Form</w:t>
      </w:r>
      <w:r>
        <w:t xml:space="preserve">: When the</w:t>
      </w:r>
      <w:r>
        <w:t xml:space="preserve"> </w:t>
      </w:r>
      <w:r>
        <w:rPr>
          <w:rStyle w:val="VerbatimChar"/>
          <w:bCs/>
          <w:b/>
        </w:rPr>
        <w:t xml:space="preserve">Headword</w:t>
      </w:r>
      <w:r>
        <w:t xml:space="preserve"> </w:t>
      </w:r>
      <w:r>
        <w:t xml:space="preserve">consists of multiple</w:t>
      </w:r>
      <w:r>
        <w:t xml:space="preserve"> </w:t>
      </w:r>
      <w:r>
        <w:rPr>
          <w:rStyle w:val="VerbatimChar"/>
          <w:bCs/>
          <w:b/>
        </w:rPr>
        <w:t xml:space="preserve">Chinese characters</w:t>
      </w:r>
      <w:r>
        <w:t xml:space="preserve">.</w:t>
      </w:r>
    </w:p>
    <w:p>
      <w:pPr>
        <w:pStyle w:val="BodyText"/>
      </w:pPr>
      <w:r>
        <w:rPr>
          <w:rStyle w:val="VerbatimChar"/>
          <w:bCs/>
          <w:b/>
        </w:rPr>
        <w:t xml:space="preserve">Multi-Character Form</w:t>
      </w:r>
      <w:r>
        <w:t xml:space="preserve"> </w:t>
      </w:r>
      <w:r>
        <w:rPr>
          <w:rStyle w:val="VerbatimChar"/>
          <w:bCs/>
          <w:b/>
        </w:rPr>
        <w:t xml:space="preserve">Entries</w:t>
      </w:r>
      <w:r>
        <w:t xml:space="preserve"> </w:t>
      </w:r>
      <w:r>
        <w:t xml:space="preserve">include those for</w:t>
      </w:r>
      <w:r>
        <w:t xml:space="preserve"> </w:t>
      </w:r>
      <w:r>
        <w:rPr>
          <w:bCs/>
          <w:b/>
        </w:rPr>
        <w:t xml:space="preserve">idioms (or compounds)</w:t>
      </w:r>
      <w:r>
        <w:t xml:space="preserve"> </w:t>
      </w:r>
      <w:r>
        <w:t xml:space="preserve">and those that</w:t>
      </w:r>
      <w:r>
        <w:t xml:space="preserve"> </w:t>
      </w:r>
      <w:r>
        <w:rPr>
          <w:bCs/>
          <w:b/>
        </w:rPr>
        <w:t xml:space="preserve">co-list</w:t>
      </w:r>
      <w:r>
        <w:rPr>
          <w:bCs/>
          <w:b/>
        </w:rP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w:t>
      </w:r>
    </w:p>
    <w:p>
      <w:pPr>
        <w:pStyle w:val="BodyText"/>
      </w:pPr>
      <w:r>
        <w:t xml:space="preserve">Below are some examples of these two forms:</w:t>
      </w:r>
    </w:p>
    <w:p>
      <w:pPr>
        <w:pStyle w:val="BodyText"/>
      </w:pPr>
      <w:r>
        <w:rPr>
          <w:bCs/>
          <w:b/>
        </w:rPr>
        <w:t xml:space="preserve">Examples:</w:t>
      </w:r>
      <w:r>
        <w:t xml:space="preserve"> </w:t>
      </w:r>
      <w:r>
        <w:t xml:space="preserve">*</w:t>
      </w:r>
      <w:r>
        <w:t xml:space="preserve"> </w:t>
      </w:r>
      <w:r>
        <w:rPr>
          <w:rStyle w:val="VerbatimChar"/>
          <w:bCs/>
          <w:b/>
        </w:rPr>
        <w:t xml:space="preserve">Single Character Form</w:t>
      </w:r>
      <w:r>
        <w:t xml:space="preserve">: 人, 何</w:t>
      </w:r>
      <w:r>
        <w:t xml:space="preserve"> </w:t>
      </w:r>
      <w:r>
        <w:t xml:space="preserve">*</w:t>
      </w:r>
      <w:r>
        <w:t xml:space="preserve"> </w:t>
      </w:r>
      <w:r>
        <w:rPr>
          <w:rStyle w:val="VerbatimChar"/>
          <w:bCs/>
          <w:b/>
        </w:rPr>
        <w:t xml:space="preserve">Multi-Character Form</w:t>
      </w:r>
      <w:r>
        <w:t xml:space="preserve"> </w:t>
      </w:r>
      <w:r>
        <w:t xml:space="preserve">(idioms/compounds): 一人, 二人, 何如, 如何</w:t>
      </w:r>
      <w:r>
        <w:t xml:space="preserve"> </w:t>
      </w:r>
      <w:r>
        <w:t xml:space="preserve">*</w:t>
      </w:r>
      <w:r>
        <w:t xml:space="preserve"> </w:t>
      </w:r>
      <w:r>
        <w:rPr>
          <w:rStyle w:val="VerbatimChar"/>
          <w:bCs/>
          <w:b/>
        </w:rPr>
        <w:t xml:space="preserve">Multi-Character Form</w:t>
      </w:r>
      <w:r>
        <w:t xml:space="preserve"> </w:t>
      </w:r>
      <w:r>
        <w:t xml:space="preserve">(co-listing</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爲為, 羱𦍘</w:t>
      </w:r>
    </w:p>
    <w:p>
      <w:pPr>
        <w:pStyle w:val="BodyText"/>
      </w:pPr>
      <w:r>
        <w:t xml:space="preserve">The distinction between</w:t>
      </w:r>
      <w:r>
        <w:t xml:space="preserve"> </w:t>
      </w:r>
      <w:r>
        <w:rPr>
          <w:rStyle w:val="VerbatimChar"/>
          <w:bCs/>
          <w:b/>
        </w:rPr>
        <w:t xml:space="preserve">Multi-Character Form</w:t>
      </w:r>
      <w:r>
        <w:t xml:space="preserve"> </w:t>
      </w:r>
      <w:r>
        <w:rPr>
          <w:rStyle w:val="VerbatimChar"/>
          <w:bCs/>
          <w:b/>
        </w:rPr>
        <w:t xml:space="preserve">Entries</w:t>
      </w:r>
      <w:r>
        <w:t xml:space="preserve"> </w:t>
      </w:r>
      <w:r>
        <w:t xml:space="preserve">for idioms/compounds and those co-listing</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is determined by the content of the</w:t>
      </w:r>
      <w:r>
        <w:t xml:space="preserve"> </w:t>
      </w:r>
      <w:r>
        <w:rPr>
          <w:rStyle w:val="VerbatimChar"/>
          <w:bCs/>
          <w:b/>
        </w:rPr>
        <w:t xml:space="preserve">Original Glosses</w:t>
      </w:r>
      <w:r>
        <w:t xml:space="preserve">.</w:t>
      </w:r>
      <w:r>
        <w:t xml:space="preserve"> </w:t>
      </w:r>
      <w:r>
        <w:t xml:space="preserve">For example, in</w:t>
      </w:r>
      <w:r>
        <w:t xml:space="preserve"> </w:t>
      </w:r>
      <w:r>
        <w:t xml:space="preserve">‘</w:t>
      </w:r>
      <w:r>
        <w:t xml:space="preserve">爲為</w:t>
      </w:r>
      <w:r>
        <w:t xml:space="preserve">’</w:t>
      </w:r>
      <w:r>
        <w:t xml:space="preserve">, which co-lists</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the</w:t>
      </w:r>
      <w:r>
        <w:t xml:space="preserve"> </w:t>
      </w:r>
      <w:r>
        <w:rPr>
          <w:rStyle w:val="VerbatimChar"/>
          <w:bCs/>
          <w:b/>
        </w:rPr>
        <w:t xml:space="preserve">Original Glosses</w:t>
      </w:r>
      <w:r>
        <w:t xml:space="preserve"> </w:t>
      </w:r>
      <w:r>
        <w:t xml:space="preserve">contain the</w:t>
      </w:r>
      <w:r>
        <w:t xml:space="preserve"> </w:t>
      </w:r>
      <w:r>
        <w:rPr>
          <w:rStyle w:val="VerbatimChar"/>
          <w:bCs/>
          <w:b/>
        </w:rPr>
        <w:t xml:space="preserve">Form Classification Tag</w:t>
      </w:r>
      <w:r>
        <w:t xml:space="preserve"> </w:t>
      </w:r>
      <w:r>
        <w:t xml:space="preserve">‘</w:t>
      </w:r>
      <w:r>
        <w:t xml:space="preserve">正今</w:t>
      </w:r>
      <w:r>
        <w:t xml:space="preserve">’</w:t>
      </w:r>
      <w:r>
        <w:t xml:space="preserve"> </w:t>
      </w:r>
      <w:r>
        <w:t xml:space="preserve">(</w:t>
      </w:r>
      <w:r>
        <w:rPr>
          <w:iCs/>
          <w:i/>
        </w:rPr>
        <w:t xml:space="preserve">sei kin</w:t>
      </w:r>
      <w:r>
        <w:t xml:space="preserve">). This indicates that</w:t>
      </w:r>
      <w:r>
        <w:t xml:space="preserve"> </w:t>
      </w:r>
      <w:r>
        <w:t xml:space="preserve">‘</w:t>
      </w:r>
      <w:r>
        <w:t xml:space="preserve">爲</w:t>
      </w:r>
      <w:r>
        <w:t xml:space="preserve">’</w:t>
      </w:r>
      <w:r>
        <w:t xml:space="preserve"> </w:t>
      </w:r>
      <w:r>
        <w:t xml:space="preserve">is the</w:t>
      </w:r>
      <w:r>
        <w:t xml:space="preserve"> </w:t>
      </w:r>
      <w:r>
        <w:t xml:space="preserve">‘</w:t>
      </w:r>
      <w:r>
        <w:t xml:space="preserve">standard</w:t>
      </w:r>
      <w:r>
        <w:t xml:space="preserve">’</w:t>
      </w:r>
      <w:r>
        <w:t xml:space="preserve"> </w:t>
      </w:r>
      <w:r>
        <w:t xml:space="preserve">(</w:t>
      </w:r>
      <w:r>
        <w:rPr>
          <w:iCs/>
          <w:i/>
        </w:rPr>
        <w:t xml:space="preserve">sei</w:t>
      </w:r>
      <w:r>
        <w:t xml:space="preserve">) form and</w:t>
      </w:r>
      <w:r>
        <w:t xml:space="preserve"> </w:t>
      </w:r>
      <w:r>
        <w:t xml:space="preserve">‘</w:t>
      </w:r>
      <w:r>
        <w:t xml:space="preserve">為</w:t>
      </w:r>
      <w:r>
        <w:t xml:space="preserve">’</w:t>
      </w:r>
      <w:r>
        <w:t xml:space="preserve"> </w:t>
      </w:r>
      <w:r>
        <w:t xml:space="preserve">is the</w:t>
      </w:r>
      <w:r>
        <w:t xml:space="preserve"> </w:t>
      </w:r>
      <w:r>
        <w:t xml:space="preserve">‘</w:t>
      </w:r>
      <w:r>
        <w:t xml:space="preserve">current/modern</w:t>
      </w:r>
      <w:r>
        <w:t xml:space="preserve">’</w:t>
      </w:r>
      <w:r>
        <w:t xml:space="preserve"> </w:t>
      </w:r>
      <w:r>
        <w:t xml:space="preserve">(</w:t>
      </w:r>
      <w:r>
        <w:rPr>
          <w:iCs/>
          <w:i/>
        </w:rPr>
        <w:t xml:space="preserve">kin</w:t>
      </w:r>
      <w:r>
        <w:t xml:space="preserve">) form, thus establishing their relationship as variants.</w:t>
      </w:r>
      <w:r>
        <w:t xml:space="preserve"> </w:t>
      </w:r>
      <w:r>
        <w:t xml:space="preserve">Similarly, for</w:t>
      </w:r>
      <w:r>
        <w:t xml:space="preserve"> </w:t>
      </w:r>
      <w:r>
        <w:t xml:space="preserve">‘</w:t>
      </w:r>
      <w:r>
        <w:t xml:space="preserve">羱𦍘</w:t>
      </w:r>
      <w:r>
        <w:t xml:space="preserve">’</w:t>
      </w:r>
      <w:r>
        <w:t xml:space="preserve">, the</w:t>
      </w:r>
      <w:r>
        <w:t xml:space="preserve"> </w:t>
      </w:r>
      <w:r>
        <w:rPr>
          <w:rStyle w:val="VerbatimChar"/>
          <w:bCs/>
          <w:b/>
        </w:rPr>
        <w:t xml:space="preserve">Original Glosses</w:t>
      </w:r>
      <w:r>
        <w:t xml:space="preserve"> </w:t>
      </w:r>
      <w:r>
        <w:t xml:space="preserve">contain the</w:t>
      </w:r>
      <w:r>
        <w:t xml:space="preserve"> </w:t>
      </w:r>
      <w:r>
        <w:rPr>
          <w:rStyle w:val="VerbatimChar"/>
          <w:bCs/>
          <w:b/>
        </w:rPr>
        <w:t xml:space="preserve">Form Classification Tag</w:t>
      </w:r>
      <w:r>
        <w:t xml:space="preserve"> </w:t>
      </w:r>
      <w:r>
        <w:t xml:space="preserve">‘</w:t>
      </w:r>
      <w:r>
        <w:t xml:space="preserve">正俗</w:t>
      </w:r>
      <w:r>
        <w:t xml:space="preserve">’</w:t>
      </w:r>
      <w:r>
        <w:t xml:space="preserve"> </w:t>
      </w:r>
      <w:r>
        <w:t xml:space="preserve">(</w:t>
      </w:r>
      <w:r>
        <w:rPr>
          <w:iCs/>
          <w:i/>
        </w:rPr>
        <w:t xml:space="preserve">sei zoku</w:t>
      </w:r>
      <w:r>
        <w:t xml:space="preserve">), indicating that</w:t>
      </w:r>
      <w:r>
        <w:t xml:space="preserve"> </w:t>
      </w:r>
      <w:r>
        <w:t xml:space="preserve">‘</w:t>
      </w:r>
      <w:r>
        <w:t xml:space="preserve">羱</w:t>
      </w:r>
      <w:r>
        <w:t xml:space="preserve">’</w:t>
      </w:r>
      <w:r>
        <w:t xml:space="preserve"> </w:t>
      </w:r>
      <w:r>
        <w:t xml:space="preserve">is the</w:t>
      </w:r>
      <w:r>
        <w:t xml:space="preserve"> </w:t>
      </w:r>
      <w:r>
        <w:t xml:space="preserve">‘</w:t>
      </w:r>
      <w:r>
        <w:t xml:space="preserve">standard</w:t>
      </w:r>
      <w:r>
        <w:t xml:space="preserve">’</w:t>
      </w:r>
      <w:r>
        <w:t xml:space="preserve"> </w:t>
      </w:r>
      <w:r>
        <w:t xml:space="preserve">(</w:t>
      </w:r>
      <w:r>
        <w:rPr>
          <w:iCs/>
          <w:i/>
        </w:rPr>
        <w:t xml:space="preserve">sei</w:t>
      </w:r>
      <w:r>
        <w:t xml:space="preserve">) form and</w:t>
      </w:r>
      <w:r>
        <w:t xml:space="preserve"> </w:t>
      </w:r>
      <w:r>
        <w:t xml:space="preserve">‘</w:t>
      </w:r>
      <w:r>
        <w:t xml:space="preserve">𦍘</w:t>
      </w:r>
      <w:r>
        <w:t xml:space="preserve">’</w:t>
      </w:r>
      <w:r>
        <w:t xml:space="preserve"> </w:t>
      </w:r>
      <w:r>
        <w:t xml:space="preserve">is the</w:t>
      </w:r>
      <w:r>
        <w:t xml:space="preserve"> </w:t>
      </w:r>
      <w:r>
        <w:t xml:space="preserve">‘</w:t>
      </w:r>
      <w:r>
        <w:t xml:space="preserve">popular/vulgar</w:t>
      </w:r>
      <w:r>
        <w:t xml:space="preserve">’</w:t>
      </w:r>
      <w:r>
        <w:t xml:space="preserve"> </w:t>
      </w:r>
      <w:r>
        <w:t xml:space="preserve">(</w:t>
      </w:r>
      <w:r>
        <w:rPr>
          <w:iCs/>
          <w:i/>
        </w:rPr>
        <w:t xml:space="preserve">zoku</w:t>
      </w:r>
      <w:r>
        <w:t xml:space="preserve">) form, confirming their variant relationship.</w:t>
      </w:r>
    </w:p>
    <w:bookmarkEnd w:id="164"/>
    <w:bookmarkStart w:id="165" w:name="X67634363b4c94cdb051c8eb366859166b48b147"/>
    <w:p>
      <w:pPr>
        <w:pStyle w:val="Heading2"/>
      </w:pPr>
      <w:r>
        <w:rPr>
          <w:rStyle w:val="SectionNumber"/>
        </w:rPr>
        <w:t xml:space="preserve">16.2</w:t>
      </w:r>
      <w:r>
        <w:tab/>
      </w:r>
      <w:r>
        <w:t xml:space="preserve">Principles and Exceptions in the Arrangement of Entries</w:t>
      </w:r>
    </w:p>
    <w:p>
      <w:pPr>
        <w:pStyle w:val="FirstParagraph"/>
      </w:pPr>
      <w:r>
        <w:t xml:space="preserve">A single page in the</w:t>
      </w:r>
      <w:r>
        <w:t xml:space="preserve"> </w:t>
      </w:r>
      <w:r>
        <w:rPr>
          <w:iCs/>
          <w:i/>
        </w:rPr>
        <w:t xml:space="preserve">Myōgishō</w:t>
      </w:r>
      <w:r>
        <w:t xml:space="preserve"> </w:t>
      </w:r>
      <w:r>
        <w:t xml:space="preserve">is typically composed of 8 lines (rows) and 4 segments (columns per line). In other words, each page has a layout of 8 vertical lines and 4 horizontal segments, totaling 32 cells (or blocks) for entries.</w:t>
      </w:r>
    </w:p>
    <w:p>
      <w:pPr>
        <w:pStyle w:val="BodyText"/>
      </w:pPr>
      <w:r>
        <w:t xml:space="preserve">The overwhelming majority of</w:t>
      </w:r>
      <w:r>
        <w:t xml:space="preserve"> </w:t>
      </w:r>
      <w:r>
        <w:rPr>
          <w:rStyle w:val="VerbatimChar"/>
          <w:bCs/>
          <w:b/>
        </w:rPr>
        <w:t xml:space="preserve">Entries</w:t>
      </w:r>
      <w:r>
        <w:t xml:space="preserve"> </w:t>
      </w:r>
      <w:r>
        <w:t xml:space="preserve">are</w:t>
      </w:r>
      <w:r>
        <w:t xml:space="preserve"> </w:t>
      </w:r>
      <w:r>
        <w:t xml:space="preserve">“</w:t>
      </w:r>
      <w:r>
        <w:t xml:space="preserve">single-segment, single-entry</w:t>
      </w:r>
      <w:r>
        <w:t xml:space="preserve">”</w:t>
      </w:r>
      <w:r>
        <w:t xml:space="preserve"> </w:t>
      </w:r>
      <w:r>
        <w:t xml:space="preserve">(一段一項目,</w:t>
      </w:r>
      <w:r>
        <w:t xml:space="preserve"> </w:t>
      </w:r>
      <w:r>
        <w:rPr>
          <w:iCs/>
          <w:i/>
        </w:rPr>
        <w:t xml:space="preserve">ichidan ikkōmoku</w:t>
      </w:r>
      <w:r>
        <w:t xml:space="preserve">), meaning one</w:t>
      </w:r>
      <w:r>
        <w:t xml:space="preserve"> </w:t>
      </w:r>
      <w:r>
        <w:rPr>
          <w:rStyle w:val="VerbatimChar"/>
          <w:bCs/>
          <w:b/>
        </w:rPr>
        <w:t xml:space="preserve">Entry</w:t>
      </w:r>
      <w:r>
        <w:t xml:space="preserve"> </w:t>
      </w:r>
      <w:r>
        <w:t xml:space="preserve">is written within a single cell.</w:t>
      </w:r>
    </w:p>
    <w:p>
      <w:pPr>
        <w:pStyle w:val="BodyText"/>
      </w:pPr>
      <w:r>
        <w:t xml:space="preserve">When an explanation (i.e., the</w:t>
      </w:r>
      <w:r>
        <w:t xml:space="preserve"> </w:t>
      </w:r>
      <w:r>
        <w:rPr>
          <w:rStyle w:val="VerbatimChar"/>
          <w:bCs/>
          <w:b/>
        </w:rPr>
        <w:t xml:space="preserve">Original Glosses</w:t>
      </w:r>
      <w:r>
        <w:t xml:space="preserve">) is lengthy, it may occupy two or more cells, extending over multiple segments or multiple lines. Such</w:t>
      </w:r>
      <w:r>
        <w:t xml:space="preserve"> </w:t>
      </w:r>
      <w:r>
        <w:t xml:space="preserve">“</w:t>
      </w:r>
      <w:r>
        <w:t xml:space="preserve">multi-segment, single-entry</w:t>
      </w:r>
      <w:r>
        <w:t xml:space="preserve">”</w:t>
      </w:r>
      <w:r>
        <w:t xml:space="preserve"> </w:t>
      </w:r>
      <w:r>
        <w:t xml:space="preserve">(多段一項目,</w:t>
      </w:r>
      <w:r>
        <w:t xml:space="preserve"> </w:t>
      </w:r>
      <w:r>
        <w:rPr>
          <w:iCs/>
          <w:i/>
        </w:rPr>
        <w:t xml:space="preserve">tadan ikkōmoku</w:t>
      </w:r>
      <w:r>
        <w:t xml:space="preserve">) instances also appear frequently. However, even with lengthy explanations, an</w:t>
      </w:r>
      <w:r>
        <w:t xml:space="preserve"> </w:t>
      </w:r>
      <w:r>
        <w:rPr>
          <w:rStyle w:val="VerbatimChar"/>
          <w:bCs/>
          <w:b/>
        </w:rPr>
        <w:t xml:space="preserve">Entry</w:t>
      </w:r>
      <w:r>
        <w:t xml:space="preserve"> </w:t>
      </w:r>
      <w:r>
        <w:t xml:space="preserve">never extends beyond a single page.</w:t>
      </w:r>
      <w:r>
        <w:t xml:space="preserve"> </w:t>
      </w:r>
      <w:r>
        <w:t xml:space="preserve">Thus, the general principle is that a single cell contains one</w:t>
      </w:r>
      <w:r>
        <w:t xml:space="preserve"> </w:t>
      </w:r>
      <w:r>
        <w:rPr>
          <w:rStyle w:val="VerbatimChar"/>
          <w:bCs/>
          <w:b/>
        </w:rPr>
        <w:t xml:space="preserve">Entry</w:t>
      </w:r>
      <w:r>
        <w:t xml:space="preserve"> </w:t>
      </w:r>
      <w:r>
        <w:t xml:space="preserve">or less.</w:t>
      </w:r>
    </w:p>
    <w:p>
      <w:pPr>
        <w:pStyle w:val="BodyText"/>
      </w:pPr>
      <w:r>
        <w:t xml:space="preserve">As an exception, two</w:t>
      </w:r>
      <w:r>
        <w:t xml:space="preserve"> </w:t>
      </w:r>
      <w:r>
        <w:rPr>
          <w:rStyle w:val="VerbatimChar"/>
          <w:bCs/>
          <w:b/>
        </w:rPr>
        <w:t xml:space="preserve">Entries</w:t>
      </w:r>
      <w:r>
        <w:t xml:space="preserve"> </w:t>
      </w:r>
      <w:r>
        <w:t xml:space="preserve">may occasionally be found within a single segment. These</w:t>
      </w:r>
      <w:r>
        <w:t xml:space="preserve"> </w:t>
      </w:r>
      <w:r>
        <w:t xml:space="preserve">“</w:t>
      </w:r>
      <w:r>
        <w:t xml:space="preserve">single-segment, multi-entry</w:t>
      </w:r>
      <w:r>
        <w:t xml:space="preserve">”</w:t>
      </w:r>
      <w:r>
        <w:t xml:space="preserve"> </w:t>
      </w:r>
      <w:r>
        <w:t xml:space="preserve">(一段多項目,</w:t>
      </w:r>
      <w:r>
        <w:t xml:space="preserve"> </w:t>
      </w:r>
      <w:r>
        <w:rPr>
          <w:iCs/>
          <w:i/>
        </w:rPr>
        <w:t xml:space="preserve">ichidan takōmoku</w:t>
      </w:r>
      <w:r>
        <w:t xml:space="preserve">) cases account for less than 1% of the total.</w:t>
      </w:r>
    </w:p>
    <w:p>
      <w:pPr>
        <w:pStyle w:val="BodyText"/>
      </w:pPr>
      <w:r>
        <w:t xml:space="preserve">Bearing these principles and exceptions in mind, we will now explain the ID system for the</w:t>
      </w:r>
      <w:r>
        <w:t xml:space="preserve"> </w:t>
      </w:r>
      <w:r>
        <w:rPr>
          <w:iCs/>
          <w:i/>
        </w:rPr>
        <w:t xml:space="preserve">Myōgishō</w:t>
      </w:r>
      <w:r>
        <w:t xml:space="preserve">.</w:t>
      </w:r>
      <w:r>
        <w:t xml:space="preserve"> </w:t>
      </w:r>
      <w:r>
        <w:t xml:space="preserve">The complexity of the</w:t>
      </w:r>
      <w:r>
        <w:t xml:space="preserve"> </w:t>
      </w:r>
      <w:r>
        <w:rPr>
          <w:iCs/>
          <w:i/>
        </w:rPr>
        <w:t xml:space="preserve">Myōgishō</w:t>
      </w:r>
      <w:r>
        <w:t xml:space="preserve">’s ID system stems largely from this occasional practice of recording two</w:t>
      </w:r>
      <w:r>
        <w:t xml:space="preserve"> </w:t>
      </w:r>
      <w:r>
        <w:rPr>
          <w:rStyle w:val="VerbatimChar"/>
          <w:bCs/>
          <w:b/>
        </w:rPr>
        <w:t xml:space="preserve">Entries</w:t>
      </w:r>
      <w:r>
        <w:t xml:space="preserve"> </w:t>
      </w:r>
      <w:r>
        <w:t xml:space="preserve">within a single segment, a point to which users of this data should pay particular attention.</w:t>
      </w:r>
    </w:p>
    <w:bookmarkEnd w:id="165"/>
    <w:bookmarkStart w:id="174" w:name="Xb9f4795a1420a6464bbca0512596aa08c33a3cf"/>
    <w:p>
      <w:pPr>
        <w:pStyle w:val="Heading2"/>
      </w:pPr>
      <w:r>
        <w:rPr>
          <w:rStyle w:val="SectionNumber"/>
        </w:rPr>
        <w:t xml:space="preserve">16.3</w:t>
      </w:r>
      <w:r>
        <w:tab/>
      </w:r>
      <w:r>
        <w:t xml:space="preserve">ID System of the</w:t>
      </w:r>
      <w:r>
        <w:t xml:space="preserve"> </w:t>
      </w:r>
      <w:r>
        <w:rPr>
          <w:iCs/>
          <w:i/>
        </w:rPr>
        <w:t xml:space="preserve">Myōgishō</w:t>
      </w:r>
    </w:p>
    <w:bookmarkStart w:id="166" w:name="X03111156cef11e71f73afd1ed62d0b0c58e0599"/>
    <w:p>
      <w:pPr>
        <w:pStyle w:val="Heading3"/>
      </w:pPr>
      <w:r>
        <w:rPr>
          <w:rStyle w:val="SectionNumber"/>
        </w:rPr>
        <w:t xml:space="preserve">16.3.1</w:t>
      </w:r>
      <w:r>
        <w:tab/>
      </w:r>
      <w:r>
        <w:t xml:space="preserve">Types of IDs</w:t>
      </w:r>
    </w:p>
    <w:p>
      <w:pPr>
        <w:pStyle w:val="FirstParagraph"/>
      </w:pPr>
      <w:r>
        <w:t xml:space="preserve">In the</w:t>
      </w:r>
      <w:r>
        <w:t xml:space="preserve"> </w:t>
      </w:r>
      <w:r>
        <w:rPr>
          <w:iCs/>
          <w:i/>
        </w:rPr>
        <w:t xml:space="preserve">Myōgishō</w:t>
      </w:r>
      <w:r>
        <w:t xml:space="preserve"> </w:t>
      </w:r>
      <w:r>
        <w:t xml:space="preserve">data,</w:t>
      </w:r>
      <w:r>
        <w:t xml:space="preserve"> </w:t>
      </w:r>
      <w:r>
        <w:rPr>
          <w:rStyle w:val="VerbatimChar"/>
          <w:bCs/>
          <w:b/>
        </w:rPr>
        <w:t xml:space="preserve">Entries</w:t>
      </w:r>
      <w:r>
        <w:t xml:space="preserve"> </w:t>
      </w:r>
      <w:r>
        <w:t xml:space="preserve">and individual character positions within</w:t>
      </w:r>
      <w:r>
        <w:t xml:space="preserve"> </w:t>
      </w:r>
      <w:r>
        <w:rPr>
          <w:rStyle w:val="VerbatimChar"/>
          <w:bCs/>
          <w:b/>
        </w:rPr>
        <w:t xml:space="preserve">Headwords</w:t>
      </w:r>
      <w:r>
        <w:t xml:space="preserve"> </w:t>
      </w:r>
      <w:r>
        <w:t xml:space="preserve">are primarily managed by the following columns:</w:t>
      </w:r>
    </w:p>
    <w:p>
      <w:pPr>
        <w:numPr>
          <w:ilvl w:val="0"/>
          <w:numId w:val="1128"/>
        </w:numPr>
        <w:pStyle w:val="Compact"/>
      </w:pPr>
      <w:r>
        <w:rPr>
          <w:rStyle w:val="VerbatimChar"/>
          <w:bCs/>
          <w:b/>
        </w:rPr>
        <w:t xml:space="preserve">Entry</w:t>
      </w:r>
      <w:r>
        <w:t xml:space="preserve"> </w:t>
      </w:r>
      <w:r>
        <w:t xml:space="preserve">ID (</w:t>
      </w:r>
      <w:r>
        <w:rPr>
          <w:rStyle w:val="VerbatimChar"/>
        </w:rPr>
        <w:t xml:space="preserve">entry_id</w:t>
      </w:r>
      <w:r>
        <w:t xml:space="preserve"> </w:t>
      </w:r>
      <w:r>
        <w:t xml:space="preserve">- e.g., F00001) - F-format</w:t>
      </w:r>
    </w:p>
    <w:p>
      <w:pPr>
        <w:numPr>
          <w:ilvl w:val="0"/>
          <w:numId w:val="1128"/>
        </w:numPr>
        <w:pStyle w:val="Compact"/>
      </w:pPr>
      <w:r>
        <w:rPr>
          <w:rStyle w:val="VerbatimChar"/>
          <w:bCs/>
          <w:b/>
        </w:rPr>
        <w:t xml:space="preserve">Headword</w:t>
      </w:r>
      <w:r>
        <w:t xml:space="preserve"> </w:t>
      </w:r>
      <w:r>
        <w:t xml:space="preserve">Character ID (</w:t>
      </w:r>
      <w:r>
        <w:rPr>
          <w:rStyle w:val="VerbatimChar"/>
        </w:rPr>
        <w:t xml:space="preserve">hanzi_id</w:t>
      </w:r>
      <w:r>
        <w:t xml:space="preserve"> </w:t>
      </w:r>
      <w:r>
        <w:t xml:space="preserve">- e.g., S00001) - S-format</w:t>
      </w:r>
    </w:p>
    <w:p>
      <w:pPr>
        <w:numPr>
          <w:ilvl w:val="0"/>
          <w:numId w:val="1128"/>
        </w:numPr>
        <w:pStyle w:val="Compact"/>
      </w:pPr>
      <w:r>
        <w:t xml:space="preserve">Kazama Edition Location (</w:t>
      </w:r>
      <w:r>
        <w:rPr>
          <w:rStyle w:val="VerbatimChar"/>
        </w:rPr>
        <w:t xml:space="preserve">kazama_location</w:t>
      </w:r>
      <w:r>
        <w:t xml:space="preserve"> </w:t>
      </w:r>
      <w:r>
        <w:t xml:space="preserve">- e.g., K0100131) - K-format</w:t>
      </w:r>
    </w:p>
    <w:p>
      <w:pPr>
        <w:numPr>
          <w:ilvl w:val="0"/>
          <w:numId w:val="1128"/>
        </w:numPr>
        <w:pStyle w:val="Compact"/>
      </w:pPr>
      <w:r>
        <w:t xml:space="preserve">Tenri Edition Location (</w:t>
      </w:r>
      <w:r>
        <w:rPr>
          <w:rStyle w:val="VerbatimChar"/>
        </w:rPr>
        <w:t xml:space="preserve">tenri_location</w:t>
      </w:r>
      <w:r>
        <w:t xml:space="preserve"> </w:t>
      </w:r>
      <w:r>
        <w:t xml:space="preserve">- e.g., Ta023310) - T-format</w:t>
      </w:r>
    </w:p>
    <w:bookmarkEnd w:id="166"/>
    <w:bookmarkStart w:id="167" w:name="Xb8485107b346e3ef5f4f8c5df7f219c2498b670"/>
    <w:p>
      <w:pPr>
        <w:pStyle w:val="Heading3"/>
      </w:pPr>
      <w:r>
        <w:rPr>
          <w:rStyle w:val="SectionNumber"/>
        </w:rPr>
        <w:t xml:space="preserve">16.3.2</w:t>
      </w:r>
      <w:r>
        <w:tab/>
      </w:r>
      <w:r>
        <w:t xml:space="preserve">Relationship Between Columns</w:t>
      </w:r>
    </w:p>
    <w:p>
      <w:pPr>
        <w:pStyle w:val="FirstParagraph"/>
      </w:pPr>
      <w:r>
        <w:t xml:space="preserve">The</w:t>
      </w:r>
      <w:r>
        <w:t xml:space="preserve"> </w:t>
      </w:r>
      <w:r>
        <w:rPr>
          <w:rStyle w:val="VerbatimChar"/>
          <w:bCs/>
          <w:b/>
        </w:rPr>
        <w:t xml:space="preserve">Entry</w:t>
      </w:r>
      <w:r>
        <w:t xml:space="preserve"> </w:t>
      </w:r>
      <w:r>
        <w:t xml:space="preserve">ID (</w:t>
      </w:r>
      <w:r>
        <w:rPr>
          <w:rStyle w:val="VerbatimChar"/>
        </w:rPr>
        <w:t xml:space="preserve">entry_id</w:t>
      </w:r>
      <w:r>
        <w:t xml:space="preserve">) identifies one or more</w:t>
      </w:r>
      <w:r>
        <w:t xml:space="preserve"> </w:t>
      </w:r>
      <w:r>
        <w:rPr>
          <w:rStyle w:val="VerbatimChar"/>
          <w:bCs/>
          <w:b/>
        </w:rPr>
        <w:t xml:space="preserve">Headword</w:t>
      </w:r>
      <w:r>
        <w:t xml:space="preserve"> </w:t>
      </w:r>
      <w:r>
        <w:t xml:space="preserve">Character IDs (</w:t>
      </w:r>
      <w:r>
        <w:rPr>
          <w:rStyle w:val="VerbatimChar"/>
        </w:rPr>
        <w:t xml:space="preserve">hanzi_id</w:t>
      </w:r>
      <w:r>
        <w:t xml:space="preserve">) that constitute the</w:t>
      </w:r>
      <w:r>
        <w:t xml:space="preserve"> </w:t>
      </w:r>
      <w:r>
        <w:rPr>
          <w:rStyle w:val="VerbatimChar"/>
          <w:bCs/>
          <w:b/>
        </w:rPr>
        <w:t xml:space="preserve">Headword</w:t>
      </w:r>
      <w:r>
        <w:t xml:space="preserve"> </w:t>
      </w:r>
      <w:r>
        <w:t xml:space="preserve">of that</w:t>
      </w:r>
      <w:r>
        <w:t xml:space="preserve"> </w:t>
      </w:r>
      <w:r>
        <w:rPr>
          <w:rStyle w:val="VerbatimChar"/>
          <w:bCs/>
          <w:b/>
        </w:rPr>
        <w:t xml:space="preserve">Entry</w:t>
      </w:r>
      <w:r>
        <w:t xml:space="preserve">.</w:t>
      </w:r>
    </w:p>
    <w:p>
      <w:pPr>
        <w:pStyle w:val="BodyText"/>
      </w:pPr>
      <w:r>
        <w:t xml:space="preserve">The</w:t>
      </w:r>
      <w:r>
        <w:t xml:space="preserve"> </w:t>
      </w:r>
      <w:r>
        <w:rPr>
          <w:rStyle w:val="VerbatimChar"/>
          <w:bCs/>
          <w:b/>
        </w:rPr>
        <w:t xml:space="preserve">Headword</w:t>
      </w:r>
      <w:r>
        <w:t xml:space="preserve"> </w:t>
      </w:r>
      <w:r>
        <w:t xml:space="preserve">Character ID (</w:t>
      </w:r>
      <w:r>
        <w:rPr>
          <w:rStyle w:val="VerbatimChar"/>
        </w:rPr>
        <w:t xml:space="preserve">hanzi_id</w:t>
      </w:r>
      <w:r>
        <w:t xml:space="preserve">) is the primary key that uniquely identifies each individual character position within the data structure (particularly in files like</w:t>
      </w:r>
      <w:r>
        <w:t xml:space="preserve"> </w:t>
      </w:r>
      <w:r>
        <w:rPr>
          <w:rStyle w:val="VerbatimChar"/>
        </w:rPr>
        <w:t xml:space="preserve">krm_headword_chars</w:t>
      </w:r>
      <w:r>
        <w:t xml:space="preserve">).</w:t>
      </w:r>
    </w:p>
    <w:p>
      <w:pPr>
        <w:pStyle w:val="BodyText"/>
      </w:pPr>
      <w:r>
        <w:t xml:space="preserve">Each</w:t>
      </w:r>
      <w:r>
        <w:t xml:space="preserve"> </w:t>
      </w:r>
      <w:r>
        <w:rPr>
          <w:rStyle w:val="VerbatimChar"/>
          <w:bCs/>
          <w:b/>
        </w:rPr>
        <w:t xml:space="preserve">Headword</w:t>
      </w:r>
      <w:r>
        <w:t xml:space="preserve"> </w:t>
      </w:r>
      <w:r>
        <w:t xml:space="preserve">Character ID (</w:t>
      </w:r>
      <w:r>
        <w:rPr>
          <w:rStyle w:val="VerbatimChar"/>
        </w:rPr>
        <w:t xml:space="preserve">hanzi_id</w:t>
      </w:r>
      <w:r>
        <w:t xml:space="preserve">) is linked to corresponding location IDs (for the Kazama and Tenri editions).</w:t>
      </w:r>
    </w:p>
    <w:p>
      <w:pPr>
        <w:pStyle w:val="BodyText"/>
      </w:pPr>
      <w:r>
        <w:t xml:space="preserve">The establishment of these four types of IDs accommodates the diversity of</w:t>
      </w:r>
      <w:r>
        <w:t xml:space="preserve"> </w:t>
      </w:r>
      <w:r>
        <w:rPr>
          <w:rStyle w:val="VerbatimChar"/>
          <w:bCs/>
          <w:b/>
        </w:rPr>
        <w:t xml:space="preserve">Entries</w:t>
      </w:r>
      <w:r>
        <w:t xml:space="preserve"> </w:t>
      </w:r>
      <w:r>
        <w:t xml:space="preserve">in the</w:t>
      </w:r>
      <w:r>
        <w:t xml:space="preserve"> </w:t>
      </w:r>
      <w:r>
        <w:rPr>
          <w:iCs/>
          <w:i/>
        </w:rPr>
        <w:t xml:space="preserve">Myōgishō</w:t>
      </w:r>
      <w:r>
        <w:t xml:space="preserve"> </w:t>
      </w:r>
      <w:r>
        <w:t xml:space="preserve">and facilitates the use of multiple facsimile editions. For this reason, explanations of the F-format, S-format, K-format, and T-format IDs are provided repeatedly as needed, even if it involves some redundancy.</w:t>
      </w:r>
    </w:p>
    <w:bookmarkEnd w:id="167"/>
    <w:bookmarkStart w:id="173" w:name="X7a53740917aacf0f20e9c7b38cb97fc818fbc2d"/>
    <w:p>
      <w:pPr>
        <w:pStyle w:val="Heading3"/>
      </w:pPr>
      <w:r>
        <w:rPr>
          <w:rStyle w:val="SectionNumber"/>
        </w:rPr>
        <w:t xml:space="preserve">16.3.3</w:t>
      </w:r>
      <w:r>
        <w:tab/>
      </w:r>
      <w:r>
        <w:t xml:space="preserve">Detailed Format of Primary IDs</w:t>
      </w:r>
    </w:p>
    <w:bookmarkStart w:id="168" w:name="Xaf279e0146b6b5f511d848d7108cc73fad3d5db"/>
    <w:p>
      <w:pPr>
        <w:pStyle w:val="Heading4"/>
      </w:pPr>
      <w:r>
        <w:rPr>
          <w:rStyle w:val="SectionNumber"/>
        </w:rPr>
        <w:t xml:space="preserve">16.3.3.1</w:t>
      </w:r>
      <w:r>
        <w:tab/>
      </w:r>
      <w:r>
        <w:rPr>
          <w:rStyle w:val="VerbatimChar"/>
          <w:bCs/>
          <w:b/>
        </w:rPr>
        <w:t xml:space="preserve">Entry</w:t>
      </w:r>
      <w:r>
        <w:t xml:space="preserve"> </w:t>
      </w:r>
      <w:r>
        <w:t xml:space="preserve">ID (</w:t>
      </w:r>
      <w:r>
        <w:rPr>
          <w:rStyle w:val="VerbatimChar"/>
        </w:rPr>
        <w:t xml:space="preserve">entry_id</w:t>
      </w:r>
      <w:r>
        <w:t xml:space="preserve"> </w:t>
      </w:r>
      <w:r>
        <w:t xml:space="preserve">/ F-format)</w:t>
      </w:r>
    </w:p>
    <w:p>
      <w:pPr>
        <w:pStyle w:val="FirstParagraph"/>
      </w:pPr>
      <w:r>
        <w:rPr>
          <w:bCs/>
          <w:b/>
        </w:rPr>
        <w:t xml:space="preserve">Format:</w:t>
      </w:r>
      <w:r>
        <w:t xml:space="preserve"> </w:t>
      </w:r>
      <w:r>
        <w:t xml:space="preserve">The</w:t>
      </w:r>
      <w:r>
        <w:t xml:space="preserve"> </w:t>
      </w:r>
      <w:r>
        <w:rPr>
          <w:rStyle w:val="VerbatimChar"/>
          <w:bCs/>
          <w:b/>
        </w:rPr>
        <w:t xml:space="preserve">Entry</w:t>
      </w:r>
      <w:r>
        <w:t xml:space="preserve"> </w:t>
      </w:r>
      <w:r>
        <w:t xml:space="preserve">ID (</w:t>
      </w:r>
      <w:r>
        <w:rPr>
          <w:rStyle w:val="VerbatimChar"/>
        </w:rPr>
        <w:t xml:space="preserve">entry_id</w:t>
      </w:r>
      <w:r>
        <w:t xml:space="preserve">) is a 5-digit number prefixed with</w:t>
      </w:r>
      <w:r>
        <w:t xml:space="preserve"> </w:t>
      </w:r>
      <w:r>
        <w:t xml:space="preserve">‘</w:t>
      </w:r>
      <w:r>
        <w:t xml:space="preserve">F</w:t>
      </w:r>
      <w:r>
        <w:t xml:space="preserve">’</w:t>
      </w:r>
      <w:r>
        <w:t xml:space="preserve">, forming a sequential series from F00001 to F32604.</w:t>
      </w:r>
      <w:r>
        <w:t xml:space="preserve"> </w:t>
      </w:r>
      <w:r>
        <w:t xml:space="preserve">For some additionally inserted</w:t>
      </w:r>
      <w:r>
        <w:t xml:space="preserve"> </w:t>
      </w:r>
      <w:r>
        <w:rPr>
          <w:rStyle w:val="VerbatimChar"/>
          <w:bCs/>
          <w:b/>
        </w:rPr>
        <w:t xml:space="preserve">Entries</w:t>
      </w:r>
      <w:r>
        <w:t xml:space="preserve">, a</w:t>
      </w:r>
      <w:r>
        <w:t xml:space="preserve"> </w:t>
      </w:r>
      <w:r>
        <w:t xml:space="preserve">‘</w:t>
      </w:r>
      <w:r>
        <w:t xml:space="preserve">b</w:t>
      </w:r>
      <w:r>
        <w:t xml:space="preserve">’</w:t>
      </w:r>
      <w:r>
        <w:t xml:space="preserve"> </w:t>
      </w:r>
      <w:r>
        <w:t xml:space="preserve">suffix is appended to the numeric part of the ID.</w:t>
      </w:r>
      <w:r>
        <w:t xml:space="preserve"> </w:t>
      </w:r>
      <w:r>
        <w:t xml:space="preserve">It should be noted that while a</w:t>
      </w:r>
      <w:r>
        <w:t xml:space="preserve"> </w:t>
      </w:r>
      <w:r>
        <w:t xml:space="preserve">‘</w:t>
      </w:r>
      <w:r>
        <w:t xml:space="preserve">b</w:t>
      </w:r>
      <w:r>
        <w:t xml:space="preserve">’</w:t>
      </w:r>
      <w:r>
        <w:t xml:space="preserve"> </w:t>
      </w:r>
      <w:r>
        <w:t xml:space="preserve">suffix may also be appended to the</w:t>
      </w:r>
      <w:r>
        <w:t xml:space="preserve"> </w:t>
      </w:r>
      <w:r>
        <w:rPr>
          <w:rStyle w:val="VerbatimChar"/>
          <w:bCs/>
          <w:b/>
        </w:rPr>
        <w:t xml:space="preserve">Headword</w:t>
      </w:r>
      <w:r>
        <w:t xml:space="preserve"> </w:t>
      </w:r>
      <w:r>
        <w:t xml:space="preserve">Character ID (</w:t>
      </w:r>
      <w:r>
        <w:rPr>
          <w:rStyle w:val="VerbatimChar"/>
        </w:rPr>
        <w:t xml:space="preserve">hanzi_id</w:t>
      </w:r>
      <w:r>
        <w:t xml:space="preserve"> </w:t>
      </w:r>
      <w:r>
        <w:t xml:space="preserve">described below), the</w:t>
      </w:r>
      <w:r>
        <w:t xml:space="preserve"> </w:t>
      </w:r>
      <w:r>
        <w:t xml:space="preserve">‘</w:t>
      </w:r>
      <w:r>
        <w:t xml:space="preserve">b</w:t>
      </w:r>
      <w:r>
        <w:t xml:space="preserve">’</w:t>
      </w:r>
      <w:r>
        <w:t xml:space="preserve"> </w:t>
      </w:r>
      <w:r>
        <w:t xml:space="preserve">suffix for an</w:t>
      </w:r>
      <w:r>
        <w:t xml:space="preserve"> </w:t>
      </w:r>
      <w:r>
        <w:rPr>
          <w:rStyle w:val="VerbatimChar"/>
        </w:rPr>
        <w:t xml:space="preserve">entry_id</w:t>
      </w:r>
      <w:r>
        <w:t xml:space="preserve"> </w:t>
      </w:r>
      <w:r>
        <w:t xml:space="preserve">is assigned independently of any</w:t>
      </w:r>
      <w:r>
        <w:t xml:space="preserve"> </w:t>
      </w:r>
      <w:r>
        <w:t xml:space="preserve">‘</w:t>
      </w:r>
      <w:r>
        <w:t xml:space="preserve">b</w:t>
      </w:r>
      <w:r>
        <w:t xml:space="preserve">’</w:t>
      </w:r>
      <w:r>
        <w:t xml:space="preserve"> </w:t>
      </w:r>
      <w:r>
        <w:t xml:space="preserve">suffix on a</w:t>
      </w:r>
      <w:r>
        <w:t xml:space="preserve"> </w:t>
      </w:r>
      <w:r>
        <w:rPr>
          <w:rStyle w:val="VerbatimChar"/>
        </w:rPr>
        <w:t xml:space="preserve">hanzi_id</w:t>
      </w:r>
      <w:r>
        <w:t xml:space="preserve">.</w:t>
      </w:r>
    </w:p>
    <w:p>
      <w:pPr>
        <w:pStyle w:val="BodyText"/>
      </w:pPr>
      <w:r>
        <w:rPr>
          <w:bCs/>
          <w:b/>
        </w:rPr>
        <w:t xml:space="preserve">Purpose:</w:t>
      </w:r>
      <w:r>
        <w:t xml:space="preserve"> </w:t>
      </w:r>
      <w:r>
        <w:t xml:space="preserve">To uniquely identify each</w:t>
      </w:r>
      <w:r>
        <w:t xml:space="preserve"> </w:t>
      </w:r>
      <w:r>
        <w:rPr>
          <w:rStyle w:val="VerbatimChar"/>
          <w:bCs/>
          <w:b/>
        </w:rPr>
        <w:t xml:space="preserve">Entry</w:t>
      </w:r>
      <w:r>
        <w:t xml:space="preserve"> </w:t>
      </w:r>
      <w:r>
        <w:t xml:space="preserve">in the</w:t>
      </w:r>
      <w:r>
        <w:t xml:space="preserve"> </w:t>
      </w:r>
      <w:r>
        <w:rPr>
          <w:iCs/>
          <w:i/>
        </w:rPr>
        <w:t xml:space="preserve">Myōgishō</w:t>
      </w:r>
      <w:r>
        <w:t xml:space="preserve">.</w:t>
      </w:r>
    </w:p>
    <w:bookmarkEnd w:id="168"/>
    <w:bookmarkStart w:id="170" w:name="X7150e169843ef08118db1cbabc37f8b2e5aa3c9"/>
    <w:p>
      <w:pPr>
        <w:pStyle w:val="Heading4"/>
      </w:pPr>
      <w:r>
        <w:rPr>
          <w:rStyle w:val="SectionNumber"/>
        </w:rPr>
        <w:t xml:space="preserve">16.3.3.2</w:t>
      </w:r>
      <w:r>
        <w:tab/>
      </w:r>
      <w:r>
        <w:rPr>
          <w:rStyle w:val="VerbatimChar"/>
          <w:bCs/>
          <w:b/>
        </w:rPr>
        <w:t xml:space="preserve">Headword</w:t>
      </w:r>
      <w:r>
        <w:t xml:space="preserve"> </w:t>
      </w:r>
      <w:r>
        <w:t xml:space="preserve">Character ID (</w:t>
      </w:r>
      <w:r>
        <w:rPr>
          <w:rStyle w:val="VerbatimChar"/>
        </w:rPr>
        <w:t xml:space="preserve">hanzi_id</w:t>
      </w:r>
      <w:r>
        <w:t xml:space="preserve"> </w:t>
      </w:r>
      <w:r>
        <w:t xml:space="preserve">/ S-format)</w:t>
      </w:r>
    </w:p>
    <w:p>
      <w:pPr>
        <w:pStyle w:val="FirstParagraph"/>
      </w:pPr>
      <w:r>
        <w:rPr>
          <w:bCs/>
          <w:b/>
        </w:rPr>
        <w:t xml:space="preserve">Format:</w:t>
      </w:r>
      <w:r>
        <w:t xml:space="preserve"> </w:t>
      </w:r>
      <w:r>
        <w:t xml:space="preserve">The</w:t>
      </w:r>
      <w:r>
        <w:t xml:space="preserve"> </w:t>
      </w:r>
      <w:r>
        <w:rPr>
          <w:rStyle w:val="VerbatimChar"/>
          <w:bCs/>
          <w:b/>
        </w:rPr>
        <w:t xml:space="preserve">Headword</w:t>
      </w:r>
      <w:r>
        <w:t xml:space="preserve"> </w:t>
      </w:r>
      <w:r>
        <w:t xml:space="preserve">Character ID (</w:t>
      </w:r>
      <w:r>
        <w:rPr>
          <w:rStyle w:val="VerbatimChar"/>
        </w:rPr>
        <w:t xml:space="preserve">hanzi_id</w:t>
      </w:r>
      <w:r>
        <w:t xml:space="preserve">) is a 5-digit number prefixed with</w:t>
      </w:r>
      <w:r>
        <w:t xml:space="preserve"> </w:t>
      </w:r>
      <w:r>
        <w:t xml:space="preserve">‘</w:t>
      </w:r>
      <w:r>
        <w:t xml:space="preserve">S</w:t>
      </w:r>
      <w:r>
        <w:t xml:space="preserve">’</w:t>
      </w:r>
      <w:r>
        <w:t xml:space="preserve">, forming a sequential series from S00001 to S42328. This is the S-format.</w:t>
      </w:r>
      <w:r>
        <w:t xml:space="preserve"> </w:t>
      </w:r>
      <w:r>
        <w:t xml:space="preserve">For some additionally inserted</w:t>
      </w:r>
      <w:r>
        <w:t xml:space="preserve"> </w:t>
      </w:r>
      <w:r>
        <w:rPr>
          <w:rStyle w:val="VerbatimChar"/>
          <w:bCs/>
          <w:b/>
        </w:rPr>
        <w:t xml:space="preserve">Headword</w:t>
      </w:r>
      <w:r>
        <w:t xml:space="preserve"> </w:t>
      </w:r>
      <w:r>
        <w:t xml:space="preserve">characters, a</w:t>
      </w:r>
      <w:r>
        <w:t xml:space="preserve"> </w:t>
      </w:r>
      <w:r>
        <w:t xml:space="preserve">‘</w:t>
      </w:r>
      <w:r>
        <w:t xml:space="preserve">b</w:t>
      </w:r>
      <w:r>
        <w:t xml:space="preserve">’</w:t>
      </w:r>
      <w:r>
        <w:t xml:space="preserve"> </w:t>
      </w:r>
      <w:r>
        <w:t xml:space="preserve">suffix is appended to the numeric part of the ID.</w:t>
      </w:r>
      <w:r>
        <w:t xml:space="preserve"> </w:t>
      </w:r>
      <w:r>
        <w:t xml:space="preserve">It should be noted that while a</w:t>
      </w:r>
      <w:r>
        <w:t xml:space="preserve"> </w:t>
      </w:r>
      <w:r>
        <w:t xml:space="preserve">‘</w:t>
      </w:r>
      <w:r>
        <w:t xml:space="preserve">b</w:t>
      </w:r>
      <w:r>
        <w:t xml:space="preserve">’</w:t>
      </w:r>
      <w:r>
        <w:t xml:space="preserve"> </w:t>
      </w:r>
      <w:r>
        <w:t xml:space="preserve">suffix may also be appended to the</w:t>
      </w:r>
      <w:r>
        <w:t xml:space="preserve"> </w:t>
      </w:r>
      <w:r>
        <w:rPr>
          <w:rStyle w:val="VerbatimChar"/>
          <w:bCs/>
          <w:b/>
        </w:rPr>
        <w:t xml:space="preserve">Entry</w:t>
      </w:r>
      <w:r>
        <w:t xml:space="preserve"> </w:t>
      </w:r>
      <w:r>
        <w:t xml:space="preserve">ID (</w:t>
      </w:r>
      <w:r>
        <w:rPr>
          <w:rStyle w:val="VerbatimChar"/>
        </w:rPr>
        <w:t xml:space="preserve">entry_id</w:t>
      </w:r>
      <w:r>
        <w:t xml:space="preserve"> </w:t>
      </w:r>
      <w:r>
        <w:t xml:space="preserve">mentioned above), the</w:t>
      </w:r>
      <w:r>
        <w:t xml:space="preserve"> </w:t>
      </w:r>
      <w:r>
        <w:t xml:space="preserve">‘</w:t>
      </w:r>
      <w:r>
        <w:t xml:space="preserve">b</w:t>
      </w:r>
      <w:r>
        <w:t xml:space="preserve">’</w:t>
      </w:r>
      <w:r>
        <w:t xml:space="preserve"> </w:t>
      </w:r>
      <w:r>
        <w:t xml:space="preserve">suffix for a</w:t>
      </w:r>
      <w:r>
        <w:t xml:space="preserve"> </w:t>
      </w:r>
      <w:r>
        <w:rPr>
          <w:rStyle w:val="VerbatimChar"/>
        </w:rPr>
        <w:t xml:space="preserve">hanzi_id</w:t>
      </w:r>
      <w:r>
        <w:t xml:space="preserve"> </w:t>
      </w:r>
      <w:r>
        <w:t xml:space="preserve">is assigned independently of any</w:t>
      </w:r>
      <w:r>
        <w:t xml:space="preserve"> </w:t>
      </w:r>
      <w:r>
        <w:t xml:space="preserve">‘</w:t>
      </w:r>
      <w:r>
        <w:t xml:space="preserve">b</w:t>
      </w:r>
      <w:r>
        <w:t xml:space="preserve">’</w:t>
      </w:r>
      <w:r>
        <w:t xml:space="preserve"> </w:t>
      </w:r>
      <w:r>
        <w:t xml:space="preserve">suffix on an</w:t>
      </w:r>
      <w:r>
        <w:t xml:space="preserve"> </w:t>
      </w:r>
      <w:r>
        <w:rPr>
          <w:rStyle w:val="VerbatimChar"/>
        </w:rPr>
        <w:t xml:space="preserve">entry_id</w:t>
      </w:r>
      <w:r>
        <w:t xml:space="preserve">.</w:t>
      </w:r>
    </w:p>
    <w:p>
      <w:pPr>
        <w:pStyle w:val="BodyText"/>
      </w:pPr>
      <w:r>
        <w:rPr>
          <w:bCs/>
          <w:b/>
        </w:rPr>
        <w:t xml:space="preserve">Purpose:</w:t>
      </w:r>
      <w:r>
        <w:t xml:space="preserve"> </w:t>
      </w:r>
      <w:r>
        <w:t xml:space="preserve">To serve as the primary key that uniquely identifies each individual</w:t>
      </w:r>
      <w:r>
        <w:t xml:space="preserve"> </w:t>
      </w:r>
      <w:r>
        <w:rPr>
          <w:rStyle w:val="VerbatimChar"/>
          <w:bCs/>
          <w:b/>
        </w:rPr>
        <w:t xml:space="preserve">Headword</w:t>
      </w:r>
      <w:r>
        <w:t xml:space="preserve"> </w:t>
      </w:r>
      <w:r>
        <w:t xml:space="preserve">character (i.e., each character position) within the dataset.</w:t>
      </w:r>
    </w:p>
    <w:p>
      <w:pPr>
        <w:pStyle w:val="BodyText"/>
      </w:pPr>
      <w:r>
        <w:rPr>
          <w:bCs/>
          <w:b/>
        </w:rPr>
        <w:t xml:space="preserve">Supplement:</w:t>
      </w:r>
      <w:r>
        <w:t xml:space="preserve"> </w:t>
      </w:r>
      <w:r>
        <w:t xml:space="preserve">A separate data file lists all</w:t>
      </w:r>
      <w:r>
        <w:t xml:space="preserve"> </w:t>
      </w:r>
      <w:r>
        <w:rPr>
          <w:rStyle w:val="VerbatimChar"/>
          <w:bCs/>
          <w:b/>
        </w:rPr>
        <w:t xml:space="preserve">Headword</w:t>
      </w:r>
      <w:r>
        <w:t xml:space="preserve"> </w:t>
      </w:r>
      <w:r>
        <w:t xml:space="preserve">Character IDs (</w:t>
      </w:r>
      <w:r>
        <w:rPr>
          <w:rStyle w:val="VerbatimChar"/>
        </w:rPr>
        <w:t xml:space="preserve">hanzi_id</w:t>
      </w:r>
      <w:r>
        <w:t xml:space="preserve">), including those for the second and subsequent characters in multi-character</w:t>
      </w:r>
      <w:r>
        <w:t xml:space="preserve"> </w:t>
      </w:r>
      <w:r>
        <w:rPr>
          <w:rStyle w:val="VerbatimChar"/>
          <w:bCs/>
          <w:b/>
        </w:rPr>
        <w:t xml:space="preserve">Headwords</w:t>
      </w:r>
      <w:r>
        <w:t xml:space="preserve">. This file is</w:t>
      </w:r>
      <w:r>
        <w:t xml:space="preserve"> </w:t>
      </w:r>
      <w:hyperlink r:id="rId169">
        <w:r>
          <w:rPr>
            <w:rStyle w:val="VerbatimChar"/>
          </w:rPr>
          <w:t xml:space="preserve">krm_headword_chars</w:t>
        </w:r>
      </w:hyperlink>
      <w:r>
        <w:t xml:space="preserve">, the details of which are described elsewhere.</w:t>
      </w:r>
    </w:p>
    <w:bookmarkEnd w:id="170"/>
    <w:bookmarkStart w:id="171" w:name="Xb53160149be202740daff0b94795afb9c9d0a6f"/>
    <w:p>
      <w:pPr>
        <w:pStyle w:val="Heading4"/>
      </w:pPr>
      <w:r>
        <w:rPr>
          <w:rStyle w:val="SectionNumber"/>
        </w:rPr>
        <w:t xml:space="preserve">16.3.3.3</w:t>
      </w:r>
      <w:r>
        <w:tab/>
      </w:r>
      <w:r>
        <w:t xml:space="preserve">Kazama Edition Location (</w:t>
      </w:r>
      <w:r>
        <w:rPr>
          <w:rStyle w:val="VerbatimChar"/>
        </w:rPr>
        <w:t xml:space="preserve">kazama_location</w:t>
      </w:r>
      <w:r>
        <w:t xml:space="preserve"> </w:t>
      </w:r>
      <w:r>
        <w:t xml:space="preserve">/ K-format)</w:t>
      </w:r>
    </w:p>
    <w:p>
      <w:pPr>
        <w:pStyle w:val="FirstParagraph"/>
      </w:pPr>
      <w:r>
        <w:rPr>
          <w:bCs/>
          <w:b/>
        </w:rPr>
        <w:t xml:space="preserve">Format:</w:t>
      </w:r>
      <w:r>
        <w:t xml:space="preserve"> </w:t>
      </w:r>
      <w:r>
        <w:t xml:space="preserve">K + Volume (2 digits) + Kazama Edition Page number (3 digits) + Line number (1 digit) + Segment number (1 digit) + Character Order (1 digit).</w:t>
      </w:r>
      <w:r>
        <w:t xml:space="preserve"> </w:t>
      </w:r>
      <w:r>
        <w:t xml:space="preserve">This is the K-format.</w:t>
      </w:r>
    </w:p>
    <w:p>
      <w:pPr>
        <w:pStyle w:val="BodyText"/>
      </w:pPr>
      <w:r>
        <w:rPr>
          <w:bCs/>
          <w:b/>
        </w:rPr>
        <w:t xml:space="preserve">Character Order (1 digit):</w:t>
      </w:r>
      <w:r>
        <w:t xml:space="preserve"> </w:t>
      </w:r>
      <w:r>
        <w:t xml:space="preserve">This digit is a number assigned based on the type of</w:t>
      </w:r>
      <w:r>
        <w:t xml:space="preserve"> </w:t>
      </w:r>
      <w:r>
        <w:rPr>
          <w:rStyle w:val="VerbatimChar"/>
          <w:bCs/>
          <w:b/>
        </w:rPr>
        <w:t xml:space="preserve">Entry</w:t>
      </w:r>
      <w:r>
        <w:t xml:space="preserve"> </w:t>
      </w:r>
      <w:r>
        <w:t xml:space="preserve">(single-character or multi-character) and its order of appearance within that segment.</w:t>
      </w:r>
      <w:r>
        <w:t xml:space="preserve"> </w:t>
      </w:r>
      <w:r>
        <w:t xml:space="preserve">While the</w:t>
      </w:r>
      <w:r>
        <w:t xml:space="preserve"> </w:t>
      </w:r>
      <w:r>
        <w:t xml:space="preserve">“</w:t>
      </w:r>
      <w:r>
        <w:t xml:space="preserve">Character Order</w:t>
      </w:r>
      <w:r>
        <w:t xml:space="preserve">”</w:t>
      </w:r>
      <w:r>
        <w:t xml:space="preserve"> </w:t>
      </w:r>
      <w:r>
        <w:t xml:space="preserve">is fundamentally a criterion based on individual character positions, it is used here to indicate the location of an</w:t>
      </w:r>
      <w:r>
        <w:t xml:space="preserve"> </w:t>
      </w:r>
      <w:r>
        <w:rPr>
          <w:rStyle w:val="VerbatimChar"/>
          <w:bCs/>
          <w:b/>
        </w:rPr>
        <w:t xml:space="preserve">Entry</w:t>
      </w:r>
      <w:r>
        <w:t xml:space="preserve"> </w:t>
      </w:r>
      <w:r>
        <w:t xml:space="preserve">by referencing the position of the</w:t>
      </w:r>
      <w:r>
        <w:t xml:space="preserve"> </w:t>
      </w:r>
      <w:r>
        <w:rPr>
          <w:bCs/>
          <w:b/>
        </w:rPr>
        <w:t xml:space="preserve">first character</w:t>
      </w:r>
      <w:r>
        <w:t xml:space="preserve"> </w:t>
      </w:r>
      <w:r>
        <w:t xml:space="preserve">of that</w:t>
      </w:r>
      <w:r>
        <w:t xml:space="preserve"> </w:t>
      </w:r>
      <w:r>
        <w:rPr>
          <w:rStyle w:val="VerbatimChar"/>
          <w:bCs/>
          <w:b/>
        </w:rPr>
        <w:t xml:space="preserve">Entry</w:t>
      </w:r>
      <w:r>
        <w:t xml:space="preserve"> </w:t>
      </w:r>
      <w:r>
        <w:t xml:space="preserve">within the segment.</w:t>
      </w:r>
    </w:p>
    <w:p>
      <w:pPr>
        <w:pStyle w:val="BodyText"/>
      </w:pPr>
      <w:r>
        <w:t xml:space="preserve">The use of a character-position-based criterion for this</w:t>
      </w:r>
      <w:r>
        <w:t xml:space="preserve"> </w:t>
      </w:r>
      <w:r>
        <w:t xml:space="preserve">“</w:t>
      </w:r>
      <w:r>
        <w:t xml:space="preserve">Character Order</w:t>
      </w:r>
      <w:r>
        <w:t xml:space="preserve">”</w:t>
      </w:r>
      <w:r>
        <w:t xml:space="preserve"> </w:t>
      </w:r>
      <w:r>
        <w:t xml:space="preserve">digit is specifically to address the exceptional cases where two or more</w:t>
      </w:r>
      <w:r>
        <w:t xml:space="preserve"> </w:t>
      </w:r>
      <w:r>
        <w:rPr>
          <w:rStyle w:val="VerbatimChar"/>
          <w:bCs/>
          <w:b/>
        </w:rPr>
        <w:t xml:space="preserve">Entries</w:t>
      </w:r>
      <w:r>
        <w:t xml:space="preserve"> </w:t>
      </w:r>
      <w:r>
        <w:t xml:space="preserve">are recorded within a single segment (which can also be thought of as a single cell or block in the layout).</w:t>
      </w:r>
    </w:p>
    <w:p>
      <w:pPr>
        <w:pStyle w:val="BodyText"/>
      </w:pPr>
      <w:r>
        <w:t xml:space="preserve">To apply this character-position-based criterion representatively for the</w:t>
      </w:r>
      <w:r>
        <w:t xml:space="preserve"> </w:t>
      </w:r>
      <w:r>
        <w:t xml:space="preserve">“</w:t>
      </w:r>
      <w:r>
        <w:t xml:space="preserve">Character Order,</w:t>
      </w:r>
      <w:r>
        <w:t xml:space="preserve">”</w:t>
      </w:r>
      <w:r>
        <w:t xml:space="preserve"> </w:t>
      </w:r>
      <w:r>
        <w:t xml:space="preserve">the following rules for determining this digit have been established:</w:t>
      </w:r>
    </w:p>
    <w:p>
      <w:pPr>
        <w:numPr>
          <w:ilvl w:val="0"/>
          <w:numId w:val="1129"/>
        </w:numPr>
        <w:pStyle w:val="Compact"/>
      </w:pPr>
      <w:r>
        <w:rPr>
          <w:bCs/>
          <w:b/>
        </w:rPr>
        <w:t xml:space="preserve">Case 1: If there is only one</w:t>
      </w:r>
      <w:r>
        <w:rPr>
          <w:bCs/>
          <w:b/>
        </w:rPr>
        <w:t xml:space="preserve"> </w:t>
      </w:r>
      <w:r>
        <w:rPr>
          <w:rStyle w:val="VerbatimChar"/>
          <w:bCs/>
          <w:b/>
        </w:rPr>
        <w:t xml:space="preserve">Entry</w:t>
      </w:r>
      <w:r>
        <w:rPr>
          <w:bCs/>
          <w:b/>
        </w:rPr>
        <w:t xml:space="preserve"> </w:t>
      </w:r>
      <w:r>
        <w:rPr>
          <w:bCs/>
          <w:b/>
        </w:rPr>
        <w:t xml:space="preserve">in the segment</w:t>
      </w:r>
    </w:p>
    <w:p>
      <w:pPr>
        <w:numPr>
          <w:ilvl w:val="1"/>
          <w:numId w:val="1130"/>
        </w:numPr>
        <w:pStyle w:val="Compact"/>
      </w:pPr>
      <w:r>
        <w:t xml:space="preserve">If the</w:t>
      </w:r>
      <w:r>
        <w:t xml:space="preserve"> </w:t>
      </w:r>
      <w:r>
        <w:rPr>
          <w:rStyle w:val="VerbatimChar"/>
          <w:bCs/>
          <w:b/>
        </w:rPr>
        <w:t xml:space="preserve">Entry</w:t>
      </w:r>
      <w:r>
        <w:t xml:space="preserve"> </w:t>
      </w:r>
      <w:r>
        <w:t xml:space="preserve">is a</w:t>
      </w:r>
      <w:r>
        <w:t xml:space="preserve"> </w:t>
      </w:r>
      <w:r>
        <w:rPr>
          <w:rStyle w:val="VerbatimChar"/>
          <w:bCs/>
          <w:b/>
        </w:rPr>
        <w:t xml:space="preserve">single-character Entry</w:t>
      </w:r>
      <w:r>
        <w:t xml:space="preserve">, the Character Order is</w:t>
      </w:r>
      <w:r>
        <w:t xml:space="preserve"> </w:t>
      </w:r>
      <w:r>
        <w:rPr>
          <w:bCs/>
          <w:b/>
        </w:rPr>
        <w:t xml:space="preserve">0</w:t>
      </w:r>
      <w:r>
        <w:t xml:space="preserve">.</w:t>
      </w:r>
    </w:p>
    <w:p>
      <w:pPr>
        <w:numPr>
          <w:ilvl w:val="1"/>
          <w:numId w:val="1130"/>
        </w:numPr>
        <w:pStyle w:val="Compact"/>
      </w:pPr>
      <w:r>
        <w:t xml:space="preserve">If the</w:t>
      </w:r>
      <w:r>
        <w:t xml:space="preserve"> </w:t>
      </w:r>
      <w:r>
        <w:rPr>
          <w:rStyle w:val="VerbatimChar"/>
          <w:bCs/>
          <w:b/>
        </w:rPr>
        <w:t xml:space="preserve">Entry</w:t>
      </w:r>
      <w:r>
        <w:t xml:space="preserve"> </w:t>
      </w:r>
      <w:r>
        <w:t xml:space="preserve">is a</w:t>
      </w:r>
      <w:r>
        <w:t xml:space="preserve"> </w:t>
      </w:r>
      <w:r>
        <w:rPr>
          <w:rStyle w:val="VerbatimChar"/>
          <w:bCs/>
          <w:b/>
        </w:rPr>
        <w:t xml:space="preserve">multi-character Entry</w:t>
      </w:r>
      <w:r>
        <w:t xml:space="preserve">, the Character Order is</w:t>
      </w:r>
      <w:r>
        <w:t xml:space="preserve"> </w:t>
      </w:r>
      <w:r>
        <w:rPr>
          <w:bCs/>
          <w:b/>
        </w:rPr>
        <w:t xml:space="preserve">1</w:t>
      </w:r>
      <w:r>
        <w:t xml:space="preserve">.</w:t>
      </w:r>
    </w:p>
    <w:p>
      <w:pPr>
        <w:numPr>
          <w:ilvl w:val="0"/>
          <w:numId w:val="1129"/>
        </w:numPr>
        <w:pStyle w:val="Compact"/>
      </w:pPr>
      <w:r>
        <w:rPr>
          <w:bCs/>
          <w:b/>
        </w:rPr>
        <w:t xml:space="preserve">Case 2: If there are two or more</w:t>
      </w:r>
      <w:r>
        <w:rPr>
          <w:bCs/>
          <w:b/>
        </w:rPr>
        <w:t xml:space="preserve"> </w:t>
      </w:r>
      <w:r>
        <w:rPr>
          <w:rStyle w:val="VerbatimChar"/>
          <w:bCs/>
          <w:b/>
        </w:rPr>
        <w:t xml:space="preserve">Entries</w:t>
      </w:r>
      <w:r>
        <w:rPr>
          <w:bCs/>
          <w:b/>
        </w:rPr>
        <w:t xml:space="preserve"> </w:t>
      </w:r>
      <w:r>
        <w:rPr>
          <w:bCs/>
          <w:b/>
        </w:rPr>
        <w:t xml:space="preserve">in the segment</w:t>
      </w:r>
    </w:p>
    <w:p>
      <w:pPr>
        <w:numPr>
          <w:ilvl w:val="1"/>
          <w:numId w:val="1131"/>
        </w:numPr>
        <w:pStyle w:val="Compact"/>
      </w:pPr>
      <w:r>
        <w:t xml:space="preserve">For the</w:t>
      </w:r>
      <w:r>
        <w:t xml:space="preserve"> </w:t>
      </w:r>
      <w:r>
        <w:rPr>
          <w:bCs/>
          <w:b/>
        </w:rPr>
        <w:t xml:space="preserve">first</w:t>
      </w:r>
      <w:r>
        <w:rPr>
          <w:bCs/>
          <w:b/>
        </w:rPr>
        <w:t xml:space="preserve"> </w:t>
      </w:r>
      <w:r>
        <w:rPr>
          <w:rStyle w:val="VerbatimChar"/>
          <w:bCs/>
          <w:b/>
        </w:rPr>
        <w:t xml:space="preserve">Entry</w:t>
      </w:r>
      <w:r>
        <w:t xml:space="preserve"> </w:t>
      </w:r>
      <w:r>
        <w:t xml:space="preserve">in the segment, the Character Order is</w:t>
      </w:r>
      <w:r>
        <w:t xml:space="preserve"> </w:t>
      </w:r>
      <w:r>
        <w:rPr>
          <w:bCs/>
          <w:b/>
        </w:rPr>
        <w:t xml:space="preserve">1</w:t>
      </w:r>
      <w:r>
        <w:t xml:space="preserve">.</w:t>
      </w:r>
    </w:p>
    <w:p>
      <w:pPr>
        <w:numPr>
          <w:ilvl w:val="1"/>
          <w:numId w:val="1131"/>
        </w:numPr>
        <w:pStyle w:val="Compact"/>
      </w:pPr>
      <w:r>
        <w:t xml:space="preserve">For the</w:t>
      </w:r>
      <w:r>
        <w:t xml:space="preserve"> </w:t>
      </w:r>
      <w:r>
        <w:rPr>
          <w:bCs/>
          <w:b/>
        </w:rPr>
        <w:t xml:space="preserve">second or subsequent</w:t>
      </w:r>
      <w:r>
        <w:rPr>
          <w:bCs/>
          <w:b/>
        </w:rPr>
        <w:t xml:space="preserve"> </w:t>
      </w:r>
      <w:r>
        <w:rPr>
          <w:rStyle w:val="VerbatimChar"/>
          <w:bCs/>
          <w:b/>
        </w:rPr>
        <w:t xml:space="preserve">Entries</w:t>
      </w:r>
      <w:r>
        <w:t xml:space="preserve"> </w:t>
      </w:r>
      <w:r>
        <w:t xml:space="preserve">in the segment, the Character Order indicates</w:t>
      </w:r>
      <w:r>
        <w:t xml:space="preserve"> </w:t>
      </w:r>
      <w:r>
        <w:rPr>
          <w:bCs/>
          <w:b/>
        </w:rPr>
        <w:t xml:space="preserve">the position of the first character of that</w:t>
      </w:r>
      <w:r>
        <w:rPr>
          <w:bCs/>
          <w:b/>
        </w:rPr>
        <w:t xml:space="preserve"> </w:t>
      </w:r>
      <w:r>
        <w:rPr>
          <w:rStyle w:val="VerbatimChar"/>
          <w:bCs/>
          <w:b/>
        </w:rPr>
        <w:t xml:space="preserve">Entry</w:t>
      </w:r>
      <w:r>
        <w:rPr>
          <w:bCs/>
          <w:b/>
        </w:rPr>
        <w:t xml:space="preserve">, counted sequentially from the beginning of the segment</w:t>
      </w:r>
      <w:r>
        <w:t xml:space="preserve"> </w:t>
      </w:r>
      <w:r>
        <w:t xml:space="preserve">(where the first character position in the segment is counted as 1).</w:t>
      </w:r>
    </w:p>
    <w:p>
      <w:pPr>
        <w:pStyle w:val="FirstParagraph"/>
      </w:pPr>
      <w:r>
        <w:t xml:space="preserve">For example, consider a segment containing</w:t>
      </w:r>
      <w:r>
        <w:t xml:space="preserve"> </w:t>
      </w:r>
      <w:r>
        <w:t xml:space="preserve">‘</w:t>
      </w:r>
      <w:r>
        <w:t xml:space="preserve">A</w:t>
      </w:r>
      <w:r>
        <w:t xml:space="preserve">’</w:t>
      </w:r>
      <w:r>
        <w:t xml:space="preserve"> </w:t>
      </w:r>
      <w:r>
        <w:t xml:space="preserve">and then</w:t>
      </w:r>
      <w:r>
        <w:t xml:space="preserve"> </w:t>
      </w:r>
      <w:r>
        <w:t xml:space="preserve">‘</w:t>
      </w:r>
      <w:r>
        <w:t xml:space="preserve">BC</w:t>
      </w:r>
      <w:r>
        <w:t xml:space="preserve">’</w:t>
      </w:r>
      <w:r>
        <w:t xml:space="preserve">, where</w:t>
      </w:r>
      <w:r>
        <w:t xml:space="preserve"> </w:t>
      </w:r>
      <w:r>
        <w:t xml:space="preserve">‘</w:t>
      </w:r>
      <w:r>
        <w:t xml:space="preserve">A</w:t>
      </w:r>
      <w:r>
        <w:t xml:space="preserve">’</w:t>
      </w:r>
      <w:r>
        <w:t xml:space="preserve"> </w:t>
      </w:r>
      <w:r>
        <w:t xml:space="preserve">is the 1st character in the segment,</w:t>
      </w:r>
      <w:r>
        <w:t xml:space="preserve"> </w:t>
      </w:r>
      <w:r>
        <w:t xml:space="preserve">‘</w:t>
      </w:r>
      <w:r>
        <w:t xml:space="preserve">B</w:t>
      </w:r>
      <w:r>
        <w:t xml:space="preserve">’</w:t>
      </w:r>
      <w:r>
        <w:t xml:space="preserve"> </w:t>
      </w:r>
      <w:r>
        <w:t xml:space="preserve">is the 2nd, and</w:t>
      </w:r>
      <w:r>
        <w:t xml:space="preserve"> </w:t>
      </w:r>
      <w:r>
        <w:t xml:space="preserve">‘</w:t>
      </w:r>
      <w:r>
        <w:t xml:space="preserve">C</w:t>
      </w:r>
      <w:r>
        <w:t xml:space="preserve">’</w:t>
      </w:r>
      <w:r>
        <w:t xml:space="preserve"> </w:t>
      </w:r>
      <w:r>
        <w:t xml:space="preserve">is the 3rd. The</w:t>
      </w:r>
      <w:r>
        <w:t xml:space="preserve"> </w:t>
      </w:r>
      <w:r>
        <w:rPr>
          <w:rStyle w:val="VerbatimChar"/>
          <w:bCs/>
          <w:b/>
        </w:rPr>
        <w:t xml:space="preserve">Entry</w:t>
      </w:r>
      <w:r>
        <w:t xml:space="preserve"> </w:t>
      </w:r>
      <w:r>
        <w:t xml:space="preserve">‘</w:t>
      </w:r>
      <w:r>
        <w:t xml:space="preserve">BC</w:t>
      </w:r>
      <w:r>
        <w:t xml:space="preserve">’</w:t>
      </w:r>
      <w:r>
        <w:t xml:space="preserve"> </w:t>
      </w:r>
      <w:r>
        <w:t xml:space="preserve">is the second</w:t>
      </w:r>
      <w:r>
        <w:t xml:space="preserve"> </w:t>
      </w:r>
      <w:r>
        <w:rPr>
          <w:rStyle w:val="VerbatimChar"/>
          <w:bCs/>
          <w:b/>
        </w:rPr>
        <w:t xml:space="preserve">Entry</w:t>
      </w:r>
      <w:r>
        <w:t xml:space="preserve"> </w:t>
      </w:r>
      <w:r>
        <w:t xml:space="preserve">in this segment. Its first character is</w:t>
      </w:r>
      <w:r>
        <w:t xml:space="preserve"> </w:t>
      </w:r>
      <w:r>
        <w:t xml:space="preserve">‘</w:t>
      </w:r>
      <w:r>
        <w:t xml:space="preserve">B</w:t>
      </w:r>
      <w:r>
        <w:t xml:space="preserve">’</w:t>
      </w:r>
      <w:r>
        <w:t xml:space="preserve">, which is the 2nd character from the beginning of the segment. Therefore, the Character Order for the</w:t>
      </w:r>
      <w:r>
        <w:t xml:space="preserve"> </w:t>
      </w:r>
      <w:r>
        <w:rPr>
          <w:rStyle w:val="VerbatimChar"/>
          <w:bCs/>
          <w:b/>
        </w:rPr>
        <w:t xml:space="preserve">Entry</w:t>
      </w:r>
      <w:r>
        <w:t xml:space="preserve"> </w:t>
      </w:r>
      <w:r>
        <w:t xml:space="preserve">‘</w:t>
      </w:r>
      <w:r>
        <w:t xml:space="preserve">BC</w:t>
      </w:r>
      <w:r>
        <w:t xml:space="preserve">’</w:t>
      </w:r>
      <w:r>
        <w:t xml:space="preserve"> </w:t>
      </w:r>
      <w:r>
        <w:t xml:space="preserve">is</w:t>
      </w:r>
      <w:r>
        <w:t xml:space="preserve"> </w:t>
      </w:r>
      <w:r>
        <w:rPr>
          <w:bCs/>
          <w:b/>
        </w:rPr>
        <w:t xml:space="preserve">2</w:t>
      </w:r>
      <w:r>
        <w:t xml:space="preserve">.</w:t>
      </w:r>
      <w:r>
        <w:t xml:space="preserve"> </w:t>
      </w:r>
      <w:r>
        <w:t xml:space="preserve">Alternatively, consider a segment containing</w:t>
      </w:r>
      <w:r>
        <w:t xml:space="preserve"> </w:t>
      </w:r>
      <w:r>
        <w:t xml:space="preserve">‘</w:t>
      </w:r>
      <w:r>
        <w:t xml:space="preserve">AB</w:t>
      </w:r>
      <w:r>
        <w:t xml:space="preserve">’</w:t>
      </w:r>
      <w:r>
        <w:t xml:space="preserve"> </w:t>
      </w:r>
      <w:r>
        <w:t xml:space="preserve">and then</w:t>
      </w:r>
      <w:r>
        <w:t xml:space="preserve"> </w:t>
      </w:r>
      <w:r>
        <w:t xml:space="preserve">‘</w:t>
      </w:r>
      <w:r>
        <w:t xml:space="preserve">CD</w:t>
      </w:r>
      <w:r>
        <w:t xml:space="preserve">’</w:t>
      </w:r>
      <w:r>
        <w:t xml:space="preserve">, where</w:t>
      </w:r>
      <w:r>
        <w:t xml:space="preserve"> </w:t>
      </w:r>
      <w:r>
        <w:t xml:space="preserve">‘</w:t>
      </w:r>
      <w:r>
        <w:t xml:space="preserve">A</w:t>
      </w:r>
      <w:r>
        <w:t xml:space="preserve">’</w:t>
      </w:r>
      <w:r>
        <w:t xml:space="preserve"> </w:t>
      </w:r>
      <w:r>
        <w:t xml:space="preserve">is the 1st character,</w:t>
      </w:r>
      <w:r>
        <w:t xml:space="preserve"> </w:t>
      </w:r>
      <w:r>
        <w:t xml:space="preserve">‘</w:t>
      </w:r>
      <w:r>
        <w:t xml:space="preserve">B</w:t>
      </w:r>
      <w:r>
        <w:t xml:space="preserve">’</w:t>
      </w:r>
      <w:r>
        <w:t xml:space="preserve"> </w:t>
      </w:r>
      <w:r>
        <w:t xml:space="preserve">the 2nd,</w:t>
      </w:r>
      <w:r>
        <w:t xml:space="preserve"> </w:t>
      </w:r>
      <w:r>
        <w:t xml:space="preserve">‘</w:t>
      </w:r>
      <w:r>
        <w:t xml:space="preserve">C</w:t>
      </w:r>
      <w:r>
        <w:t xml:space="preserve">’</w:t>
      </w:r>
      <w:r>
        <w:t xml:space="preserve"> </w:t>
      </w:r>
      <w:r>
        <w:t xml:space="preserve">the 3rd, and</w:t>
      </w:r>
      <w:r>
        <w:t xml:space="preserve"> </w:t>
      </w:r>
      <w:r>
        <w:t xml:space="preserve">‘</w:t>
      </w:r>
      <w:r>
        <w:t xml:space="preserve">D</w:t>
      </w:r>
      <w:r>
        <w:t xml:space="preserve">’</w:t>
      </w:r>
      <w:r>
        <w:t xml:space="preserve"> </w:t>
      </w:r>
      <w:r>
        <w:t xml:space="preserve">the 4th. The</w:t>
      </w:r>
      <w:r>
        <w:t xml:space="preserve"> </w:t>
      </w:r>
      <w:r>
        <w:rPr>
          <w:rStyle w:val="VerbatimChar"/>
          <w:bCs/>
          <w:b/>
        </w:rPr>
        <w:t xml:space="preserve">Entry</w:t>
      </w:r>
      <w:r>
        <w:t xml:space="preserve"> </w:t>
      </w:r>
      <w:r>
        <w:t xml:space="preserve">‘</w:t>
      </w:r>
      <w:r>
        <w:t xml:space="preserve">CD</w:t>
      </w:r>
      <w:r>
        <w:t xml:space="preserve">’</w:t>
      </w:r>
      <w:r>
        <w:t xml:space="preserve"> </w:t>
      </w:r>
      <w:r>
        <w:t xml:space="preserve">is the second</w:t>
      </w:r>
      <w:r>
        <w:t xml:space="preserve"> </w:t>
      </w:r>
      <w:r>
        <w:rPr>
          <w:rStyle w:val="VerbatimChar"/>
          <w:bCs/>
          <w:b/>
        </w:rPr>
        <w:t xml:space="preserve">Entry</w:t>
      </w:r>
      <w:r>
        <w:t xml:space="preserve"> </w:t>
      </w:r>
      <w:r>
        <w:t xml:space="preserve">in this segment. Its first character is</w:t>
      </w:r>
      <w:r>
        <w:t xml:space="preserve"> </w:t>
      </w:r>
      <w:r>
        <w:t xml:space="preserve">‘</w:t>
      </w:r>
      <w:r>
        <w:t xml:space="preserve">C</w:t>
      </w:r>
      <w:r>
        <w:t xml:space="preserve">’</w:t>
      </w:r>
      <w:r>
        <w:t xml:space="preserve">, which is the 3rd character from the beginning of the segment. Therefore, the Character Order for the</w:t>
      </w:r>
      <w:r>
        <w:t xml:space="preserve"> </w:t>
      </w:r>
      <w:r>
        <w:rPr>
          <w:rStyle w:val="VerbatimChar"/>
          <w:bCs/>
          <w:b/>
        </w:rPr>
        <w:t xml:space="preserve">Entry</w:t>
      </w:r>
      <w:r>
        <w:t xml:space="preserve"> </w:t>
      </w:r>
      <w:r>
        <w:t xml:space="preserve">‘</w:t>
      </w:r>
      <w:r>
        <w:t xml:space="preserve">CD</w:t>
      </w:r>
      <w:r>
        <w:t xml:space="preserve">’</w:t>
      </w:r>
      <w:r>
        <w:t xml:space="preserve"> </w:t>
      </w:r>
      <w:r>
        <w:t xml:space="preserve">is</w:t>
      </w:r>
      <w:r>
        <w:t xml:space="preserve"> </w:t>
      </w:r>
      <w:r>
        <w:rPr>
          <w:bCs/>
          <w:b/>
        </w:rPr>
        <w:t xml:space="preserve">3</w:t>
      </w:r>
      <w:r>
        <w:t xml:space="preserve">.</w:t>
      </w:r>
    </w:p>
    <w:p>
      <w:pPr>
        <w:pStyle w:val="BodyText"/>
      </w:pPr>
      <w:r>
        <w:rPr>
          <w:bCs/>
          <w:b/>
        </w:rPr>
        <w:t xml:space="preserve">Examples of</w:t>
      </w:r>
      <w:r>
        <w:rPr>
          <w:bCs/>
          <w:b/>
        </w:rPr>
        <w:t xml:space="preserve"> </w:t>
      </w:r>
      <w:r>
        <w:rPr>
          <w:rStyle w:val="VerbatimChar"/>
          <w:bCs/>
          <w:b/>
        </w:rPr>
        <w:t xml:space="preserve">kazama_location</w:t>
      </w:r>
      <w:r>
        <w:rPr>
          <w:bCs/>
          <w:b/>
        </w:rPr>
        <w:t xml:space="preserve"> </w:t>
      </w:r>
      <w:r>
        <w:rPr>
          <w:bCs/>
          <w:b/>
        </w:rPr>
        <w:t xml:space="preserve">IDs:</w:t>
      </w:r>
      <w:r>
        <w:t xml:space="preserve"> </w:t>
      </w:r>
      <w:r>
        <w:t xml:space="preserve">*</w:t>
      </w:r>
      <w:r>
        <w:t xml:space="preserve"> </w:t>
      </w:r>
      <w:r>
        <w:rPr>
          <w:rStyle w:val="VerbatimChar"/>
        </w:rPr>
        <w:t xml:space="preserve">K01001310</w:t>
      </w:r>
      <w:r>
        <w:t xml:space="preserve">: (Indicates a</w:t>
      </w:r>
      <w:r>
        <w:t xml:space="preserve"> </w:t>
      </w:r>
      <w:r>
        <w:rPr>
          <w:rStyle w:val="VerbatimChar"/>
          <w:bCs/>
          <w:b/>
        </w:rPr>
        <w:t xml:space="preserve">single-character Entry</w:t>
      </w:r>
      <w:r>
        <w:t xml:space="preserve">, one</w:t>
      </w:r>
      <w:r>
        <w:t xml:space="preserve"> </w:t>
      </w:r>
      <w:r>
        <w:rPr>
          <w:rStyle w:val="VerbatimChar"/>
          <w:bCs/>
          <w:b/>
        </w:rPr>
        <w:t xml:space="preserve">Entry</w:t>
      </w:r>
      <w:r>
        <w:t xml:space="preserve"> </w:t>
      </w:r>
      <w:r>
        <w:t xml:space="preserve">per segment) Volume 1, Page 1, Line 3, Segment 1,</w:t>
      </w:r>
      <w:r>
        <w:t xml:space="preserve"> </w:t>
      </w:r>
      <w:r>
        <w:rPr>
          <w:bCs/>
          <w:b/>
        </w:rPr>
        <w:t xml:space="preserve">Character Order 0</w:t>
      </w:r>
      <w:r>
        <w:t xml:space="preserve">.</w:t>
      </w:r>
      <w:r>
        <w:t xml:space="preserve"> </w:t>
      </w:r>
      <w:r>
        <w:t xml:space="preserve">*</w:t>
      </w:r>
      <w:r>
        <w:t xml:space="preserve"> </w:t>
      </w:r>
      <w:r>
        <w:rPr>
          <w:rStyle w:val="VerbatimChar"/>
        </w:rPr>
        <w:t xml:space="preserve">K08084411</w:t>
      </w:r>
      <w:r>
        <w:t xml:space="preserve">: (Indicates a</w:t>
      </w:r>
      <w:r>
        <w:t xml:space="preserve"> </w:t>
      </w:r>
      <w:r>
        <w:rPr>
          <w:rStyle w:val="VerbatimChar"/>
          <w:bCs/>
          <w:b/>
        </w:rPr>
        <w:t xml:space="preserve">multi-character Entry</w:t>
      </w:r>
      <w:r>
        <w:t xml:space="preserve">, one</w:t>
      </w:r>
      <w:r>
        <w:t xml:space="preserve"> </w:t>
      </w:r>
      <w:r>
        <w:rPr>
          <w:rStyle w:val="VerbatimChar"/>
          <w:bCs/>
          <w:b/>
        </w:rPr>
        <w:t xml:space="preserve">Entry</w:t>
      </w:r>
      <w:r>
        <w:t xml:space="preserve"> </w:t>
      </w:r>
      <w:r>
        <w:t xml:space="preserve">per segment) Volume 8, Page 84, Line 4, Segment 1,</w:t>
      </w:r>
      <w:r>
        <w:t xml:space="preserve"> </w:t>
      </w:r>
      <w:r>
        <w:rPr>
          <w:bCs/>
          <w:b/>
        </w:rPr>
        <w:t xml:space="preserve">Character Order 1</w:t>
      </w:r>
      <w:r>
        <w:t xml:space="preserve">.</w:t>
      </w:r>
      <w:r>
        <w:t xml:space="preserve"> </w:t>
      </w:r>
      <w:r>
        <w:t xml:space="preserve">*</w:t>
      </w:r>
      <w:r>
        <w:t xml:space="preserve"> </w:t>
      </w:r>
      <w:r>
        <w:rPr>
          <w:rStyle w:val="VerbatimChar"/>
        </w:rPr>
        <w:t xml:space="preserve">K01004241</w:t>
      </w:r>
      <w:r>
        <w:t xml:space="preserve">: (Indicates the</w:t>
      </w:r>
      <w:r>
        <w:t xml:space="preserve"> </w:t>
      </w:r>
      <w:r>
        <w:rPr>
          <w:bCs/>
          <w:b/>
        </w:rPr>
        <w:t xml:space="preserve">first</w:t>
      </w:r>
      <w:r>
        <w:rPr>
          <w:bCs/>
          <w:b/>
        </w:rPr>
        <w:t xml:space="preserve"> </w:t>
      </w:r>
      <w:r>
        <w:rPr>
          <w:rStyle w:val="VerbatimChar"/>
          <w:bCs/>
          <w:b/>
        </w:rPr>
        <w:t xml:space="preserve">Entry</w:t>
      </w:r>
      <w:r>
        <w:t xml:space="preserve"> </w:t>
      </w:r>
      <w:r>
        <w:t xml:space="preserve">when multiple</w:t>
      </w:r>
      <w:r>
        <w:t xml:space="preserve"> </w:t>
      </w:r>
      <w:r>
        <w:rPr>
          <w:rStyle w:val="VerbatimChar"/>
          <w:bCs/>
          <w:b/>
        </w:rPr>
        <w:t xml:space="preserve">Entries</w:t>
      </w:r>
      <w:r>
        <w:t xml:space="preserve"> </w:t>
      </w:r>
      <w:r>
        <w:t xml:space="preserve">are in the segment) Volume 1, Page 4, Line 2, Segment 4,</w:t>
      </w:r>
      <w:r>
        <w:t xml:space="preserve"> </w:t>
      </w:r>
      <w:r>
        <w:rPr>
          <w:bCs/>
          <w:b/>
        </w:rPr>
        <w:t xml:space="preserve">Character Order 1</w:t>
      </w:r>
      <w:r>
        <w:t xml:space="preserve">.</w:t>
      </w:r>
      <w:r>
        <w:t xml:space="preserve"> </w:t>
      </w:r>
      <w:r>
        <w:t xml:space="preserve">*</w:t>
      </w:r>
      <w:r>
        <w:t xml:space="preserve"> </w:t>
      </w:r>
      <w:r>
        <w:rPr>
          <w:rStyle w:val="VerbatimChar"/>
        </w:rPr>
        <w:t xml:space="preserve">K01004242</w:t>
      </w:r>
      <w:r>
        <w:t xml:space="preserve">: (Indicates an</w:t>
      </w:r>
      <w:r>
        <w:t xml:space="preserve"> </w:t>
      </w:r>
      <w:r>
        <w:rPr>
          <w:rStyle w:val="VerbatimChar"/>
          <w:bCs/>
          <w:b/>
        </w:rPr>
        <w:t xml:space="preserve">Entry</w:t>
      </w:r>
      <w:r>
        <w:t xml:space="preserve"> </w:t>
      </w:r>
      <w:r>
        <w:t xml:space="preserve">starting from the</w:t>
      </w:r>
      <w:r>
        <w:t xml:space="preserve"> </w:t>
      </w:r>
      <w:r>
        <w:rPr>
          <w:bCs/>
          <w:b/>
        </w:rPr>
        <w:t xml:space="preserve">2nd character position</w:t>
      </w:r>
      <w:r>
        <w:t xml:space="preserve"> </w:t>
      </w:r>
      <w:r>
        <w:t xml:space="preserve">within the segment, when multiple</w:t>
      </w:r>
      <w:r>
        <w:t xml:space="preserve"> </w:t>
      </w:r>
      <w:r>
        <w:rPr>
          <w:rStyle w:val="VerbatimChar"/>
          <w:bCs/>
          <w:b/>
        </w:rPr>
        <w:t xml:space="preserve">Entries</w:t>
      </w:r>
      <w:r>
        <w:t xml:space="preserve"> </w:t>
      </w:r>
      <w:r>
        <w:t xml:space="preserve">are in the segment) Volume 1, Page 4, Line 2, Segment 4,</w:t>
      </w:r>
      <w:r>
        <w:t xml:space="preserve"> </w:t>
      </w:r>
      <w:r>
        <w:rPr>
          <w:bCs/>
          <w:b/>
        </w:rPr>
        <w:t xml:space="preserve">Character Order 2</w:t>
      </w:r>
      <w:r>
        <w:t xml:space="preserve">.</w:t>
      </w:r>
      <w:r>
        <w:t xml:space="preserve"> </w:t>
      </w:r>
      <w:r>
        <w:t xml:space="preserve">*</w:t>
      </w:r>
      <w:r>
        <w:t xml:space="preserve"> </w:t>
      </w:r>
      <w:r>
        <w:rPr>
          <w:rStyle w:val="VerbatimChar"/>
        </w:rPr>
        <w:t xml:space="preserve">K01008341</w:t>
      </w:r>
      <w:r>
        <w:t xml:space="preserve">: (Indicates the</w:t>
      </w:r>
      <w:r>
        <w:t xml:space="preserve"> </w:t>
      </w:r>
      <w:r>
        <w:rPr>
          <w:bCs/>
          <w:b/>
        </w:rPr>
        <w:t xml:space="preserve">first</w:t>
      </w:r>
      <w:r>
        <w:rPr>
          <w:bCs/>
          <w:b/>
        </w:rPr>
        <w:t xml:space="preserve"> </w:t>
      </w:r>
      <w:r>
        <w:rPr>
          <w:rStyle w:val="VerbatimChar"/>
          <w:bCs/>
          <w:b/>
        </w:rPr>
        <w:t xml:space="preserve">Entry</w:t>
      </w:r>
      <w:r>
        <w:t xml:space="preserve"> </w:t>
      </w:r>
      <w:r>
        <w:t xml:space="preserve">when multiple</w:t>
      </w:r>
      <w:r>
        <w:t xml:space="preserve"> </w:t>
      </w:r>
      <w:r>
        <w:rPr>
          <w:rStyle w:val="VerbatimChar"/>
          <w:bCs/>
          <w:b/>
        </w:rPr>
        <w:t xml:space="preserve">Entries</w:t>
      </w:r>
      <w:r>
        <w:t xml:space="preserve"> </w:t>
      </w:r>
      <w:r>
        <w:t xml:space="preserve">are in the segment) Volume 1, Page 8, Line 3, Segment 4,</w:t>
      </w:r>
      <w:r>
        <w:t xml:space="preserve"> </w:t>
      </w:r>
      <w:r>
        <w:rPr>
          <w:bCs/>
          <w:b/>
        </w:rPr>
        <w:t xml:space="preserve">Character Order 1</w:t>
      </w:r>
      <w:r>
        <w:t xml:space="preserve">.</w:t>
      </w:r>
      <w:r>
        <w:t xml:space="preserve"> </w:t>
      </w:r>
      <w:r>
        <w:t xml:space="preserve">*</w:t>
      </w:r>
      <w:r>
        <w:t xml:space="preserve"> </w:t>
      </w:r>
      <w:r>
        <w:rPr>
          <w:rStyle w:val="VerbatimChar"/>
        </w:rPr>
        <w:t xml:space="preserve">K01008343</w:t>
      </w:r>
      <w:r>
        <w:t xml:space="preserve">: (Indicates an</w:t>
      </w:r>
      <w:r>
        <w:t xml:space="preserve"> </w:t>
      </w:r>
      <w:r>
        <w:rPr>
          <w:rStyle w:val="VerbatimChar"/>
          <w:bCs/>
          <w:b/>
        </w:rPr>
        <w:t xml:space="preserve">Entry</w:t>
      </w:r>
      <w:r>
        <w:t xml:space="preserve"> </w:t>
      </w:r>
      <w:r>
        <w:t xml:space="preserve">starting from the</w:t>
      </w:r>
      <w:r>
        <w:t xml:space="preserve"> </w:t>
      </w:r>
      <w:r>
        <w:rPr>
          <w:bCs/>
          <w:b/>
        </w:rPr>
        <w:t xml:space="preserve">3rd character position</w:t>
      </w:r>
      <w:r>
        <w:t xml:space="preserve"> </w:t>
      </w:r>
      <w:r>
        <w:t xml:space="preserve">within the segment, when multiple</w:t>
      </w:r>
      <w:r>
        <w:t xml:space="preserve"> </w:t>
      </w:r>
      <w:r>
        <w:rPr>
          <w:rStyle w:val="VerbatimChar"/>
          <w:bCs/>
          <w:b/>
        </w:rPr>
        <w:t xml:space="preserve">Entries</w:t>
      </w:r>
      <w:r>
        <w:t xml:space="preserve"> </w:t>
      </w:r>
      <w:r>
        <w:t xml:space="preserve">are in the segment) Volume 1, Page 8, Line 3, Segment 4,</w:t>
      </w:r>
      <w:r>
        <w:t xml:space="preserve"> </w:t>
      </w:r>
      <w:r>
        <w:rPr>
          <w:bCs/>
          <w:b/>
        </w:rPr>
        <w:t xml:space="preserve">Character Order 3</w:t>
      </w:r>
      <w:r>
        <w:t xml:space="preserve">.</w:t>
      </w:r>
    </w:p>
    <w:p>
      <w:pPr>
        <w:pStyle w:val="BodyText"/>
      </w:pPr>
      <w:r>
        <w:rPr>
          <w:bCs/>
          <w:b/>
        </w:rPr>
        <w:t xml:space="preserve">Purpose:</w:t>
      </w:r>
      <w:r>
        <w:t xml:space="preserve"> </w:t>
      </w:r>
      <w:r>
        <w:t xml:space="preserve">To indicate the location of an</w:t>
      </w:r>
      <w:r>
        <w:t xml:space="preserve"> </w:t>
      </w:r>
      <w:r>
        <w:rPr>
          <w:rStyle w:val="VerbatimChar"/>
          <w:bCs/>
          <w:b/>
        </w:rPr>
        <w:t xml:space="preserve">Entry</w:t>
      </w:r>
      <w:r>
        <w:t xml:space="preserve"> </w:t>
      </w:r>
      <w:r>
        <w:t xml:space="preserve">in the Kazama Edition. This ID system is determined based on rules for indicating character position, designed to accommodate all various arrangement patterns of</w:t>
      </w:r>
      <w:r>
        <w:t xml:space="preserve"> </w:t>
      </w:r>
      <w:r>
        <w:rPr>
          <w:rStyle w:val="VerbatimChar"/>
          <w:bCs/>
          <w:b/>
        </w:rPr>
        <w:t xml:space="preserve">Entries</w:t>
      </w:r>
      <w:r>
        <w:t xml:space="preserve">: the primarily used</w:t>
      </w:r>
      <w:r>
        <w:t xml:space="preserve"> </w:t>
      </w:r>
      <w:r>
        <w:t xml:space="preserve">“</w:t>
      </w:r>
      <w:r>
        <w:t xml:space="preserve">single-segment, single-entry</w:t>
      </w:r>
      <w:r>
        <w:t xml:space="preserve">”</w:t>
      </w:r>
      <w:r>
        <w:t xml:space="preserve"> </w:t>
      </w:r>
      <w:r>
        <w:t xml:space="preserve">arrangement; the frequently occurring</w:t>
      </w:r>
      <w:r>
        <w:t xml:space="preserve"> </w:t>
      </w:r>
      <w:r>
        <w:t xml:space="preserve">“</w:t>
      </w:r>
      <w:r>
        <w:t xml:space="preserve">multi-segment, single-entry</w:t>
      </w:r>
      <w:r>
        <w:t xml:space="preserve">”</w:t>
      </w:r>
      <w:r>
        <w:t xml:space="preserve"> </w:t>
      </w:r>
      <w:r>
        <w:t xml:space="preserve">arrangement; and the rare</w:t>
      </w:r>
      <w:r>
        <w:t xml:space="preserve"> </w:t>
      </w:r>
      <w:r>
        <w:t xml:space="preserve">“</w:t>
      </w:r>
      <w:r>
        <w:t xml:space="preserve">single-segment, multi-entry</w:t>
      </w:r>
      <w:r>
        <w:t xml:space="preserve">”</w:t>
      </w:r>
      <w:r>
        <w:t xml:space="preserve"> </w:t>
      </w:r>
      <w:r>
        <w:t xml:space="preserve">arrangement.</w:t>
      </w:r>
    </w:p>
    <w:p>
      <w:pPr>
        <w:pStyle w:val="BodyText"/>
      </w:pPr>
      <w:r>
        <w:rPr>
          <w:bCs/>
          <w:b/>
        </w:rPr>
        <w:t xml:space="preserve">Source:</w:t>
      </w:r>
      <w:r>
        <w:t xml:space="preserve"> </w:t>
      </w:r>
      <w:r>
        <w:t xml:space="preserve">Based on</w:t>
      </w:r>
      <w:r>
        <w:t xml:space="preserve"> </w:t>
      </w:r>
      <w:r>
        <w:rPr>
          <w:iCs/>
          <w:i/>
        </w:rPr>
        <w:t xml:space="preserve">Ruiju Myōgishō, Daiikkan</w:t>
      </w:r>
      <w:r>
        <w:t xml:space="preserve"> </w:t>
      </w:r>
      <w:r>
        <w:t xml:space="preserve">(類聚名義抄　第一巻, Ruiju Myōgishō, Vol. 1), edited by Masamune Atsuo (Tokyo: Kazama Shobō, 1954).</w:t>
      </w:r>
    </w:p>
    <w:bookmarkEnd w:id="171"/>
    <w:bookmarkStart w:id="172" w:name="Xfd2e97e97604ddc838a87f86c27fadfd46898e0"/>
    <w:p>
      <w:pPr>
        <w:pStyle w:val="Heading4"/>
      </w:pPr>
      <w:r>
        <w:rPr>
          <w:rStyle w:val="SectionNumber"/>
        </w:rPr>
        <w:t xml:space="preserve">16.3.3.4</w:t>
      </w:r>
      <w:r>
        <w:tab/>
      </w:r>
      <w:r>
        <w:t xml:space="preserve">Tenri Edition Location (</w:t>
      </w:r>
      <w:r>
        <w:rPr>
          <w:rStyle w:val="VerbatimChar"/>
        </w:rPr>
        <w:t xml:space="preserve">tenri_location</w:t>
      </w:r>
      <w:r>
        <w:t xml:space="preserve"> </w:t>
      </w:r>
      <w:r>
        <w:t xml:space="preserve">/ T-format)</w:t>
      </w:r>
    </w:p>
    <w:p>
      <w:pPr>
        <w:pStyle w:val="FirstParagraph"/>
      </w:pPr>
      <w:r>
        <w:t xml:space="preserve">The Tenri Edition Location (</w:t>
      </w:r>
      <w:r>
        <w:rPr>
          <w:rStyle w:val="VerbatimChar"/>
        </w:rPr>
        <w:t xml:space="preserve">tenri_location</w:t>
      </w:r>
      <w:r>
        <w:t xml:space="preserve">) follows principles similar to those for determining the K-format of the Kazama Edition Location. Its format, Character Order, and purpose are defined as follows:</w:t>
      </w:r>
    </w:p>
    <w:p>
      <w:pPr>
        <w:pStyle w:val="BodyText"/>
      </w:pPr>
      <w:r>
        <w:rPr>
          <w:bCs/>
          <w:b/>
        </w:rPr>
        <w:t xml:space="preserve">Format:</w:t>
      </w:r>
      <w:r>
        <w:t xml:space="preserve"> </w:t>
      </w:r>
      <w:r>
        <w:t xml:space="preserve">T + Volume (a/b/c) + Page number (3 digits) + Line number (1 digit) + Segment number (1 digit) + Character Order (1 digit).</w:t>
      </w:r>
      <w:r>
        <w:t xml:space="preserve"> </w:t>
      </w:r>
      <w:r>
        <w:t xml:space="preserve">This is the T-format.</w:t>
      </w:r>
    </w:p>
    <w:p>
      <w:pPr>
        <w:pStyle w:val="BodyText"/>
      </w:pPr>
      <w:r>
        <w:rPr>
          <w:bCs/>
          <w:b/>
        </w:rPr>
        <w:t xml:space="preserve">Character Order (1 digit):</w:t>
      </w:r>
      <w:r>
        <w:t xml:space="preserve"> </w:t>
      </w:r>
      <w:r>
        <w:t xml:space="preserve">This digit is a number assigned based on the type of</w:t>
      </w:r>
      <w:r>
        <w:t xml:space="preserve"> </w:t>
      </w:r>
      <w:r>
        <w:rPr>
          <w:rStyle w:val="VerbatimChar"/>
          <w:bCs/>
          <w:b/>
        </w:rPr>
        <w:t xml:space="preserve">Entry</w:t>
      </w:r>
      <w:r>
        <w:t xml:space="preserve"> </w:t>
      </w:r>
      <w:r>
        <w:t xml:space="preserve">(single-character or multi-character) and its order of appearance within that segment.</w:t>
      </w:r>
      <w:r>
        <w:t xml:space="preserve"> </w:t>
      </w:r>
      <w:r>
        <w:t xml:space="preserve">While the</w:t>
      </w:r>
      <w:r>
        <w:t xml:space="preserve"> </w:t>
      </w:r>
      <w:r>
        <w:t xml:space="preserve">“</w:t>
      </w:r>
      <w:r>
        <w:t xml:space="preserve">Character Order</w:t>
      </w:r>
      <w:r>
        <w:t xml:space="preserve">”</w:t>
      </w:r>
      <w:r>
        <w:t xml:space="preserve"> </w:t>
      </w:r>
      <w:r>
        <w:t xml:space="preserve">is fundamentally a criterion based on individual character positions, it is used here to indicate the location of an</w:t>
      </w:r>
      <w:r>
        <w:t xml:space="preserve"> </w:t>
      </w:r>
      <w:r>
        <w:rPr>
          <w:rStyle w:val="VerbatimChar"/>
          <w:bCs/>
          <w:b/>
        </w:rPr>
        <w:t xml:space="preserve">Entry</w:t>
      </w:r>
      <w:r>
        <w:t xml:space="preserve"> </w:t>
      </w:r>
      <w:r>
        <w:t xml:space="preserve">by referencing the position of the</w:t>
      </w:r>
      <w:r>
        <w:t xml:space="preserve"> </w:t>
      </w:r>
      <w:r>
        <w:rPr>
          <w:bCs/>
          <w:b/>
        </w:rPr>
        <w:t xml:space="preserve">first character</w:t>
      </w:r>
      <w:r>
        <w:t xml:space="preserve"> </w:t>
      </w:r>
      <w:r>
        <w:t xml:space="preserve">of that</w:t>
      </w:r>
      <w:r>
        <w:t xml:space="preserve"> </w:t>
      </w:r>
      <w:r>
        <w:rPr>
          <w:rStyle w:val="VerbatimChar"/>
          <w:bCs/>
          <w:b/>
        </w:rPr>
        <w:t xml:space="preserve">Entry</w:t>
      </w:r>
      <w:r>
        <w:t xml:space="preserve"> </w:t>
      </w:r>
      <w:r>
        <w:t xml:space="preserve">within the segment.</w:t>
      </w:r>
    </w:p>
    <w:p>
      <w:pPr>
        <w:pStyle w:val="BodyText"/>
      </w:pPr>
      <w:r>
        <w:t xml:space="preserve">The use of a character-position-based criterion for this</w:t>
      </w:r>
      <w:r>
        <w:t xml:space="preserve"> </w:t>
      </w:r>
      <w:r>
        <w:t xml:space="preserve">“</w:t>
      </w:r>
      <w:r>
        <w:t xml:space="preserve">Character Order</w:t>
      </w:r>
      <w:r>
        <w:t xml:space="preserve">”</w:t>
      </w:r>
      <w:r>
        <w:t xml:space="preserve"> </w:t>
      </w:r>
      <w:r>
        <w:t xml:space="preserve">digit is specifically to address the exceptional cases where two or more</w:t>
      </w:r>
      <w:r>
        <w:t xml:space="preserve"> </w:t>
      </w:r>
      <w:r>
        <w:rPr>
          <w:rStyle w:val="VerbatimChar"/>
          <w:bCs/>
          <w:b/>
        </w:rPr>
        <w:t xml:space="preserve">Entries</w:t>
      </w:r>
      <w:r>
        <w:t xml:space="preserve"> </w:t>
      </w:r>
      <w:r>
        <w:t xml:space="preserve">are recorded within a single segment (which can also be thought of as a single cell or block in the layout).</w:t>
      </w:r>
    </w:p>
    <w:p>
      <w:pPr>
        <w:pStyle w:val="BodyText"/>
      </w:pPr>
      <w:r>
        <w:t xml:space="preserve">To apply this character-position-based criterion representatively for the</w:t>
      </w:r>
      <w:r>
        <w:t xml:space="preserve"> </w:t>
      </w:r>
      <w:r>
        <w:t xml:space="preserve">“</w:t>
      </w:r>
      <w:r>
        <w:t xml:space="preserve">Character Order,</w:t>
      </w:r>
      <w:r>
        <w:t xml:space="preserve">”</w:t>
      </w:r>
      <w:r>
        <w:t xml:space="preserve"> </w:t>
      </w:r>
      <w:r>
        <w:t xml:space="preserve">the following rules for determining this digit have been established:</w:t>
      </w:r>
    </w:p>
    <w:p>
      <w:pPr>
        <w:numPr>
          <w:ilvl w:val="0"/>
          <w:numId w:val="1132"/>
        </w:numPr>
        <w:pStyle w:val="Compact"/>
      </w:pPr>
      <w:r>
        <w:rPr>
          <w:bCs/>
          <w:b/>
        </w:rPr>
        <w:t xml:space="preserve">Case 1: If there is only one</w:t>
      </w:r>
      <w:r>
        <w:rPr>
          <w:bCs/>
          <w:b/>
        </w:rPr>
        <w:t xml:space="preserve"> </w:t>
      </w:r>
      <w:r>
        <w:rPr>
          <w:rStyle w:val="VerbatimChar"/>
          <w:bCs/>
          <w:b/>
        </w:rPr>
        <w:t xml:space="preserve">Entry</w:t>
      </w:r>
      <w:r>
        <w:rPr>
          <w:bCs/>
          <w:b/>
        </w:rPr>
        <w:t xml:space="preserve"> </w:t>
      </w:r>
      <w:r>
        <w:rPr>
          <w:bCs/>
          <w:b/>
        </w:rPr>
        <w:t xml:space="preserve">in the segment</w:t>
      </w:r>
    </w:p>
    <w:p>
      <w:pPr>
        <w:numPr>
          <w:ilvl w:val="1"/>
          <w:numId w:val="1133"/>
        </w:numPr>
        <w:pStyle w:val="Compact"/>
      </w:pPr>
      <w:r>
        <w:t xml:space="preserve">If the</w:t>
      </w:r>
      <w:r>
        <w:t xml:space="preserve"> </w:t>
      </w:r>
      <w:r>
        <w:rPr>
          <w:rStyle w:val="VerbatimChar"/>
          <w:bCs/>
          <w:b/>
        </w:rPr>
        <w:t xml:space="preserve">Entry</w:t>
      </w:r>
      <w:r>
        <w:t xml:space="preserve"> </w:t>
      </w:r>
      <w:r>
        <w:t xml:space="preserve">is a</w:t>
      </w:r>
      <w:r>
        <w:t xml:space="preserve"> </w:t>
      </w:r>
      <w:r>
        <w:rPr>
          <w:rStyle w:val="VerbatimChar"/>
          <w:bCs/>
          <w:b/>
        </w:rPr>
        <w:t xml:space="preserve">single-character Entry</w:t>
      </w:r>
      <w:r>
        <w:t xml:space="preserve">, the Character Order is</w:t>
      </w:r>
      <w:r>
        <w:t xml:space="preserve"> </w:t>
      </w:r>
      <w:r>
        <w:rPr>
          <w:bCs/>
          <w:b/>
        </w:rPr>
        <w:t xml:space="preserve">0</w:t>
      </w:r>
      <w:r>
        <w:t xml:space="preserve">.</w:t>
      </w:r>
    </w:p>
    <w:p>
      <w:pPr>
        <w:numPr>
          <w:ilvl w:val="1"/>
          <w:numId w:val="1133"/>
        </w:numPr>
        <w:pStyle w:val="Compact"/>
      </w:pPr>
      <w:r>
        <w:t xml:space="preserve">If the</w:t>
      </w:r>
      <w:r>
        <w:t xml:space="preserve"> </w:t>
      </w:r>
      <w:r>
        <w:rPr>
          <w:rStyle w:val="VerbatimChar"/>
          <w:bCs/>
          <w:b/>
        </w:rPr>
        <w:t xml:space="preserve">Entry</w:t>
      </w:r>
      <w:r>
        <w:t xml:space="preserve"> </w:t>
      </w:r>
      <w:r>
        <w:t xml:space="preserve">is a</w:t>
      </w:r>
      <w:r>
        <w:t xml:space="preserve"> </w:t>
      </w:r>
      <w:r>
        <w:rPr>
          <w:rStyle w:val="VerbatimChar"/>
          <w:bCs/>
          <w:b/>
        </w:rPr>
        <w:t xml:space="preserve">multi-character Entry</w:t>
      </w:r>
      <w:r>
        <w:t xml:space="preserve">, the Character Order is</w:t>
      </w:r>
      <w:r>
        <w:t xml:space="preserve"> </w:t>
      </w:r>
      <w:r>
        <w:rPr>
          <w:bCs/>
          <w:b/>
        </w:rPr>
        <w:t xml:space="preserve">1</w:t>
      </w:r>
      <w:r>
        <w:t xml:space="preserve">.</w:t>
      </w:r>
    </w:p>
    <w:p>
      <w:pPr>
        <w:numPr>
          <w:ilvl w:val="0"/>
          <w:numId w:val="1132"/>
        </w:numPr>
        <w:pStyle w:val="Compact"/>
      </w:pPr>
      <w:r>
        <w:rPr>
          <w:bCs/>
          <w:b/>
        </w:rPr>
        <w:t xml:space="preserve">Case 2: If there are two or more</w:t>
      </w:r>
      <w:r>
        <w:rPr>
          <w:bCs/>
          <w:b/>
        </w:rPr>
        <w:t xml:space="preserve"> </w:t>
      </w:r>
      <w:r>
        <w:rPr>
          <w:rStyle w:val="VerbatimChar"/>
          <w:bCs/>
          <w:b/>
        </w:rPr>
        <w:t xml:space="preserve">Entries</w:t>
      </w:r>
      <w:r>
        <w:rPr>
          <w:bCs/>
          <w:b/>
        </w:rPr>
        <w:t xml:space="preserve"> </w:t>
      </w:r>
      <w:r>
        <w:rPr>
          <w:bCs/>
          <w:b/>
        </w:rPr>
        <w:t xml:space="preserve">in the segment</w:t>
      </w:r>
    </w:p>
    <w:p>
      <w:pPr>
        <w:numPr>
          <w:ilvl w:val="1"/>
          <w:numId w:val="1134"/>
        </w:numPr>
        <w:pStyle w:val="Compact"/>
      </w:pPr>
      <w:r>
        <w:t xml:space="preserve">For the</w:t>
      </w:r>
      <w:r>
        <w:t xml:space="preserve"> </w:t>
      </w:r>
      <w:r>
        <w:rPr>
          <w:bCs/>
          <w:b/>
        </w:rPr>
        <w:t xml:space="preserve">first</w:t>
      </w:r>
      <w:r>
        <w:rPr>
          <w:bCs/>
          <w:b/>
        </w:rPr>
        <w:t xml:space="preserve"> </w:t>
      </w:r>
      <w:r>
        <w:rPr>
          <w:rStyle w:val="VerbatimChar"/>
          <w:bCs/>
          <w:b/>
        </w:rPr>
        <w:t xml:space="preserve">Entry</w:t>
      </w:r>
      <w:r>
        <w:t xml:space="preserve"> </w:t>
      </w:r>
      <w:r>
        <w:t xml:space="preserve">in the segment, the Character Order is</w:t>
      </w:r>
      <w:r>
        <w:t xml:space="preserve"> </w:t>
      </w:r>
      <w:r>
        <w:rPr>
          <w:bCs/>
          <w:b/>
        </w:rPr>
        <w:t xml:space="preserve">1</w:t>
      </w:r>
      <w:r>
        <w:t xml:space="preserve">.</w:t>
      </w:r>
    </w:p>
    <w:p>
      <w:pPr>
        <w:numPr>
          <w:ilvl w:val="1"/>
          <w:numId w:val="1134"/>
        </w:numPr>
        <w:pStyle w:val="Compact"/>
      </w:pPr>
      <w:r>
        <w:t xml:space="preserve">For the</w:t>
      </w:r>
      <w:r>
        <w:t xml:space="preserve"> </w:t>
      </w:r>
      <w:r>
        <w:rPr>
          <w:bCs/>
          <w:b/>
        </w:rPr>
        <w:t xml:space="preserve">second or subsequent</w:t>
      </w:r>
      <w:r>
        <w:rPr>
          <w:bCs/>
          <w:b/>
        </w:rPr>
        <w:t xml:space="preserve"> </w:t>
      </w:r>
      <w:r>
        <w:rPr>
          <w:rStyle w:val="VerbatimChar"/>
          <w:bCs/>
          <w:b/>
        </w:rPr>
        <w:t xml:space="preserve">Entries</w:t>
      </w:r>
      <w:r>
        <w:t xml:space="preserve"> </w:t>
      </w:r>
      <w:r>
        <w:t xml:space="preserve">in the segment, the Character Order indicates</w:t>
      </w:r>
      <w:r>
        <w:t xml:space="preserve"> </w:t>
      </w:r>
      <w:r>
        <w:rPr>
          <w:bCs/>
          <w:b/>
        </w:rPr>
        <w:t xml:space="preserve">the position of the first character of that</w:t>
      </w:r>
      <w:r>
        <w:rPr>
          <w:bCs/>
          <w:b/>
        </w:rPr>
        <w:t xml:space="preserve"> </w:t>
      </w:r>
      <w:r>
        <w:rPr>
          <w:rStyle w:val="VerbatimChar"/>
          <w:bCs/>
          <w:b/>
        </w:rPr>
        <w:t xml:space="preserve">Entry</w:t>
      </w:r>
      <w:r>
        <w:rPr>
          <w:bCs/>
          <w:b/>
        </w:rPr>
        <w:t xml:space="preserve">, counted sequentially from the beginning of the segment</w:t>
      </w:r>
      <w:r>
        <w:t xml:space="preserve"> </w:t>
      </w:r>
      <w:r>
        <w:t xml:space="preserve">(where the first character position in the segment is counted as 1).</w:t>
      </w:r>
    </w:p>
    <w:p>
      <w:pPr>
        <w:pStyle w:val="FirstParagraph"/>
      </w:pPr>
      <w:r>
        <w:t xml:space="preserve">The method for indicating the Tenri Edition Location is based on the same principles as that for the Kazama Edition Location. The examples used to explain the Kazama Edition Location, if shown as Tenri Edition Locations, would be as follows:</w:t>
      </w:r>
    </w:p>
    <w:p>
      <w:pPr>
        <w:pStyle w:val="BodyText"/>
      </w:pPr>
      <w:r>
        <w:rPr>
          <w:bCs/>
          <w:b/>
        </w:rPr>
        <w:t xml:space="preserve">Examples of</w:t>
      </w:r>
      <w:r>
        <w:rPr>
          <w:bCs/>
          <w:b/>
        </w:rPr>
        <w:t xml:space="preserve"> </w:t>
      </w:r>
      <w:r>
        <w:rPr>
          <w:rStyle w:val="VerbatimChar"/>
          <w:bCs/>
          <w:b/>
        </w:rPr>
        <w:t xml:space="preserve">tenri_location</w:t>
      </w:r>
      <w:r>
        <w:rPr>
          <w:bCs/>
          <w:b/>
        </w:rPr>
        <w:t xml:space="preserve"> </w:t>
      </w:r>
      <w:r>
        <w:rPr>
          <w:bCs/>
          <w:b/>
        </w:rPr>
        <w:t xml:space="preserve">IDs:</w:t>
      </w:r>
      <w:r>
        <w:t xml:space="preserve"> </w:t>
      </w:r>
      <w:r>
        <w:t xml:space="preserve">*</w:t>
      </w:r>
      <w:r>
        <w:t xml:space="preserve"> </w:t>
      </w:r>
      <w:r>
        <w:rPr>
          <w:rStyle w:val="VerbatimChar"/>
        </w:rPr>
        <w:t xml:space="preserve">Ta023310</w:t>
      </w:r>
      <w:r>
        <w:t xml:space="preserve">: (Indicates a</w:t>
      </w:r>
      <w:r>
        <w:t xml:space="preserve"> </w:t>
      </w:r>
      <w:r>
        <w:rPr>
          <w:rStyle w:val="VerbatimChar"/>
          <w:bCs/>
          <w:b/>
        </w:rPr>
        <w:t xml:space="preserve">single-character Entry</w:t>
      </w:r>
      <w:r>
        <w:t xml:space="preserve">, one</w:t>
      </w:r>
      <w:r>
        <w:t xml:space="preserve"> </w:t>
      </w:r>
      <w:r>
        <w:rPr>
          <w:rStyle w:val="VerbatimChar"/>
          <w:bCs/>
          <w:b/>
        </w:rPr>
        <w:t xml:space="preserve">Entry</w:t>
      </w:r>
      <w:r>
        <w:t xml:space="preserve"> </w:t>
      </w:r>
      <w:r>
        <w:t xml:space="preserve">per segment) Upper Volume (上巻), Page 23, Line 3, Segment 1,</w:t>
      </w:r>
      <w:r>
        <w:t xml:space="preserve"> </w:t>
      </w:r>
      <w:r>
        <w:rPr>
          <w:bCs/>
          <w:b/>
        </w:rPr>
        <w:t xml:space="preserve">Character Order 0</w:t>
      </w:r>
      <w:r>
        <w:t xml:space="preserve">.</w:t>
      </w:r>
      <w:r>
        <w:t xml:space="preserve"> </w:t>
      </w:r>
      <w:r>
        <w:t xml:space="preserve">*</w:t>
      </w:r>
      <w:r>
        <w:t xml:space="preserve"> </w:t>
      </w:r>
      <w:r>
        <w:rPr>
          <w:rStyle w:val="VerbatimChar"/>
        </w:rPr>
        <w:t xml:space="preserve">Tc090411</w:t>
      </w:r>
      <w:r>
        <w:t xml:space="preserve">: (Indicates a</w:t>
      </w:r>
      <w:r>
        <w:t xml:space="preserve"> </w:t>
      </w:r>
      <w:r>
        <w:rPr>
          <w:rStyle w:val="VerbatimChar"/>
          <w:bCs/>
          <w:b/>
        </w:rPr>
        <w:t xml:space="preserve">multi-character Entry</w:t>
      </w:r>
      <w:r>
        <w:t xml:space="preserve">, one</w:t>
      </w:r>
      <w:r>
        <w:t xml:space="preserve"> </w:t>
      </w:r>
      <w:r>
        <w:rPr>
          <w:rStyle w:val="VerbatimChar"/>
          <w:bCs/>
          <w:b/>
        </w:rPr>
        <w:t xml:space="preserve">Entry</w:t>
      </w:r>
      <w:r>
        <w:t xml:space="preserve"> </w:t>
      </w:r>
      <w:r>
        <w:t xml:space="preserve">per segment) Lower Volume (下巻), Page 90, Line 4, Segment 1,</w:t>
      </w:r>
      <w:r>
        <w:t xml:space="preserve"> </w:t>
      </w:r>
      <w:r>
        <w:rPr>
          <w:bCs/>
          <w:b/>
        </w:rPr>
        <w:t xml:space="preserve">Character Order 1</w:t>
      </w:r>
      <w:r>
        <w:t xml:space="preserve">.</w:t>
      </w:r>
      <w:r>
        <w:t xml:space="preserve"> </w:t>
      </w:r>
      <w:r>
        <w:t xml:space="preserve">*</w:t>
      </w:r>
      <w:r>
        <w:t xml:space="preserve"> </w:t>
      </w:r>
      <w:r>
        <w:rPr>
          <w:rStyle w:val="VerbatimChar"/>
        </w:rPr>
        <w:t xml:space="preserve">Ta026241</w:t>
      </w:r>
      <w:r>
        <w:t xml:space="preserve">: (Indicates the</w:t>
      </w:r>
      <w:r>
        <w:t xml:space="preserve"> </w:t>
      </w:r>
      <w:r>
        <w:rPr>
          <w:bCs/>
          <w:b/>
        </w:rPr>
        <w:t xml:space="preserve">first</w:t>
      </w:r>
      <w:r>
        <w:rPr>
          <w:bCs/>
          <w:b/>
        </w:rPr>
        <w:t xml:space="preserve"> </w:t>
      </w:r>
      <w:r>
        <w:rPr>
          <w:rStyle w:val="VerbatimChar"/>
          <w:bCs/>
          <w:b/>
        </w:rPr>
        <w:t xml:space="preserve">Entry</w:t>
      </w:r>
      <w:r>
        <w:t xml:space="preserve"> </w:t>
      </w:r>
      <w:r>
        <w:t xml:space="preserve">when multiple</w:t>
      </w:r>
      <w:r>
        <w:t xml:space="preserve"> </w:t>
      </w:r>
      <w:r>
        <w:rPr>
          <w:rStyle w:val="VerbatimChar"/>
          <w:bCs/>
          <w:b/>
        </w:rPr>
        <w:t xml:space="preserve">Entries</w:t>
      </w:r>
      <w:r>
        <w:t xml:space="preserve"> </w:t>
      </w:r>
      <w:r>
        <w:t xml:space="preserve">are in the segment) Upper Volume (上巻), Page 26, Line 2, Segment 4,</w:t>
      </w:r>
      <w:r>
        <w:t xml:space="preserve"> </w:t>
      </w:r>
      <w:r>
        <w:rPr>
          <w:bCs/>
          <w:b/>
        </w:rPr>
        <w:t xml:space="preserve">Character Order 1</w:t>
      </w:r>
      <w:r>
        <w:t xml:space="preserve">.</w:t>
      </w:r>
      <w:r>
        <w:t xml:space="preserve"> </w:t>
      </w:r>
      <w:r>
        <w:t xml:space="preserve">*</w:t>
      </w:r>
      <w:r>
        <w:t xml:space="preserve"> </w:t>
      </w:r>
      <w:r>
        <w:rPr>
          <w:rStyle w:val="VerbatimChar"/>
        </w:rPr>
        <w:t xml:space="preserve">Ta026242</w:t>
      </w:r>
      <w:r>
        <w:t xml:space="preserve">: (Indicates an</w:t>
      </w:r>
      <w:r>
        <w:t xml:space="preserve"> </w:t>
      </w:r>
      <w:r>
        <w:rPr>
          <w:rStyle w:val="VerbatimChar"/>
          <w:bCs/>
          <w:b/>
        </w:rPr>
        <w:t xml:space="preserve">Entry</w:t>
      </w:r>
      <w:r>
        <w:t xml:space="preserve"> </w:t>
      </w:r>
      <w:r>
        <w:t xml:space="preserve">starting from the</w:t>
      </w:r>
      <w:r>
        <w:t xml:space="preserve"> </w:t>
      </w:r>
      <w:r>
        <w:rPr>
          <w:bCs/>
          <w:b/>
        </w:rPr>
        <w:t xml:space="preserve">2nd character position</w:t>
      </w:r>
      <w:r>
        <w:t xml:space="preserve"> </w:t>
      </w:r>
      <w:r>
        <w:t xml:space="preserve">within the segment, when multiple</w:t>
      </w:r>
      <w:r>
        <w:t xml:space="preserve"> </w:t>
      </w:r>
      <w:r>
        <w:rPr>
          <w:rStyle w:val="VerbatimChar"/>
          <w:bCs/>
          <w:b/>
        </w:rPr>
        <w:t xml:space="preserve">Entries</w:t>
      </w:r>
      <w:r>
        <w:t xml:space="preserve"> </w:t>
      </w:r>
      <w:r>
        <w:t xml:space="preserve">are in the segment) Upper Volume (上巻), Page 26, Line 2, Segment 4,</w:t>
      </w:r>
      <w:r>
        <w:t xml:space="preserve"> </w:t>
      </w:r>
      <w:r>
        <w:rPr>
          <w:bCs/>
          <w:b/>
        </w:rPr>
        <w:t xml:space="preserve">Character Order 2</w:t>
      </w:r>
      <w:r>
        <w:t xml:space="preserve">.</w:t>
      </w:r>
      <w:r>
        <w:t xml:space="preserve"> </w:t>
      </w:r>
      <w:r>
        <w:t xml:space="preserve">*</w:t>
      </w:r>
      <w:r>
        <w:t xml:space="preserve"> </w:t>
      </w:r>
      <w:r>
        <w:rPr>
          <w:rStyle w:val="VerbatimChar"/>
        </w:rPr>
        <w:t xml:space="preserve">Ta030341</w:t>
      </w:r>
      <w:r>
        <w:t xml:space="preserve">: (Indicates the</w:t>
      </w:r>
      <w:r>
        <w:t xml:space="preserve"> </w:t>
      </w:r>
      <w:r>
        <w:rPr>
          <w:bCs/>
          <w:b/>
        </w:rPr>
        <w:t xml:space="preserve">first</w:t>
      </w:r>
      <w:r>
        <w:rPr>
          <w:bCs/>
          <w:b/>
        </w:rPr>
        <w:t xml:space="preserve"> </w:t>
      </w:r>
      <w:r>
        <w:rPr>
          <w:rStyle w:val="VerbatimChar"/>
          <w:bCs/>
          <w:b/>
        </w:rPr>
        <w:t xml:space="preserve">Entry</w:t>
      </w:r>
      <w:r>
        <w:t xml:space="preserve"> </w:t>
      </w:r>
      <w:r>
        <w:t xml:space="preserve">when multiple</w:t>
      </w:r>
      <w:r>
        <w:t xml:space="preserve"> </w:t>
      </w:r>
      <w:r>
        <w:rPr>
          <w:rStyle w:val="VerbatimChar"/>
          <w:bCs/>
          <w:b/>
        </w:rPr>
        <w:t xml:space="preserve">Entries</w:t>
      </w:r>
      <w:r>
        <w:t xml:space="preserve"> </w:t>
      </w:r>
      <w:r>
        <w:t xml:space="preserve">are in the segment) Upper Volume (上巻), Page 30, Line 3, Segment 4,</w:t>
      </w:r>
      <w:r>
        <w:t xml:space="preserve"> </w:t>
      </w:r>
      <w:r>
        <w:rPr>
          <w:bCs/>
          <w:b/>
        </w:rPr>
        <w:t xml:space="preserve">Character Order 1</w:t>
      </w:r>
      <w:r>
        <w:t xml:space="preserve">.</w:t>
      </w:r>
      <w:r>
        <w:t xml:space="preserve"> </w:t>
      </w:r>
      <w:r>
        <w:t xml:space="preserve">*</w:t>
      </w:r>
      <w:r>
        <w:t xml:space="preserve"> </w:t>
      </w:r>
      <w:r>
        <w:rPr>
          <w:rStyle w:val="VerbatimChar"/>
        </w:rPr>
        <w:t xml:space="preserve">Ta030343</w:t>
      </w:r>
      <w:r>
        <w:t xml:space="preserve">: (Indicates an</w:t>
      </w:r>
      <w:r>
        <w:t xml:space="preserve"> </w:t>
      </w:r>
      <w:r>
        <w:rPr>
          <w:rStyle w:val="VerbatimChar"/>
          <w:bCs/>
          <w:b/>
        </w:rPr>
        <w:t xml:space="preserve">Entry</w:t>
      </w:r>
      <w:r>
        <w:t xml:space="preserve"> </w:t>
      </w:r>
      <w:r>
        <w:t xml:space="preserve">starting from the</w:t>
      </w:r>
      <w:r>
        <w:t xml:space="preserve"> </w:t>
      </w:r>
      <w:r>
        <w:rPr>
          <w:bCs/>
          <w:b/>
        </w:rPr>
        <w:t xml:space="preserve">3rd character position</w:t>
      </w:r>
      <w:r>
        <w:t xml:space="preserve"> </w:t>
      </w:r>
      <w:r>
        <w:t xml:space="preserve">within the segment, when multiple</w:t>
      </w:r>
      <w:r>
        <w:t xml:space="preserve"> </w:t>
      </w:r>
      <w:r>
        <w:rPr>
          <w:rStyle w:val="VerbatimChar"/>
          <w:bCs/>
          <w:b/>
        </w:rPr>
        <w:t xml:space="preserve">Entries</w:t>
      </w:r>
      <w:r>
        <w:t xml:space="preserve"> </w:t>
      </w:r>
      <w:r>
        <w:t xml:space="preserve">are in the segment) Upper Volume (上巻), Page 30, Line 3, Segment 4,</w:t>
      </w:r>
      <w:r>
        <w:t xml:space="preserve"> </w:t>
      </w:r>
      <w:r>
        <w:rPr>
          <w:bCs/>
          <w:b/>
        </w:rPr>
        <w:t xml:space="preserve">Character Order 3</w:t>
      </w:r>
      <w:r>
        <w:t xml:space="preserve">.</w:t>
      </w:r>
    </w:p>
    <w:p>
      <w:pPr>
        <w:pStyle w:val="BodyText"/>
      </w:pPr>
      <w:r>
        <w:rPr>
          <w:bCs/>
          <w:b/>
        </w:rPr>
        <w:t xml:space="preserve">Purpose:</w:t>
      </w:r>
      <w:r>
        <w:t xml:space="preserve"> </w:t>
      </w:r>
      <w:r>
        <w:t xml:space="preserve">To indicate the location of an</w:t>
      </w:r>
      <w:r>
        <w:t xml:space="preserve"> </w:t>
      </w:r>
      <w:r>
        <w:rPr>
          <w:rStyle w:val="VerbatimChar"/>
          <w:bCs/>
          <w:b/>
        </w:rPr>
        <w:t xml:space="preserve">Entry</w:t>
      </w:r>
      <w:r>
        <w:t xml:space="preserve"> </w:t>
      </w:r>
      <w:r>
        <w:t xml:space="preserve">in the Tenri Edition. This ID system is determined based on rules for indicating character position, designed to accommodate all various arrangement patterns of</w:t>
      </w:r>
      <w:r>
        <w:t xml:space="preserve"> </w:t>
      </w:r>
      <w:r>
        <w:rPr>
          <w:rStyle w:val="VerbatimChar"/>
          <w:bCs/>
          <w:b/>
        </w:rPr>
        <w:t xml:space="preserve">Entries</w:t>
      </w:r>
      <w:r>
        <w:t xml:space="preserve">: the primarily used</w:t>
      </w:r>
      <w:r>
        <w:t xml:space="preserve"> </w:t>
      </w:r>
      <w:r>
        <w:t xml:space="preserve">“</w:t>
      </w:r>
      <w:r>
        <w:t xml:space="preserve">single-segment, single-entry</w:t>
      </w:r>
      <w:r>
        <w:t xml:space="preserve">”</w:t>
      </w:r>
      <w:r>
        <w:t xml:space="preserve"> </w:t>
      </w:r>
      <w:r>
        <w:t xml:space="preserve">arrangement; the frequently occurring</w:t>
      </w:r>
      <w:r>
        <w:t xml:space="preserve"> </w:t>
      </w:r>
      <w:r>
        <w:t xml:space="preserve">“</w:t>
      </w:r>
      <w:r>
        <w:t xml:space="preserve">multi-segment, single-entry</w:t>
      </w:r>
      <w:r>
        <w:t xml:space="preserve">”</w:t>
      </w:r>
      <w:r>
        <w:t xml:space="preserve"> </w:t>
      </w:r>
      <w:r>
        <w:t xml:space="preserve">arrangement; and the rare</w:t>
      </w:r>
      <w:r>
        <w:t xml:space="preserve"> </w:t>
      </w:r>
      <w:r>
        <w:t xml:space="preserve">“</w:t>
      </w:r>
      <w:r>
        <w:t xml:space="preserve">single-segment, multi-entry</w:t>
      </w:r>
      <w:r>
        <w:t xml:space="preserve">”</w:t>
      </w:r>
      <w:r>
        <w:t xml:space="preserve"> </w:t>
      </w:r>
      <w:r>
        <w:t xml:space="preserve">arrangement.</w:t>
      </w:r>
    </w:p>
    <w:p>
      <w:pPr>
        <w:pStyle w:val="BodyText"/>
      </w:pPr>
      <w:r>
        <w:rPr>
          <w:bCs/>
          <w:b/>
        </w:rPr>
        <w:t xml:space="preserve">Source:</w:t>
      </w:r>
      <w:r>
        <w:t xml:space="preserve"> </w:t>
      </w:r>
      <w:r>
        <w:t xml:space="preserve">Based on</w:t>
      </w:r>
      <w:r>
        <w:t xml:space="preserve"> </w:t>
      </w:r>
      <w:r>
        <w:rPr>
          <w:iCs/>
          <w:i/>
        </w:rPr>
        <w:t xml:space="preserve">Ruiju Myōgishō: Butsu, Hō, Sō</w:t>
      </w:r>
      <w:r>
        <w:t xml:space="preserve"> </w:t>
      </w:r>
      <w:r>
        <w:t xml:space="preserve">(類聚名義抄　仏・法・僧; Tenri Toshokan Zenpon Sōsho, Washo no Bu, vols. 32-34; Tenri Daigaku Shuppanbu, distributed by Yagi Shoten).</w:t>
      </w:r>
    </w:p>
    <w:bookmarkEnd w:id="172"/>
    <w:bookmarkEnd w:id="173"/>
    <w:bookmarkEnd w:id="174"/>
    <w:bookmarkStart w:id="178" w:name="X1a120bd82b05d7c6b46a2ecd33893d726e3a564"/>
    <w:p>
      <w:pPr>
        <w:pStyle w:val="Heading2"/>
      </w:pPr>
      <w:r>
        <w:rPr>
          <w:rStyle w:val="SectionNumber"/>
        </w:rPr>
        <w:t xml:space="preserve">16.4</w:t>
      </w:r>
      <w:r>
        <w:tab/>
      </w:r>
      <w:r>
        <w:t xml:space="preserve">Input Method for</w:t>
      </w:r>
      <w:r>
        <w:t xml:space="preserve"> </w:t>
      </w:r>
      <w:r>
        <w:rPr>
          <w:rStyle w:val="VerbatimChar"/>
        </w:rPr>
        <w:t xml:space="preserve">Headwords</w:t>
      </w:r>
    </w:p>
    <w:p>
      <w:pPr>
        <w:pStyle w:val="FirstParagraph"/>
      </w:pPr>
      <w:r>
        <w:rPr>
          <w:rStyle w:val="VerbatimChar"/>
          <w:bCs/>
          <w:b/>
        </w:rPr>
        <w:t xml:space="preserve">Headwords</w:t>
      </w:r>
      <w:r>
        <w:t xml:space="preserve"> </w:t>
      </w:r>
      <w:r>
        <w:t xml:space="preserve">are input into the</w:t>
      </w:r>
      <w:r>
        <w:t xml:space="preserve"> </w:t>
      </w:r>
      <w:r>
        <w:rPr>
          <w:rStyle w:val="VerbatimChar"/>
        </w:rPr>
        <w:t xml:space="preserve">hanzi_entry</w:t>
      </w:r>
      <w:r>
        <w:t xml:space="preserve"> </w:t>
      </w:r>
      <w:r>
        <w:t xml:space="preserve">column.</w:t>
      </w:r>
    </w:p>
    <w:p>
      <w:pPr>
        <w:pStyle w:val="BodyText"/>
      </w:pPr>
      <w:r>
        <w:rPr>
          <w:rStyle w:val="VerbatimChar"/>
          <w:bCs/>
          <w:b/>
        </w:rPr>
        <w:t xml:space="preserve">Entries</w:t>
      </w:r>
      <w:r>
        <w:t xml:space="preserve"> </w:t>
      </w:r>
      <w:r>
        <w:t xml:space="preserve">have</w:t>
      </w:r>
      <w:r>
        <w:t xml:space="preserve"> </w:t>
      </w:r>
      <w:r>
        <w:rPr>
          <w:rStyle w:val="VerbatimChar"/>
          <w:bCs/>
          <w:b/>
        </w:rPr>
        <w:t xml:space="preserve">Headwords</w:t>
      </w:r>
      <w:r>
        <w:t xml:space="preserve"> </w:t>
      </w:r>
      <w:r>
        <w:t xml:space="preserve">that can be in either</w:t>
      </w:r>
      <w:r>
        <w:t xml:space="preserve"> </w:t>
      </w:r>
      <w:r>
        <w:rPr>
          <w:rStyle w:val="VerbatimChar"/>
          <w:bCs/>
          <w:b/>
        </w:rPr>
        <w:t xml:space="preserve">Single Character Form</w:t>
      </w:r>
      <w:r>
        <w:t xml:space="preserve"> </w:t>
      </w:r>
      <w:r>
        <w:t xml:space="preserve">or</w:t>
      </w:r>
      <w:r>
        <w:t xml:space="preserve"> </w:t>
      </w:r>
      <w:r>
        <w:rPr>
          <w:rStyle w:val="VerbatimChar"/>
          <w:bCs/>
          <w:b/>
        </w:rPr>
        <w:t xml:space="preserve">Multi-Character Form</w:t>
      </w:r>
      <w:r>
        <w:t xml:space="preserve">. As the</w:t>
      </w:r>
      <w:r>
        <w:t xml:space="preserve"> </w:t>
      </w:r>
      <w:r>
        <w:rPr>
          <w:rStyle w:val="VerbatimChar"/>
          <w:bCs/>
          <w:b/>
        </w:rPr>
        <w:t xml:space="preserve">Single Character Form</w:t>
      </w:r>
      <w:r>
        <w:t xml:space="preserve"> </w:t>
      </w:r>
      <w:r>
        <w:t xml:space="preserve">generally does not pose particular input issues, this section will focus on the input method for</w:t>
      </w:r>
      <w:r>
        <w:t xml:space="preserve"> </w:t>
      </w:r>
      <w:r>
        <w:rPr>
          <w:rStyle w:val="VerbatimChar"/>
          <w:bCs/>
          <w:b/>
        </w:rPr>
        <w:t xml:space="preserve">Headwords</w:t>
      </w:r>
      <w:r>
        <w:t xml:space="preserve"> </w:t>
      </w:r>
      <w:r>
        <w:t xml:space="preserve">in</w:t>
      </w:r>
      <w:r>
        <w:t xml:space="preserve"> </w:t>
      </w:r>
      <w:r>
        <w:rPr>
          <w:rStyle w:val="VerbatimChar"/>
          <w:bCs/>
          <w:b/>
        </w:rPr>
        <w:t xml:space="preserve">Multi-Character Form</w:t>
      </w:r>
      <w:r>
        <w:t xml:space="preserve">.</w:t>
      </w:r>
    </w:p>
    <w:p>
      <w:pPr>
        <w:pStyle w:val="BodyText"/>
      </w:pPr>
      <w:r>
        <w:t xml:space="preserve">For</w:t>
      </w:r>
      <w:r>
        <w:t xml:space="preserve"> </w:t>
      </w:r>
      <w:r>
        <w:rPr>
          <w:rStyle w:val="VerbatimChar"/>
          <w:bCs/>
          <w:b/>
        </w:rPr>
        <w:t xml:space="preserve">Multi-Character Form</w:t>
      </w:r>
      <w:r>
        <w:t xml:space="preserve"> </w:t>
      </w:r>
      <w:r>
        <w:rPr>
          <w:rStyle w:val="VerbatimChar"/>
          <w:bCs/>
          <w:b/>
        </w:rPr>
        <w:t xml:space="preserve">Headwords</w:t>
      </w:r>
      <w:r>
        <w:t xml:space="preserve">, whether they represent a co-listing of</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or an idiom/compound, the constituent characters of the</w:t>
      </w:r>
      <w:r>
        <w:t xml:space="preserve"> </w:t>
      </w:r>
      <w:r>
        <w:rPr>
          <w:rStyle w:val="VerbatimChar"/>
          <w:bCs/>
          <w:b/>
        </w:rPr>
        <w:t xml:space="preserve">Headword</w:t>
      </w:r>
      <w:r>
        <w:t xml:space="preserve"> </w:t>
      </w:r>
      <w:r>
        <w:t xml:space="preserve">are input separated by a</w:t>
      </w:r>
      <w:r>
        <w:t xml:space="preserve"> </w:t>
      </w:r>
      <w:r>
        <w:t xml:space="preserve">‘</w:t>
      </w:r>
      <w:r>
        <w:t xml:space="preserve">／</w:t>
      </w:r>
      <w:r>
        <w:t xml:space="preserve">’</w:t>
      </w:r>
      <w:r>
        <w:t xml:space="preserve"> </w:t>
      </w:r>
      <w:r>
        <w:t xml:space="preserve">(full-width slash, U+FF0F).</w:t>
      </w:r>
    </w:p>
    <w:p>
      <w:pPr>
        <w:pStyle w:val="BodyText"/>
      </w:pPr>
      <w:r>
        <w:t xml:space="preserve">If a</w:t>
      </w:r>
      <w:r>
        <w:t xml:space="preserve"> </w:t>
      </w:r>
      <w:r>
        <w:rPr>
          <w:rStyle w:val="VerbatimChar"/>
          <w:bCs/>
          <w:b/>
        </w:rPr>
        <w:t xml:space="preserve">Headword</w:t>
      </w:r>
      <w:r>
        <w:t xml:space="preserve"> </w:t>
      </w:r>
      <w:r>
        <w:t xml:space="preserve">in an</w:t>
      </w:r>
      <w:r>
        <w:t xml:space="preserve"> </w:t>
      </w:r>
      <w:r>
        <w:rPr>
          <w:rStyle w:val="VerbatimChar"/>
          <w:bCs/>
          <w:b/>
        </w:rPr>
        <w:t xml:space="preserve">Entry</w:t>
      </w:r>
      <w:r>
        <w:t xml:space="preserve"> </w:t>
      </w:r>
      <w:r>
        <w:t xml:space="preserve">contains</w:t>
      </w:r>
      <w:r>
        <w:t xml:space="preserve"> </w:t>
      </w:r>
      <w:r>
        <w:t xml:space="preserve">‘</w:t>
      </w:r>
      <w:r>
        <w:t xml:space="preserve">／</w:t>
      </w:r>
      <w:r>
        <w:t xml:space="preserve">’</w:t>
      </w:r>
      <w:r>
        <w:t xml:space="preserve">, this indicates that the</w:t>
      </w:r>
      <w:r>
        <w:t xml:space="preserve"> </w:t>
      </w:r>
      <w:r>
        <w:rPr>
          <w:rStyle w:val="VerbatimChar"/>
          <w:bCs/>
          <w:b/>
        </w:rPr>
        <w:t xml:space="preserve">Headword</w:t>
      </w:r>
      <w:r>
        <w:t xml:space="preserve"> </w:t>
      </w:r>
      <w:r>
        <w:t xml:space="preserve">is in</w:t>
      </w:r>
      <w:r>
        <w:t xml:space="preserve"> </w:t>
      </w:r>
      <w:r>
        <w:rPr>
          <w:rStyle w:val="VerbatimChar"/>
          <w:bCs/>
          <w:b/>
        </w:rPr>
        <w:t xml:space="preserve">Multi-Character Form</w:t>
      </w:r>
      <w:r>
        <w:t xml:space="preserve">. The number of characters in such a</w:t>
      </w:r>
      <w:r>
        <w:t xml:space="preserve"> </w:t>
      </w:r>
      <w:r>
        <w:rPr>
          <w:rStyle w:val="VerbatimChar"/>
          <w:bCs/>
          <w:b/>
        </w:rPr>
        <w:t xml:space="preserve">Headword</w:t>
      </w:r>
      <w:r>
        <w:t xml:space="preserve"> </w:t>
      </w:r>
      <w:r>
        <w:t xml:space="preserve">can be determined by the number of segments separated by the</w:t>
      </w:r>
      <w:r>
        <w:t xml:space="preserve"> </w:t>
      </w:r>
      <w:r>
        <w:t xml:space="preserve">‘</w:t>
      </w:r>
      <w:r>
        <w:t xml:space="preserve">／</w:t>
      </w:r>
      <w:r>
        <w:t xml:space="preserve">’</w:t>
      </w:r>
      <w:r>
        <w:t xml:space="preserve"> </w:t>
      </w:r>
      <w:r>
        <w:t xml:space="preserve">(e.g., one slash results in two segments, indicating two characters).</w:t>
      </w:r>
    </w:p>
    <w:p>
      <w:pPr>
        <w:pStyle w:val="BodyText"/>
      </w:pPr>
      <w:r>
        <w:rPr>
          <w:bCs/>
          <w:b/>
        </w:rPr>
        <w:t xml:space="preserve">Examples:</w:t>
      </w:r>
    </w:p>
    <w:p>
      <w:pPr>
        <w:numPr>
          <w:ilvl w:val="0"/>
          <w:numId w:val="1135"/>
        </w:numPr>
        <w:pStyle w:val="Compact"/>
      </w:pPr>
      <w:r>
        <w:t xml:space="preserve">Co-listing of</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翛／倐／倏／翛β</w:t>
      </w:r>
    </w:p>
    <w:p>
      <w:pPr>
        <w:numPr>
          <w:ilvl w:val="0"/>
          <w:numId w:val="1135"/>
        </w:numPr>
        <w:pStyle w:val="Compact"/>
      </w:pPr>
      <w:r>
        <w:t xml:space="preserve">Idiom/compound: 一／人</w:t>
      </w:r>
    </w:p>
    <w:p>
      <w:pPr>
        <w:pStyle w:val="FirstParagraph"/>
      </w:pPr>
      <w:r>
        <w:t xml:space="preserve">For details on how to input characters using Unicode, please refer to the</w:t>
      </w:r>
      <w:r>
        <w:t xml:space="preserve"> </w:t>
      </w:r>
      <w:hyperlink r:id="rId175">
        <w:r>
          <w:rPr>
            <w:rStyle w:val="Hyperlink"/>
          </w:rPr>
          <w:t xml:space="preserve">Character Encoding and Representation</w:t>
        </w:r>
      </w:hyperlink>
      <w:r>
        <w:t xml:space="preserve"> </w:t>
      </w:r>
      <w:r>
        <w:t xml:space="preserve">section.</w:t>
      </w:r>
    </w:p>
    <w:bookmarkStart w:id="176" w:name="X466abeb68b7dbf88db86e9cee5966507bf37659"/>
    <w:p>
      <w:pPr>
        <w:pStyle w:val="Heading3"/>
      </w:pPr>
      <w:r>
        <w:rPr>
          <w:rStyle w:val="SectionNumber"/>
        </w:rPr>
        <w:t xml:space="preserve">16.4.1</w:t>
      </w:r>
      <w:r>
        <w:tab/>
      </w:r>
      <w:r>
        <w:t xml:space="preserve">Handling of IDs in Data Representation</w:t>
      </w:r>
    </w:p>
    <w:p>
      <w:pPr>
        <w:pStyle w:val="FirstParagraph"/>
      </w:pPr>
      <w:r>
        <w:t xml:space="preserve">The main entry data for the</w:t>
      </w:r>
      <w:r>
        <w:t xml:space="preserve"> </w:t>
      </w:r>
      <w:r>
        <w:rPr>
          <w:iCs/>
          <w:i/>
        </w:rPr>
        <w:t xml:space="preserve">Myōgishō</w:t>
      </w:r>
      <w:r>
        <w:t xml:space="preserve"> </w:t>
      </w:r>
      <w:r>
        <w:t xml:space="preserve">(e.g., in</w:t>
      </w:r>
      <w:r>
        <w:t xml:space="preserve"> </w:t>
      </w:r>
      <w:r>
        <w:rPr>
          <w:rStyle w:val="VerbatimChar"/>
        </w:rPr>
        <w:t xml:space="preserve">krm_main.tsv</w:t>
      </w:r>
      <w:r>
        <w:t xml:space="preserve">) is published in TSV format.</w:t>
      </w:r>
      <w:r>
        <w:t xml:space="preserve"> </w:t>
      </w:r>
      <w:r>
        <w:t xml:space="preserve">This subsection explains how each ID is represented in the TSV files, with a particular focus on the representation rules for</w:t>
      </w:r>
      <w:r>
        <w:t xml:space="preserve"> </w:t>
      </w:r>
      <w:r>
        <w:rPr>
          <w:rStyle w:val="VerbatimChar"/>
          <w:bCs/>
          <w:b/>
        </w:rPr>
        <w:t xml:space="preserve">Multi-Character Form</w:t>
      </w:r>
      <w:r>
        <w:t xml:space="preserve"> </w:t>
      </w:r>
      <w:r>
        <w:rPr>
          <w:rStyle w:val="VerbatimChar"/>
          <w:bCs/>
          <w:b/>
        </w:rPr>
        <w:t xml:space="preserve">Entries</w:t>
      </w:r>
      <w:r>
        <w:t xml:space="preserve">.</w:t>
      </w:r>
      <w:r>
        <w:t xml:space="preserve"> </w:t>
      </w:r>
      <w:r>
        <w:t xml:space="preserve">While some explanations may overlap with those in other sections (such as</w:t>
      </w:r>
      <w:r>
        <w:t xml:space="preserve"> </w:t>
      </w:r>
      <w:r>
        <w:t xml:space="preserve">“</w:t>
      </w:r>
      <w:r>
        <w:t xml:space="preserve">Detailed Format of Primary IDs,</w:t>
      </w:r>
      <w:r>
        <w:t xml:space="preserve">”</w:t>
      </w:r>
      <w:r>
        <w:t xml:space="preserve"> </w:t>
      </w:r>
      <w:r>
        <w:t xml:space="preserve">“</w:t>
      </w:r>
      <w:r>
        <w:t xml:space="preserve">Input Method for</w:t>
      </w:r>
      <w:r>
        <w:t xml:space="preserve"> </w:t>
      </w:r>
      <w:r>
        <w:rPr>
          <w:rStyle w:val="VerbatimChar"/>
        </w:rPr>
        <w:t xml:space="preserve">Headwords</w:t>
      </w:r>
      <w:r>
        <w:t xml:space="preserve">,</w:t>
      </w:r>
      <w:r>
        <w:t xml:space="preserve">”</w:t>
      </w:r>
      <w:r>
        <w:t xml:space="preserve"> </w:t>
      </w:r>
      <w:r>
        <w:t xml:space="preserve">and the section on</w:t>
      </w:r>
      <w:r>
        <w:t xml:space="preserve"> </w:t>
      </w:r>
      <w:r>
        <w:rPr>
          <w:rStyle w:val="VerbatimChar"/>
        </w:rPr>
        <w:t xml:space="preserve">krm_headword_chars</w:t>
      </w:r>
      <w:r>
        <w:t xml:space="preserve"> </w:t>
      </w:r>
      <w:r>
        <w:t xml:space="preserve">which details individual headword characters and acts as a mapping table), this information is crucial for processing the TSV-formatted data and is therefore summarized again here.</w:t>
      </w:r>
    </w:p>
    <w:p>
      <w:pPr>
        <w:pStyle w:val="BodyText"/>
      </w:pPr>
      <w:r>
        <w:rPr>
          <w:bCs/>
          <w:b/>
        </w:rPr>
        <w:t xml:space="preserve">TSV Columns and Corresponding IDs:</w:t>
      </w:r>
    </w:p>
    <w:p>
      <w:pPr>
        <w:pStyle w:val="BodyText"/>
      </w:pPr>
      <w:r>
        <w:t xml:space="preserve">The primary TSV files store the following IDs in their respective columns:</w:t>
      </w:r>
    </w:p>
    <w:p>
      <w:pPr>
        <w:numPr>
          <w:ilvl w:val="0"/>
          <w:numId w:val="1136"/>
        </w:numPr>
        <w:pStyle w:val="Compact"/>
      </w:pPr>
      <w:r>
        <w:rPr>
          <w:rStyle w:val="VerbatimChar"/>
        </w:rPr>
        <w:t xml:space="preserve">entry_id</w:t>
      </w:r>
      <w:r>
        <w:t xml:space="preserve">:</w:t>
      </w:r>
      <w:r>
        <w:t xml:space="preserve"> </w:t>
      </w:r>
      <w:r>
        <w:rPr>
          <w:rStyle w:val="VerbatimChar"/>
          <w:bCs/>
          <w:b/>
        </w:rPr>
        <w:t xml:space="preserve">Entry</w:t>
      </w:r>
      <w:r>
        <w:t xml:space="preserve"> </w:t>
      </w:r>
      <w:r>
        <w:t xml:space="preserve">ID (F-format)</w:t>
      </w:r>
    </w:p>
    <w:p>
      <w:pPr>
        <w:numPr>
          <w:ilvl w:val="0"/>
          <w:numId w:val="1136"/>
        </w:numPr>
        <w:pStyle w:val="Compact"/>
      </w:pPr>
      <w:r>
        <w:rPr>
          <w:rStyle w:val="VerbatimChar"/>
        </w:rPr>
        <w:t xml:space="preserve">hanzi_id</w:t>
      </w:r>
      <w:r>
        <w:t xml:space="preserve">:</w:t>
      </w:r>
      <w:r>
        <w:t xml:space="preserve"> </w:t>
      </w:r>
      <w:r>
        <w:rPr>
          <w:rStyle w:val="VerbatimChar"/>
          <w:bCs/>
          <w:b/>
        </w:rPr>
        <w:t xml:space="preserve">Headword</w:t>
      </w:r>
      <w:r>
        <w:t xml:space="preserve"> </w:t>
      </w:r>
      <w:r>
        <w:t xml:space="preserve">Character ID (S-format)</w:t>
      </w:r>
    </w:p>
    <w:p>
      <w:pPr>
        <w:numPr>
          <w:ilvl w:val="0"/>
          <w:numId w:val="1136"/>
        </w:numPr>
        <w:pStyle w:val="Compact"/>
      </w:pPr>
      <w:r>
        <w:rPr>
          <w:rStyle w:val="VerbatimChar"/>
        </w:rPr>
        <w:t xml:space="preserve">kazama_location</w:t>
      </w:r>
      <w:r>
        <w:t xml:space="preserve">: Kazama Edition Location (K-format)</w:t>
      </w:r>
    </w:p>
    <w:p>
      <w:pPr>
        <w:numPr>
          <w:ilvl w:val="0"/>
          <w:numId w:val="1136"/>
        </w:numPr>
        <w:pStyle w:val="Compact"/>
      </w:pPr>
      <w:r>
        <w:rPr>
          <w:rStyle w:val="VerbatimChar"/>
        </w:rPr>
        <w:t xml:space="preserve">tenri_location</w:t>
      </w:r>
      <w:r>
        <w:t xml:space="preserve">: Tenri Edition Location (T-format)</w:t>
      </w:r>
    </w:p>
    <w:p>
      <w:pPr>
        <w:pStyle w:val="FirstParagraph"/>
      </w:pPr>
      <w:r>
        <w:t xml:space="preserve">IDs other than those listed above (e.g., the</w:t>
      </w:r>
      <w:r>
        <w:t xml:space="preserve"> </w:t>
      </w:r>
      <w:r>
        <w:rPr>
          <w:rStyle w:val="VerbatimChar"/>
          <w:bCs/>
          <w:b/>
        </w:rPr>
        <w:t xml:space="preserve">Headword</w:t>
      </w:r>
      <w:r>
        <w:t xml:space="preserve"> </w:t>
      </w:r>
      <w:r>
        <w:t xml:space="preserve">Character IDs or location IDs for the second and subsequent characters within a multi-character</w:t>
      </w:r>
      <w:r>
        <w:t xml:space="preserve"> </w:t>
      </w:r>
      <w:r>
        <w:rPr>
          <w:rStyle w:val="VerbatimChar"/>
          <w:bCs/>
          <w:b/>
        </w:rPr>
        <w:t xml:space="preserve">Headword</w:t>
      </w:r>
      <w:r>
        <w:t xml:space="preserve">) are not directly stored in this primary file but can be referenced through a separate mapping table (</w:t>
      </w:r>
      <w:r>
        <w:rPr>
          <w:rStyle w:val="VerbatimChar"/>
        </w:rPr>
        <w:t xml:space="preserve">krm_headword_chars.tsv</w:t>
      </w:r>
      <w:r>
        <w:t xml:space="preserve">).</w:t>
      </w:r>
    </w:p>
    <w:p>
      <w:pPr>
        <w:pStyle w:val="BodyText"/>
      </w:pPr>
      <w:r>
        <w:rPr>
          <w:bCs/>
          <w:b/>
        </w:rPr>
        <w:t xml:space="preserve">Data Representation Rules for</w:t>
      </w:r>
      <w:r>
        <w:rPr>
          <w:bCs/>
          <w:b/>
        </w:rPr>
        <w:t xml:space="preserve"> </w:t>
      </w:r>
      <w:r>
        <w:rPr>
          <w:rStyle w:val="VerbatimChar"/>
          <w:bCs/>
          <w:b/>
        </w:rPr>
        <w:t xml:space="preserve">Multi-Character Form</w:t>
      </w:r>
      <w:r>
        <w:rPr>
          <w:bCs/>
          <w:b/>
        </w:rPr>
        <w:t xml:space="preserve"> </w:t>
      </w:r>
      <w:r>
        <w:rPr>
          <w:rStyle w:val="VerbatimChar"/>
          <w:bCs/>
          <w:b/>
        </w:rPr>
        <w:t xml:space="preserve">Entries</w:t>
      </w:r>
    </w:p>
    <w:p>
      <w:pPr>
        <w:numPr>
          <w:ilvl w:val="0"/>
          <w:numId w:val="1137"/>
        </w:numPr>
        <w:pStyle w:val="Compact"/>
      </w:pPr>
      <w:r>
        <w:rPr>
          <w:rStyle w:val="VerbatimChar"/>
          <w:bCs/>
          <w:b/>
        </w:rPr>
        <w:t xml:space="preserve">Multi-Character Form</w:t>
      </w:r>
      <w:r>
        <w:t xml:space="preserve"> </w:t>
      </w:r>
      <w:r>
        <w:rPr>
          <w:rStyle w:val="VerbatimChar"/>
          <w:bCs/>
          <w:b/>
        </w:rPr>
        <w:t xml:space="preserve">Headwords</w:t>
      </w:r>
      <w:r>
        <w:t xml:space="preserve"> </w:t>
      </w:r>
      <w:r>
        <w:t xml:space="preserve">(such as those co-listing</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or representing idioms/compounds) are stored as a string in the</w:t>
      </w:r>
      <w:r>
        <w:t xml:space="preserve"> </w:t>
      </w:r>
      <w:r>
        <w:rPr>
          <w:rStyle w:val="VerbatimChar"/>
        </w:rPr>
        <w:t xml:space="preserve">hanzi_entry</w:t>
      </w:r>
      <w:r>
        <w:t xml:space="preserve"> </w:t>
      </w:r>
      <w:r>
        <w:t xml:space="preserve">column, with constituent characters separated by a full-width slash (</w:t>
      </w:r>
      <w:r>
        <w:t xml:space="preserve">‘</w:t>
      </w:r>
      <w:r>
        <w:t xml:space="preserve">／</w:t>
      </w:r>
      <w:r>
        <w:t xml:space="preserve">’</w:t>
      </w:r>
      <w:r>
        <w:t xml:space="preserve">).</w:t>
      </w:r>
    </w:p>
    <w:p>
      <w:pPr>
        <w:numPr>
          <w:ilvl w:val="0"/>
          <w:numId w:val="1137"/>
        </w:numPr>
        <w:pStyle w:val="Compact"/>
      </w:pPr>
      <w:r>
        <w:t xml:space="preserve">Regarding the representation of IDs, the main TSV row corresponding to a</w:t>
      </w:r>
      <w:r>
        <w:t xml:space="preserve"> </w:t>
      </w:r>
      <w:r>
        <w:rPr>
          <w:rStyle w:val="VerbatimChar"/>
          <w:bCs/>
          <w:b/>
        </w:rPr>
        <w:t xml:space="preserve">Multi-Character Form</w:t>
      </w:r>
      <w:r>
        <w:t xml:space="preserve"> </w:t>
      </w:r>
      <w:r>
        <w:rPr>
          <w:rStyle w:val="VerbatimChar"/>
          <w:bCs/>
          <w:b/>
        </w:rPr>
        <w:t xml:space="preserve">Entry</w:t>
      </w:r>
      <w:r>
        <w:t xml:space="preserve"> </w:t>
      </w:r>
      <w:r>
        <w:t xml:space="preserve">displays only the IDs related to the</w:t>
      </w:r>
      <w:r>
        <w:t xml:space="preserve"> </w:t>
      </w:r>
      <w:r>
        <w:rPr>
          <w:bCs/>
          <w:b/>
        </w:rPr>
        <w:t xml:space="preserve">first character</w:t>
      </w:r>
      <w:r>
        <w:t xml:space="preserve"> </w:t>
      </w:r>
      <w:r>
        <w:t xml:space="preserve">of that</w:t>
      </w:r>
      <w:r>
        <w:t xml:space="preserve"> </w:t>
      </w:r>
      <w:r>
        <w:rPr>
          <w:rStyle w:val="VerbatimChar"/>
          <w:bCs/>
          <w:b/>
        </w:rPr>
        <w:t xml:space="preserve">Headword</w:t>
      </w:r>
      <w:r>
        <w:t xml:space="preserve">.</w:t>
      </w:r>
    </w:p>
    <w:p>
      <w:pPr>
        <w:numPr>
          <w:ilvl w:val="0"/>
          <w:numId w:val="1137"/>
        </w:numPr>
        <w:pStyle w:val="Compact"/>
      </w:pPr>
      <w:r>
        <w:t xml:space="preserve">IDs (S-format, K-format, T-format) related to the second and subsequent characters that constitute the</w:t>
      </w:r>
      <w:r>
        <w:t xml:space="preserve"> </w:t>
      </w:r>
      <w:r>
        <w:rPr>
          <w:rStyle w:val="VerbatimChar"/>
          <w:bCs/>
          <w:b/>
        </w:rPr>
        <w:t xml:space="preserve">Headword</w:t>
      </w:r>
      <w:r>
        <w:t xml:space="preserve"> </w:t>
      </w:r>
      <w:r>
        <w:t xml:space="preserve">are omitted from this main row.</w:t>
      </w:r>
    </w:p>
    <w:p>
      <w:pPr>
        <w:pStyle w:val="FirstParagraph"/>
      </w:pPr>
      <w:r>
        <w:rPr>
          <w:bCs/>
          <w:b/>
        </w:rPr>
        <w:t xml:space="preserve">Example:</w:t>
      </w:r>
      <w:r>
        <w:t xml:space="preserve"> </w:t>
      </w:r>
      <w:r>
        <w:t xml:space="preserve">Suppose there is an</w:t>
      </w:r>
      <w:r>
        <w:t xml:space="preserve"> </w:t>
      </w:r>
      <w:r>
        <w:rPr>
          <w:rStyle w:val="VerbatimChar"/>
          <w:bCs/>
          <w:b/>
        </w:rPr>
        <w:t xml:space="preserve">Entry</w:t>
      </w:r>
      <w:r>
        <w:t xml:space="preserve"> </w:t>
      </w:r>
      <w:r>
        <w:t xml:space="preserve">with the</w:t>
      </w:r>
      <w:r>
        <w:t xml:space="preserve"> </w:t>
      </w:r>
      <w:r>
        <w:rPr>
          <w:rStyle w:val="VerbatimChar"/>
          <w:bCs/>
          <w:b/>
        </w:rPr>
        <w:t xml:space="preserve">Headword</w:t>
      </w:r>
      <w:r>
        <w:t xml:space="preserve"> </w:t>
      </w:r>
      <w:r>
        <w:t xml:space="preserve">“</w:t>
      </w:r>
      <w:r>
        <w:t xml:space="preserve">AB</w:t>
      </w:r>
      <w:r>
        <w:t xml:space="preserve">”</w:t>
      </w:r>
      <w:r>
        <w:t xml:space="preserve"> </w:t>
      </w:r>
      <w:r>
        <w:t xml:space="preserve">(composed of A + B), and their respective IDs are as follows:</w:t>
      </w:r>
    </w:p>
    <w:p>
      <w:pPr>
        <w:numPr>
          <w:ilvl w:val="0"/>
          <w:numId w:val="1138"/>
        </w:numPr>
        <w:pStyle w:val="Compact"/>
      </w:pPr>
      <w:r>
        <w:rPr>
          <w:rStyle w:val="VerbatimChar"/>
          <w:bCs/>
          <w:b/>
        </w:rPr>
        <w:t xml:space="preserve">Entry</w:t>
      </w:r>
      <w:r>
        <w:t xml:space="preserve"> </w:t>
      </w:r>
      <w:r>
        <w:t xml:space="preserve">ID: F25121</w:t>
      </w:r>
    </w:p>
    <w:p>
      <w:pPr>
        <w:numPr>
          <w:ilvl w:val="0"/>
          <w:numId w:val="1138"/>
        </w:numPr>
        <w:pStyle w:val="Compact"/>
      </w:pPr>
      <w:r>
        <w:rPr>
          <w:rStyle w:val="VerbatimChar"/>
          <w:bCs/>
          <w:b/>
        </w:rPr>
        <w:t xml:space="preserve">Headword</w:t>
      </w:r>
      <w:r>
        <w:t xml:space="preserve"> </w:t>
      </w:r>
      <w:r>
        <w:t xml:space="preserve">Character ID for A: S31590 (Kazama Edition Location: K08084411, Tenri Edition Location: Tc090411)</w:t>
      </w:r>
    </w:p>
    <w:p>
      <w:pPr>
        <w:numPr>
          <w:ilvl w:val="0"/>
          <w:numId w:val="1138"/>
        </w:numPr>
        <w:pStyle w:val="Compact"/>
      </w:pPr>
      <w:r>
        <w:rPr>
          <w:rStyle w:val="VerbatimChar"/>
          <w:bCs/>
          <w:b/>
        </w:rPr>
        <w:t xml:space="preserve">Headword</w:t>
      </w:r>
      <w:r>
        <w:t xml:space="preserve"> </w:t>
      </w:r>
      <w:r>
        <w:t xml:space="preserve">Character ID for B: S31591 (Kazama Edition Location: K08084412, Tenri Edition Location: Tc090412)</w:t>
      </w:r>
    </w:p>
    <w:p>
      <w:pPr>
        <w:pStyle w:val="FirstParagraph"/>
      </w:pPr>
      <w:r>
        <w:t xml:space="preserve">When this</w:t>
      </w:r>
      <w:r>
        <w:t xml:space="preserve"> </w:t>
      </w:r>
      <w:r>
        <w:rPr>
          <w:rStyle w:val="VerbatimChar"/>
          <w:bCs/>
          <w:b/>
        </w:rPr>
        <w:t xml:space="preserve">Entry</w:t>
      </w:r>
      <w:r>
        <w:t xml:space="preserve"> </w:t>
      </w:r>
      <w:r>
        <w:t xml:space="preserve">is represented in the TSV file, the main row would appear as follows (showing relevant columns only):</w:t>
      </w:r>
    </w:p>
    <w:tbl>
      <w:tblPr>
        <w:tblStyle w:val="Table"/>
        <w:tblW w:type="pct" w:w="5000"/>
        <w:tblLook w:firstRow="1" w:lastRow="0" w:firstColumn="0" w:lastColumn="0" w:noHBand="0" w:noVBand="0" w:val="0020"/>
        <w:jc w:val="start"/>
      </w:tblPr>
      <w:tblGrid>
        <w:gridCol w:w="1200"/>
        <w:gridCol w:w="1200"/>
        <w:gridCol w:w="1560"/>
        <w:gridCol w:w="2040"/>
        <w:gridCol w:w="1920"/>
      </w:tblGrid>
      <w:tr>
        <w:trPr>
          <w:tblHeader w:val="true"/>
        </w:trPr>
        <w:tc>
          <w:tcPr/>
          <w:p>
            <w:pPr>
              <w:pStyle w:val="Compact"/>
              <w:jc w:val="left"/>
            </w:pPr>
            <w:r>
              <w:t xml:space="preserve">entry_id</w:t>
            </w:r>
          </w:p>
        </w:tc>
        <w:tc>
          <w:tcPr/>
          <w:p>
            <w:pPr>
              <w:pStyle w:val="Compact"/>
              <w:jc w:val="left"/>
            </w:pPr>
            <w:r>
              <w:t xml:space="preserve">hanzi_id</w:t>
            </w:r>
          </w:p>
        </w:tc>
        <w:tc>
          <w:tcPr/>
          <w:p>
            <w:pPr>
              <w:pStyle w:val="Compact"/>
              <w:jc w:val="left"/>
            </w:pPr>
            <w:r>
              <w:t xml:space="preserve">hanzi_entry</w:t>
            </w:r>
          </w:p>
        </w:tc>
        <w:tc>
          <w:tcPr/>
          <w:p>
            <w:pPr>
              <w:pStyle w:val="Compact"/>
              <w:jc w:val="left"/>
            </w:pPr>
            <w:r>
              <w:t xml:space="preserve">kazama_location</w:t>
            </w:r>
          </w:p>
        </w:tc>
        <w:tc>
          <w:tcPr/>
          <w:p>
            <w:pPr>
              <w:pStyle w:val="Compact"/>
              <w:jc w:val="left"/>
            </w:pPr>
            <w:r>
              <w:t xml:space="preserve">tenri_location</w:t>
            </w:r>
          </w:p>
        </w:tc>
      </w:tr>
      <w:tr>
        <w:tc>
          <w:tcPr/>
          <w:p>
            <w:pPr>
              <w:pStyle w:val="Compact"/>
              <w:jc w:val="left"/>
            </w:pPr>
            <w:r>
              <w:t xml:space="preserve">F25121</w:t>
            </w:r>
          </w:p>
        </w:tc>
        <w:tc>
          <w:tcPr/>
          <w:p>
            <w:pPr>
              <w:pStyle w:val="Compact"/>
              <w:jc w:val="left"/>
            </w:pPr>
            <w:r>
              <w:t xml:space="preserve">S31590</w:t>
            </w:r>
          </w:p>
        </w:tc>
        <w:tc>
          <w:tcPr/>
          <w:p>
            <w:pPr>
              <w:pStyle w:val="Compact"/>
              <w:jc w:val="left"/>
            </w:pPr>
            <w:r>
              <w:t xml:space="preserve">AB</w:t>
            </w:r>
          </w:p>
        </w:tc>
        <w:tc>
          <w:tcPr/>
          <w:p>
            <w:pPr>
              <w:pStyle w:val="Compact"/>
              <w:jc w:val="left"/>
            </w:pPr>
            <w:r>
              <w:t xml:space="preserve">K08084411</w:t>
            </w:r>
          </w:p>
        </w:tc>
        <w:tc>
          <w:tcPr/>
          <w:p>
            <w:pPr>
              <w:pStyle w:val="Compact"/>
              <w:jc w:val="left"/>
            </w:pPr>
            <w:r>
              <w:t xml:space="preserve">Tc090411</w:t>
            </w:r>
          </w:p>
        </w:tc>
      </w:tr>
    </w:tbl>
    <w:p>
      <w:pPr>
        <w:pStyle w:val="BodyText"/>
      </w:pPr>
      <w:r>
        <w:t xml:space="preserve">It can be seen that this row contains only the</w:t>
      </w:r>
      <w:r>
        <w:t xml:space="preserve"> </w:t>
      </w:r>
      <w:r>
        <w:rPr>
          <w:rStyle w:val="VerbatimChar"/>
          <w:bCs/>
          <w:b/>
        </w:rPr>
        <w:t xml:space="preserve">Entry</w:t>
      </w:r>
      <w:r>
        <w:t xml:space="preserve"> </w:t>
      </w:r>
      <w:r>
        <w:t xml:space="preserve">ID, the</w:t>
      </w:r>
      <w:r>
        <w:t xml:space="preserve"> </w:t>
      </w:r>
      <w:r>
        <w:rPr>
          <w:rStyle w:val="VerbatimChar"/>
          <w:bCs/>
          <w:b/>
        </w:rPr>
        <w:t xml:space="preserve">Headword</w:t>
      </w:r>
      <w:r>
        <w:t xml:space="preserve"> </w:t>
      </w:r>
      <w:r>
        <w:t xml:space="preserve">Character ID for the</w:t>
      </w:r>
      <w:r>
        <w:t xml:space="preserve"> </w:t>
      </w:r>
      <w:r>
        <w:rPr>
          <w:bCs/>
          <w:b/>
        </w:rPr>
        <w:t xml:space="preserve">first character</w:t>
      </w:r>
      <w:r>
        <w:t xml:space="preserve">, the complete</w:t>
      </w:r>
      <w:r>
        <w:t xml:space="preserve"> </w:t>
      </w:r>
      <w:r>
        <w:rPr>
          <w:rStyle w:val="VerbatimChar"/>
          <w:bCs/>
          <w:b/>
        </w:rPr>
        <w:t xml:space="preserve">Headword</w:t>
      </w:r>
      <w:r>
        <w:t xml:space="preserve"> </w:t>
      </w:r>
      <w:r>
        <w:t xml:space="preserve">string, and the location IDs for the</w:t>
      </w:r>
      <w:r>
        <w:t xml:space="preserve"> </w:t>
      </w:r>
      <w:r>
        <w:rPr>
          <w:bCs/>
          <w:b/>
        </w:rPr>
        <w:t xml:space="preserve">first character</w:t>
      </w:r>
      <w:r>
        <w:t xml:space="preserve">.</w:t>
      </w:r>
    </w:p>
    <w:bookmarkEnd w:id="176"/>
    <w:bookmarkStart w:id="177" w:name="Xa37591c510d13405d6838ffb8756f7f2ba77452"/>
    <w:p>
      <w:pPr>
        <w:pStyle w:val="Heading3"/>
      </w:pPr>
      <w:r>
        <w:rPr>
          <w:rStyle w:val="SectionNumber"/>
        </w:rPr>
        <w:t xml:space="preserve">16.4.2</w:t>
      </w:r>
      <w:r>
        <w:tab/>
      </w:r>
      <w:r>
        <w:t xml:space="preserve">Deferring Detailed Headword Character Information to a Mapping Table</w:t>
      </w:r>
    </w:p>
    <w:p>
      <w:pPr>
        <w:pStyle w:val="FirstParagraph"/>
      </w:pPr>
      <w:r>
        <w:t xml:space="preserve">All of the following detailed information pertaining to</w:t>
      </w:r>
      <w:r>
        <w:t xml:space="preserve"> </w:t>
      </w:r>
      <w:r>
        <w:rPr>
          <w:rStyle w:val="VerbatimChar"/>
          <w:bCs/>
          <w:b/>
        </w:rPr>
        <w:t xml:space="preserve">Headword</w:t>
      </w:r>
      <w:r>
        <w:t xml:space="preserve"> </w:t>
      </w:r>
      <w:r>
        <w:t xml:space="preserve">characters is deferred to the mapping table</w:t>
      </w:r>
      <w:r>
        <w:t xml:space="preserve"> </w:t>
      </w:r>
      <w:hyperlink r:id="rId169">
        <w:r>
          <w:rPr>
            <w:rStyle w:val="VerbatimChar"/>
          </w:rPr>
          <w:t xml:space="preserve">krm_headword_chars</w:t>
        </w:r>
      </w:hyperlink>
      <w:r>
        <w:t xml:space="preserve">:</w:t>
      </w:r>
    </w:p>
    <w:p>
      <w:pPr>
        <w:numPr>
          <w:ilvl w:val="0"/>
          <w:numId w:val="1139"/>
        </w:numPr>
        <w:pStyle w:val="Compact"/>
      </w:pPr>
      <w:r>
        <w:t xml:space="preserve">The complete list of more detailed location information (K-format, T-format) corresponding to each</w:t>
      </w:r>
      <w:r>
        <w:t xml:space="preserve"> </w:t>
      </w:r>
      <w:r>
        <w:rPr>
          <w:rStyle w:val="VerbatimChar"/>
          <w:bCs/>
          <w:b/>
        </w:rPr>
        <w:t xml:space="preserve">Headword</w:t>
      </w:r>
      <w:r>
        <w:t xml:space="preserve"> </w:t>
      </w:r>
      <w:r>
        <w:t xml:space="preserve">Character ID (S-format).</w:t>
      </w:r>
    </w:p>
    <w:p>
      <w:pPr>
        <w:numPr>
          <w:ilvl w:val="0"/>
          <w:numId w:val="1139"/>
        </w:numPr>
        <w:pStyle w:val="Compact"/>
      </w:pPr>
      <w:r>
        <w:t xml:space="preserve">The cropped image file name corresponding to each individual</w:t>
      </w:r>
      <w:r>
        <w:t xml:space="preserve"> </w:t>
      </w:r>
      <w:r>
        <w:rPr>
          <w:rStyle w:val="VerbatimChar"/>
          <w:bCs/>
          <w:b/>
        </w:rPr>
        <w:t xml:space="preserve">Headword</w:t>
      </w:r>
      <w:r>
        <w:t xml:space="preserve"> </w:t>
      </w:r>
      <w:r>
        <w:t xml:space="preserve">character (S-format).</w:t>
      </w:r>
    </w:p>
    <w:p>
      <w:pPr>
        <w:pStyle w:val="FirstParagraph"/>
      </w:pPr>
      <w:r>
        <w:t xml:space="preserve">Users who require this information will need to consult</w:t>
      </w:r>
      <w:r>
        <w:t xml:space="preserve"> </w:t>
      </w:r>
      <w:r>
        <w:rPr>
          <w:rStyle w:val="VerbatimChar"/>
        </w:rPr>
        <w:t xml:space="preserve">krm_headword_chars.tsv</w:t>
      </w:r>
      <w:r>
        <w:t xml:space="preserve">.</w:t>
      </w:r>
    </w:p>
    <w:bookmarkEnd w:id="177"/>
    <w:bookmarkEnd w:id="178"/>
    <w:bookmarkEnd w:id="179"/>
    <w:bookmarkEnd w:id="180"/>
    <w:bookmarkStart w:id="192" w:name="Xb197dd0d4b275781fc08e62ec35d51c2fba85b3"/>
    <w:bookmarkStart w:id="191" w:name="Xe2b2ff7260b0b3b8bd937c3352ab587c584edf9"/>
    <w:p>
      <w:pPr>
        <w:pStyle w:val="Heading1"/>
      </w:pPr>
      <w:r>
        <w:rPr>
          <w:rStyle w:val="SectionNumber"/>
        </w:rPr>
        <w:t xml:space="preserve">17</w:t>
      </w:r>
      <w:r>
        <w:tab/>
      </w:r>
      <w:r>
        <w:t xml:space="preserve">Character Encoding and Representation</w:t>
      </w:r>
    </w:p>
    <w:p>
      <w:pPr>
        <w:pStyle w:val="FirstParagraph"/>
      </w:pPr>
      <w:r>
        <w:t xml:space="preserve">This section explains the</w:t>
      </w:r>
      <w:r>
        <w:t xml:space="preserve"> </w:t>
      </w:r>
      <w:r>
        <w:rPr>
          <w:bCs/>
          <w:b/>
        </w:rPr>
        <w:t xml:space="preserve">encoding and representation of characters</w:t>
      </w:r>
      <w:r>
        <w:t xml:space="preserve"> </w:t>
      </w:r>
      <w:r>
        <w:t xml:space="preserve">using Unicode.</w:t>
      </w:r>
      <w:r>
        <w:t xml:space="preserve"> </w:t>
      </w:r>
      <w:r>
        <w:t xml:space="preserve">It also describes the multiple methods used in combination to handle characters that cannot be represented by Unicode.</w:t>
      </w:r>
    </w:p>
    <w:bookmarkStart w:id="181" w:name="Xc386ab5a6dfefd16f5078dcc14632b7f9fee35c"/>
    <w:p>
      <w:pPr>
        <w:pStyle w:val="Heading2"/>
      </w:pPr>
      <w:r>
        <w:rPr>
          <w:rStyle w:val="SectionNumber"/>
        </w:rPr>
        <w:t xml:space="preserve">17.1</w:t>
      </w:r>
      <w:r>
        <w:tab/>
      </w:r>
      <w:r>
        <w:t xml:space="preserve">Character Encoding with Unicode</w:t>
      </w:r>
    </w:p>
    <w:p>
      <w:pPr>
        <w:pStyle w:val="FirstParagraph"/>
      </w:pPr>
      <w:r>
        <w:t xml:space="preserve">The number of CJK Unified Ideographs differs depending on the Unicode version.</w:t>
      </w:r>
      <w:r>
        <w:t xml:space="preserve"> </w:t>
      </w:r>
      <w:r>
        <w:t xml:space="preserve">The HDIC project started in 2014, and initially, the baseline was Unicode 8.0.0 (from 2015). At that time, the number of usable</w:t>
      </w:r>
      <w:r>
        <w:t xml:space="preserve"> </w:t>
      </w:r>
      <w:r>
        <w:rPr>
          <w:rStyle w:val="VerbatimChar"/>
          <w:bCs/>
          <w:b/>
        </w:rPr>
        <w:t xml:space="preserve">Hanzi (Chinese characters)</w:t>
      </w:r>
      <w:r>
        <w:t xml:space="preserve"> </w:t>
      </w:r>
      <w:r>
        <w:t xml:space="preserve">was 80,358, comprising CJK Unified Ideographs and CJK Unified Ideographs Extensions A through E.</w:t>
      </w:r>
      <w:r>
        <w:t xml:space="preserve"> </w:t>
      </w:r>
      <w:r>
        <w:t xml:space="preserve">Extensions have continued since then, with the total number of characters now exceeding 90,000. However, even after characters are included in Unicode, it seems to take time before they can actually be displayed on screens or used in print.</w:t>
      </w:r>
      <w:r>
        <w:t xml:space="preserve"> </w:t>
      </w:r>
      <w:r>
        <w:t xml:space="preserve">The HDIC project utilizes characters up to CJK Unified Ideographs Extension E as much as possible. For characters in Extension F and beyond, the project currently limits its practice to noting them in remarks columns or similar fields.</w:t>
      </w:r>
    </w:p>
    <w:bookmarkEnd w:id="181"/>
    <w:bookmarkStart w:id="183" w:name="X3810953b342f3147702e425b60a4d68f1390de4"/>
    <w:p>
      <w:pPr>
        <w:pStyle w:val="Heading2"/>
      </w:pPr>
      <w:r>
        <w:rPr>
          <w:rStyle w:val="SectionNumber"/>
        </w:rPr>
        <w:t xml:space="preserve">17.2</w:t>
      </w:r>
      <w:r>
        <w:tab/>
      </w:r>
      <w:r>
        <w:t xml:space="preserve">Representation of Characters Outside of Unicode</w:t>
      </w:r>
    </w:p>
    <w:p>
      <w:pPr>
        <w:pStyle w:val="FirstParagraph"/>
      </w:pPr>
      <w:r>
        <w:t xml:space="preserve">“</w:t>
      </w:r>
      <w:r>
        <w:t xml:space="preserve">Characters outside of Unicode</w:t>
      </w:r>
      <w:r>
        <w:t xml:space="preserve">”</w:t>
      </w:r>
      <w:r>
        <w:t xml:space="preserve"> </w:t>
      </w:r>
      <w:r>
        <w:t xml:space="preserve">refers to</w:t>
      </w:r>
      <w:r>
        <w:t xml:space="preserve"> </w:t>
      </w:r>
      <w:r>
        <w:rPr>
          <w:rStyle w:val="VerbatimChar"/>
          <w:bCs/>
          <w:b/>
        </w:rPr>
        <w:t xml:space="preserve">Hanzi (Chinese characters)</w:t>
      </w:r>
      <w:r>
        <w:t xml:space="preserve"> </w:t>
      </w:r>
      <w:r>
        <w:t xml:space="preserve">that are not included in the Unicode standard.</w:t>
      </w:r>
      <w:r>
        <w:t xml:space="preserve"> </w:t>
      </w:r>
      <w:r>
        <w:t xml:space="preserve">These characters are represented using the following three methods:</w:t>
      </w:r>
    </w:p>
    <w:p>
      <w:pPr>
        <w:numPr>
          <w:ilvl w:val="0"/>
          <w:numId w:val="1140"/>
        </w:numPr>
        <w:pStyle w:val="Compact"/>
      </w:pPr>
      <w:r>
        <w:t xml:space="preserve">IDS Method</w:t>
      </w:r>
    </w:p>
    <w:p>
      <w:pPr>
        <w:numPr>
          <w:ilvl w:val="0"/>
          <w:numId w:val="1140"/>
        </w:numPr>
        <w:pStyle w:val="Compact"/>
      </w:pPr>
      <w:r>
        <w:t xml:space="preserve">Entity Reference Method</w:t>
      </w:r>
    </w:p>
    <w:p>
      <w:pPr>
        <w:numPr>
          <w:ilvl w:val="0"/>
          <w:numId w:val="1140"/>
        </w:numPr>
        <w:pStyle w:val="Compact"/>
      </w:pPr>
      <w:r>
        <w:t xml:space="preserve">Beta Method (β Method)</w:t>
      </w:r>
    </w:p>
    <w:p>
      <w:pPr>
        <w:pStyle w:val="FirstParagraph"/>
      </w:pPr>
      <w:r>
        <w:t xml:space="preserve">The</w:t>
      </w:r>
      <w:r>
        <w:t xml:space="preserve"> </w:t>
      </w:r>
      <w:r>
        <w:rPr>
          <w:bCs/>
          <w:b/>
        </w:rPr>
        <w:t xml:space="preserve">IDS Method</w:t>
      </w:r>
      <w:r>
        <w:t xml:space="preserve"> </w:t>
      </w:r>
      <w:r>
        <w:t xml:space="preserve">is used when a character can be represented by a combination of its constituent components, described using an IDS (Ideographic Description Sequence). The IDS data used and referenced in this project is primarily that constructed and made publicly available by</w:t>
      </w:r>
      <w:r>
        <w:t xml:space="preserve"> </w:t>
      </w:r>
      <w:r>
        <w:rPr>
          <w:bCs/>
          <w:b/>
        </w:rPr>
        <w:t xml:space="preserve">Morioka Tomohiko</w:t>
      </w:r>
      <w:r>
        <w:t xml:space="preserve"> </w:t>
      </w:r>
      <w:r>
        <w:t xml:space="preserve">in the</w:t>
      </w:r>
      <w:r>
        <w:t xml:space="preserve"> </w:t>
      </w:r>
      <w:hyperlink r:id="rId182">
        <w:r>
          <w:rPr>
            <w:rStyle w:val="Hyperlink"/>
          </w:rPr>
          <w:t xml:space="preserve">CHISE IDS Search</w:t>
        </w:r>
      </w:hyperlink>
      <w:r>
        <w:t xml:space="preserve">.</w:t>
      </w:r>
    </w:p>
    <w:p>
      <w:pPr>
        <w:pStyle w:val="BodyText"/>
      </w:pPr>
      <w:r>
        <w:t xml:space="preserve">An IDS is indicated by IDCs (Ideographic Description Characters). The twelve IDCs are: ⿰, ⿱, ⿲, ⿳, ⿴, ⿵, ⿶, ⿷, ⿸, ⿹, ⿺, and ⿻.</w:t>
      </w:r>
    </w:p>
    <w:p>
      <w:pPr>
        <w:pStyle w:val="BodyText"/>
      </w:pPr>
      <w:r>
        <w:rPr>
          <w:bCs/>
          <w:b/>
        </w:rPr>
        <w:t xml:space="preserve">Examples:</w:t>
      </w:r>
      <w:r>
        <w:t xml:space="preserve"> </w:t>
      </w:r>
      <w:r>
        <w:t xml:space="preserve">* Example of the IDS Method: ⿰亻胃 (representing a character with the</w:t>
      </w:r>
      <w:r>
        <w:t xml:space="preserve"> </w:t>
      </w:r>
      <w:r>
        <w:t xml:space="preserve">‘</w:t>
      </w:r>
      <w:r>
        <w:t xml:space="preserve">亻</w:t>
      </w:r>
      <w:r>
        <w:t xml:space="preserve">’</w:t>
      </w:r>
      <w:r>
        <w:t xml:space="preserve"> </w:t>
      </w:r>
      <w:r>
        <w:t xml:space="preserve">radical on the left and</w:t>
      </w:r>
      <w:r>
        <w:t xml:space="preserve"> </w:t>
      </w:r>
      <w:r>
        <w:t xml:space="preserve">‘</w:t>
      </w:r>
      <w:r>
        <w:t xml:space="preserve">胃</w:t>
      </w:r>
      <w:r>
        <w:t xml:space="preserve">’</w:t>
      </w:r>
      <w:r>
        <w:t xml:space="preserve"> </w:t>
      </w:r>
      <w:r>
        <w:t xml:space="preserve">on the right), ⿰亻⿱𡈼儿 (a variant of</w:t>
      </w:r>
      <w:r>
        <w:t xml:space="preserve"> </w:t>
      </w:r>
      <w:r>
        <w:t xml:space="preserve">‘</w:t>
      </w:r>
      <w:r>
        <w:t xml:space="preserve">凭</w:t>
      </w:r>
      <w:r>
        <w:t xml:space="preserve">’</w:t>
      </w:r>
      <w:r>
        <w:t xml:space="preserve">, an example using multiple IDCs).</w:t>
      </w:r>
    </w:p>
    <w:p>
      <w:pPr>
        <w:pStyle w:val="BodyText"/>
      </w:pPr>
      <w:r>
        <w:t xml:space="preserve">If representation by the IDS Method is difficult, one of the following methods is used.</w:t>
      </w:r>
    </w:p>
    <w:p>
      <w:pPr>
        <w:pStyle w:val="BodyText"/>
      </w:pPr>
      <w:r>
        <w:t xml:space="preserve">The</w:t>
      </w:r>
      <w:r>
        <w:t xml:space="preserve"> </w:t>
      </w:r>
      <w:r>
        <w:rPr>
          <w:bCs/>
          <w:b/>
        </w:rPr>
        <w:t xml:space="preserve">Entity Reference Method</w:t>
      </w:r>
      <w:r>
        <w:t xml:space="preserve"> </w:t>
      </w:r>
      <w:r>
        <w:t xml:space="preserve">involves describing characters using notations based on the entity reference systems of CHISE and GlyphWiki.</w:t>
      </w:r>
    </w:p>
    <w:p>
      <w:pPr>
        <w:pStyle w:val="BodyText"/>
      </w:pPr>
      <w:r>
        <w:rPr>
          <w:bCs/>
          <w:b/>
        </w:rPr>
        <w:t xml:space="preserve">Examples:</w:t>
      </w:r>
      <w:r>
        <w:t xml:space="preserve"> </w:t>
      </w:r>
      <w:r>
        <w:t xml:space="preserve">* CHISE Entity Reference Method: ⿺辶&amp;CDP-8C66; (a variant of</w:t>
      </w:r>
      <w:r>
        <w:t xml:space="preserve"> </w:t>
      </w:r>
      <w:r>
        <w:t xml:space="preserve">‘</w:t>
      </w:r>
      <w:r>
        <w:t xml:space="preserve">延</w:t>
      </w:r>
      <w:r>
        <w:t xml:space="preserve">’</w:t>
      </w:r>
      <w:r>
        <w:t xml:space="preserve">, where &amp;CDP-8C66; represents the bottom-right component of</w:t>
      </w:r>
      <w:r>
        <w:t xml:space="preserve"> </w:t>
      </w:r>
      <w:r>
        <w:t xml:space="preserve">‘</w:t>
      </w:r>
      <w:r>
        <w:t xml:space="preserve">𠂢</w:t>
      </w:r>
      <w:r>
        <w:t xml:space="preserve">’</w:t>
      </w:r>
      <w:r>
        <w:t xml:space="preserve">, a glyph similar to 𧘇).</w:t>
      </w:r>
      <w:r>
        <w:t xml:space="preserve"> </w:t>
      </w:r>
      <w:r>
        <w:t xml:space="preserve">* GlyphWiki Entity Reference Method: koseki-007510 (representing a glyph with</w:t>
      </w:r>
      <w:r>
        <w:t xml:space="preserve"> </w:t>
      </w:r>
      <w:r>
        <w:t xml:space="preserve">‘</w:t>
      </w:r>
      <w:r>
        <w:t xml:space="preserve">ヽ</w:t>
      </w:r>
      <w:r>
        <w:t xml:space="preserve">’</w:t>
      </w:r>
      <w:r>
        <w:t xml:space="preserve"> </w:t>
      </w:r>
      <w:r>
        <w:t xml:space="preserve">at the top-right of</w:t>
      </w:r>
      <w:r>
        <w:t xml:space="preserve"> </w:t>
      </w:r>
      <w:r>
        <w:t xml:space="preserve">‘</w:t>
      </w:r>
      <w:r>
        <w:t xml:space="preserve">𠇾</w:t>
      </w:r>
      <w:r>
        <w:t xml:space="preserve">’</w:t>
      </w:r>
      <w:r>
        <w:t xml:space="preserve">).</w:t>
      </w:r>
    </w:p>
    <w:p>
      <w:pPr>
        <w:pStyle w:val="BodyText"/>
      </w:pPr>
      <w:r>
        <w:t xml:space="preserve">The</w:t>
      </w:r>
      <w:r>
        <w:t xml:space="preserve"> </w:t>
      </w:r>
      <w:r>
        <w:rPr>
          <w:bCs/>
          <w:b/>
        </w:rPr>
        <w:t xml:space="preserve">Beta Method (β Method)</w:t>
      </w:r>
      <w:r>
        <w:t xml:space="preserve"> </w:t>
      </w:r>
      <w:r>
        <w:t xml:space="preserve">involves describing characters by combining a graphically similar character with Greek letters such as β (beta), γ (gamma), etc. This Beta Method was proposed by Toyoshima Masayuki.</w:t>
      </w:r>
    </w:p>
    <w:p>
      <w:pPr>
        <w:pStyle w:val="BodyText"/>
      </w:pPr>
      <w:r>
        <w:rPr>
          <w:bCs/>
          <w:b/>
        </w:rPr>
        <w:t xml:space="preserve">Example:</w:t>
      </w:r>
      <w:r>
        <w:t xml:space="preserve"> </w:t>
      </w:r>
      <w:r>
        <w:t xml:space="preserve">* Example of the Beta Method: 正β (representing a glyph with two horizontal</w:t>
      </w:r>
      <w:r>
        <w:t xml:space="preserve"> </w:t>
      </w:r>
      <w:r>
        <w:t xml:space="preserve">‘</w:t>
      </w:r>
      <w:r>
        <w:t xml:space="preserve">ヽ</w:t>
      </w:r>
      <w:r>
        <w:t xml:space="preserve">’</w:t>
      </w:r>
      <w:r>
        <w:t xml:space="preserve"> </w:t>
      </w:r>
      <w:r>
        <w:t xml:space="preserve">strokes inside the</w:t>
      </w:r>
      <w:r>
        <w:t xml:space="preserve"> </w:t>
      </w:r>
      <w:r>
        <w:t xml:space="preserve">‘</w:t>
      </w:r>
      <w:r>
        <w:t xml:space="preserve">匸</w:t>
      </w:r>
      <w:r>
        <w:t xml:space="preserve">’</w:t>
      </w:r>
      <w:r>
        <w:t xml:space="preserve"> </w:t>
      </w:r>
      <w:r>
        <w:t xml:space="preserve">radical of</w:t>
      </w:r>
      <w:r>
        <w:t xml:space="preserve"> </w:t>
      </w:r>
      <w:r>
        <w:t xml:space="preserve">‘</w:t>
      </w:r>
      <w:r>
        <w:t xml:space="preserve">正</w:t>
      </w:r>
      <w:r>
        <w:t xml:space="preserve">’</w:t>
      </w:r>
      <w:r>
        <w:t xml:space="preserve">).</w:t>
      </w:r>
    </w:p>
    <w:p>
      <w:pPr>
        <w:pStyle w:val="BodyText"/>
      </w:pPr>
      <w:r>
        <w:t xml:space="preserve">Characters that cannot be represented by any of the above methods, or characters that are illegible in the original manuscript (due to damage such as wormholes, etc.), are represented by</w:t>
      </w:r>
      <w:r>
        <w:t xml:space="preserve"> </w:t>
      </w:r>
      <w:r>
        <w:t xml:space="preserve">‘</w:t>
      </w:r>
      <w:r>
        <w:t xml:space="preserve">■</w:t>
      </w:r>
      <w:r>
        <w:t xml:space="preserve">’</w:t>
      </w:r>
      <w:r>
        <w:t xml:space="preserve"> </w:t>
      </w:r>
      <w:r>
        <w:t xml:space="preserve">(a black square).</w:t>
      </w:r>
      <w:r>
        <w:t xml:space="preserve"> </w:t>
      </w:r>
      <w:r>
        <w:t xml:space="preserve">For more details on illegible characters, please refer to the section</w:t>
      </w:r>
      <w:r>
        <w:t xml:space="preserve"> </w:t>
      </w:r>
      <w:r>
        <w:t xml:space="preserve">“</w:t>
      </w:r>
      <w:r>
        <w:t xml:space="preserve">Wormholes and Illegible Characters.</w:t>
      </w:r>
      <w:r>
        <w:t xml:space="preserve">”</w:t>
      </w:r>
    </w:p>
    <w:bookmarkEnd w:id="183"/>
    <w:bookmarkStart w:id="190" w:name="X5ddf6cc399dae6d706e42fa02229ace5ecef539"/>
    <w:p>
      <w:pPr>
        <w:pStyle w:val="Heading2"/>
      </w:pPr>
      <w:r>
        <w:rPr>
          <w:rStyle w:val="SectionNumber"/>
        </w:rPr>
        <w:t xml:space="preserve">17.3</w:t>
      </w:r>
      <w:r>
        <w:tab/>
      </w:r>
      <w:r>
        <w:t xml:space="preserve">Utilizing GlyphWiki</w:t>
      </w:r>
    </w:p>
    <w:p>
      <w:pPr>
        <w:pStyle w:val="FirstParagraph"/>
      </w:pPr>
      <w:r>
        <w:t xml:space="preserve">To display glyphs in a Mincho typeface that closely approximate those in the manuscript, GlyphWiki (developed by Uechi Kōichi) can be utilized. By using GlyphWiki, it is possible to display such approximate Mincho-style glyphs.</w:t>
      </w:r>
    </w:p>
    <w:p>
      <w:pPr>
        <w:pStyle w:val="BodyText"/>
      </w:pPr>
      <w:r>
        <w:t xml:space="preserve">The creation of glyph forms for the</w:t>
      </w:r>
      <w:r>
        <w:t xml:space="preserve"> </w:t>
      </w:r>
      <w:r>
        <w:rPr>
          <w:rStyle w:val="VerbatimChar"/>
          <w:bCs/>
          <w:b/>
        </w:rPr>
        <w:t xml:space="preserve">Headwords</w:t>
      </w:r>
      <w:r>
        <w:t xml:space="preserve"> </w:t>
      </w:r>
      <w:r>
        <w:t xml:space="preserve">of the</w:t>
      </w:r>
      <w:r>
        <w:t xml:space="preserve"> </w:t>
      </w:r>
      <w:r>
        <w:rPr>
          <w:iCs/>
          <w:i/>
        </w:rPr>
        <w:t xml:space="preserve">Myōgishō</w:t>
      </w:r>
      <w:r>
        <w:t xml:space="preserve"> </w:t>
      </w:r>
      <w:r>
        <w:t xml:space="preserve">using GlyphWiki is currently in progress and not yet complete, but it is mentioned here for reference.</w:t>
      </w:r>
    </w:p>
    <w:p>
      <w:pPr>
        <w:pStyle w:val="BodyText"/>
      </w:pPr>
      <w:r>
        <w:t xml:space="preserve">By associating GlyphWiki glyph numbers with the</w:t>
      </w:r>
      <w:r>
        <w:t xml:space="preserve"> </w:t>
      </w:r>
      <w:r>
        <w:rPr>
          <w:rStyle w:val="VerbatimChar"/>
        </w:rPr>
        <w:t xml:space="preserve">kazama_location_id</w:t>
      </w:r>
      <w:r>
        <w:t xml:space="preserve"> </w:t>
      </w:r>
      <w:r>
        <w:t xml:space="preserve">found in the</w:t>
      </w:r>
      <w:r>
        <w:t xml:space="preserve"> </w:t>
      </w:r>
      <w:r>
        <w:rPr>
          <w:rStyle w:val="VerbatimChar"/>
        </w:rPr>
        <w:t xml:space="preserve">krm_headword_chars</w:t>
      </w:r>
      <w:r>
        <w:t xml:space="preserve"> </w:t>
      </w:r>
      <w:r>
        <w:t xml:space="preserve">file, the</w:t>
      </w:r>
      <w:r>
        <w:t xml:space="preserve"> </w:t>
      </w:r>
      <w:r>
        <w:rPr>
          <w:rStyle w:val="VerbatimChar"/>
          <w:bCs/>
          <w:b/>
        </w:rPr>
        <w:t xml:space="preserve">Headwords</w:t>
      </w:r>
      <w:r>
        <w:t xml:space="preserve"> </w:t>
      </w:r>
      <w:r>
        <w:t xml:space="preserve">of the</w:t>
      </w:r>
      <w:r>
        <w:t xml:space="preserve"> </w:t>
      </w:r>
      <w:r>
        <w:rPr>
          <w:iCs/>
          <w:i/>
        </w:rPr>
        <w:t xml:space="preserve">Ruiju Myōgishō</w:t>
      </w:r>
      <w:r>
        <w:t xml:space="preserve"> </w:t>
      </w:r>
      <w:r>
        <w:t xml:space="preserve">can be represented in a Mincho typeface.</w:t>
      </w:r>
    </w:p>
    <w:p>
      <w:pPr>
        <w:pStyle w:val="BodyText"/>
      </w:pPr>
      <w:r>
        <w:t xml:space="preserve">The GlyphWiki glyph number is expressed by taking a prefix—formed by combining the abbreviation for this project (HDIC) with the abbreviation for the Kanchi-in manuscript of the</w:t>
      </w:r>
      <w:r>
        <w:t xml:space="preserve"> </w:t>
      </w:r>
      <w:r>
        <w:rPr>
          <w:iCs/>
          <w:i/>
        </w:rPr>
        <w:t xml:space="preserve">Ruiju Myōgishō</w:t>
      </w:r>
      <w:r>
        <w:t xml:space="preserve"> </w:t>
      </w:r>
      <w:r>
        <w:t xml:space="preserve">(KRM), resulting in</w:t>
      </w:r>
      <w:r>
        <w:t xml:space="preserve"> </w:t>
      </w:r>
      <w:r>
        <w:rPr>
          <w:rStyle w:val="VerbatimChar"/>
        </w:rPr>
        <w:t xml:space="preserve">hdic_hkrm-</w:t>
      </w:r>
      <w:r>
        <w:t xml:space="preserve">—and appending the numerical part of the</w:t>
      </w:r>
      <w:r>
        <w:t xml:space="preserve"> </w:t>
      </w:r>
      <w:r>
        <w:rPr>
          <w:rStyle w:val="VerbatimChar"/>
        </w:rPr>
        <w:t xml:space="preserve">kazama_location_id</w:t>
      </w:r>
      <w:r>
        <w:t xml:space="preserve"> </w:t>
      </w:r>
      <w:r>
        <w:t xml:space="preserve">(from</w:t>
      </w:r>
      <w:r>
        <w:t xml:space="preserve"> </w:t>
      </w:r>
      <w:r>
        <w:rPr>
          <w:rStyle w:val="VerbatimChar"/>
        </w:rPr>
        <w:t xml:space="preserve">krm_headword_chars</w:t>
      </w:r>
      <w:r>
        <w:t xml:space="preserve">) after removing its</w:t>
      </w:r>
      <w:r>
        <w:t xml:space="preserve"> </w:t>
      </w:r>
      <w:r>
        <w:t xml:space="preserve">‘</w:t>
      </w:r>
      <w:r>
        <w:t xml:space="preserve">K</w:t>
      </w:r>
      <w:r>
        <w:t xml:space="preserve">’</w:t>
      </w:r>
      <w:r>
        <w:t xml:space="preserve"> </w:t>
      </w:r>
      <w:r>
        <w:t xml:space="preserve">prefix.</w:t>
      </w:r>
    </w:p>
    <w:p>
      <w:pPr>
        <w:pStyle w:val="BodyText"/>
      </w:pPr>
      <w:r>
        <w:t xml:space="preserve">For example, for a</w:t>
      </w:r>
      <w:r>
        <w:t xml:space="preserve"> </w:t>
      </w:r>
      <w:r>
        <w:rPr>
          <w:rStyle w:val="VerbatimChar"/>
          <w:bCs/>
          <w:b/>
        </w:rPr>
        <w:t xml:space="preserve">Headword</w:t>
      </w:r>
      <w:r>
        <w:t xml:space="preserve"> </w:t>
      </w:r>
      <w:r>
        <w:t xml:space="preserve">within an</w:t>
      </w:r>
      <w:r>
        <w:t xml:space="preserve"> </w:t>
      </w:r>
      <w:r>
        <w:rPr>
          <w:rStyle w:val="VerbatimChar"/>
          <w:bCs/>
          <w:b/>
        </w:rPr>
        <w:t xml:space="preserve">Entry</w:t>
      </w:r>
      <w:r>
        <w:t xml:space="preserve"> </w:t>
      </w:r>
      <w:r>
        <w:t xml:space="preserve">(e.g., with an</w:t>
      </w:r>
      <w:r>
        <w:t xml:space="preserve"> </w:t>
      </w:r>
      <w:r>
        <w:rPr>
          <w:rStyle w:val="VerbatimChar"/>
        </w:rPr>
        <w:t xml:space="preserve">entry_id</w:t>
      </w:r>
      <w:r>
        <w:t xml:space="preserve"> </w:t>
      </w:r>
      <w:r>
        <w:t xml:space="preserve">like F01234), if its corresponding</w:t>
      </w:r>
      <w:r>
        <w:t xml:space="preserve"> </w:t>
      </w:r>
      <w:r>
        <w:rPr>
          <w:rStyle w:val="VerbatimChar"/>
        </w:rPr>
        <w:t xml:space="preserve">kazama_location_id</w:t>
      </w:r>
      <w:r>
        <w:t xml:space="preserve"> </w:t>
      </w:r>
      <w:r>
        <w:t xml:space="preserve">in the</w:t>
      </w:r>
      <w:r>
        <w:t xml:space="preserve"> </w:t>
      </w:r>
      <w:r>
        <w:rPr>
          <w:rStyle w:val="VerbatimChar"/>
        </w:rPr>
        <w:t xml:space="preserve">krm_headword_chars</w:t>
      </w:r>
      <w:r>
        <w:t xml:space="preserve"> </w:t>
      </w:r>
      <w:r>
        <w:t xml:space="preserve">file is</w:t>
      </w:r>
      <w:r>
        <w:t xml:space="preserve"> </w:t>
      </w:r>
      <w:r>
        <w:rPr>
          <w:rStyle w:val="VerbatimChar"/>
        </w:rPr>
        <w:t xml:space="preserve">K01075140</w:t>
      </w:r>
      <w:r>
        <w:t xml:space="preserve">, then its GlyphWiki glyph number will be</w:t>
      </w:r>
      <w:r>
        <w:t xml:space="preserve"> </w:t>
      </w:r>
      <w:r>
        <w:rPr>
          <w:rStyle w:val="VerbatimChar"/>
        </w:rPr>
        <w:t xml:space="preserve">hdic_hkrm-01075140</w:t>
      </w:r>
      <w:r>
        <w:t xml:space="preserve">.</w:t>
      </w:r>
    </w:p>
    <w:p>
      <w:pPr>
        <w:pStyle w:val="BodyText"/>
      </w:pPr>
      <w:r>
        <w:t xml:space="preserve">This will be demonstrated next using Markdown notation.</w:t>
      </w:r>
    </w:p>
    <w:p>
      <w:pPr>
        <w:pStyle w:val="BodyText"/>
      </w:pPr>
      <w:r>
        <w:rPr>
          <w:bCs/>
          <w:b/>
        </w:rPr>
        <w:t xml:space="preserve">Example:</w:t>
      </w:r>
    </w:p>
    <w:p>
      <w:pPr>
        <w:pStyle w:val="SourceCode"/>
      </w:pPr>
      <w:r>
        <w:rPr>
          <w:rStyle w:val="VerbatimChar"/>
        </w:rPr>
        <w:t xml:space="preserve">![正β](https://glyphwiki.org/glyph/hdic_hkrm-01075140.png)</w:t>
      </w:r>
    </w:p>
    <w:p>
      <w:pPr>
        <w:pStyle w:val="FirstParagraph"/>
      </w:pPr>
      <w:r>
        <w:t xml:space="preserve">When described in Markdown as shown above, it will be displayed as follows:</w:t>
      </w:r>
    </w:p>
    <w:p>
      <w:pPr>
        <w:pStyle w:val="CaptionedFigure"/>
      </w:pPr>
      <w:r>
        <w:drawing>
          <wp:inline>
            <wp:extent cx="1905000" cy="1905000"/>
            <wp:effectExtent b="0" l="0" r="0" t="0"/>
            <wp:docPr descr="正β" title="" id="185" name="Picture"/>
            <a:graphic>
              <a:graphicData uri="http://schemas.openxmlformats.org/drawingml/2006/picture">
                <pic:pic>
                  <pic:nvPicPr>
                    <pic:cNvPr descr="https://glyphwiki.org/glyph/hdic_hkrm-01075140.png" id="186" name="Picture"/>
                    <pic:cNvPicPr>
                      <a:picLocks noChangeArrowheads="1" noChangeAspect="1"/>
                    </pic:cNvPicPr>
                  </pic:nvPicPr>
                  <pic:blipFill>
                    <a:blip r:embed="rId184"/>
                    <a:stretch>
                      <a:fillRect/>
                    </a:stretch>
                  </pic:blipFill>
                  <pic:spPr bwMode="auto">
                    <a:xfrm>
                      <a:off x="0" y="0"/>
                      <a:ext cx="1905000" cy="1905000"/>
                    </a:xfrm>
                    <a:prstGeom prst="rect">
                      <a:avLst/>
                    </a:prstGeom>
                    <a:noFill/>
                    <a:ln w="9525">
                      <a:noFill/>
                      <a:headEnd/>
                      <a:tailEnd/>
                    </a:ln>
                  </pic:spPr>
                </pic:pic>
              </a:graphicData>
            </a:graphic>
          </wp:inline>
        </w:drawing>
      </w:r>
    </w:p>
    <w:p>
      <w:pPr>
        <w:pStyle w:val="ImageCaption"/>
      </w:pPr>
      <w:r>
        <w:t xml:space="preserve">正β</w:t>
      </w:r>
    </w:p>
    <w:p>
      <w:pPr>
        <w:pStyle w:val="BodyText"/>
      </w:pPr>
      <w:r>
        <w:t xml:space="preserve">This character size is large; if you wish to use a smaller size, use the following notation:</w:t>
      </w:r>
    </w:p>
    <w:p>
      <w:pPr>
        <w:pStyle w:val="SourceCode"/>
      </w:pPr>
      <w:r>
        <w:rPr>
          <w:rStyle w:val="VerbatimChar"/>
        </w:rPr>
        <w:t xml:space="preserve">![正β](https://glyphwiki.org/glyph/hdic_hkrm-01075140.50px.png)</w:t>
      </w:r>
    </w:p>
    <w:p>
      <w:pPr>
        <w:pStyle w:val="FirstParagraph"/>
      </w:pPr>
      <w:r>
        <w:t xml:space="preserve">When described in Markdown as shown above, it will be displayed as follows:</w:t>
      </w:r>
    </w:p>
    <w:p>
      <w:pPr>
        <w:pStyle w:val="CaptionedFigure"/>
      </w:pPr>
      <w:r>
        <w:drawing>
          <wp:inline>
            <wp:extent cx="476250" cy="476250"/>
            <wp:effectExtent b="0" l="0" r="0" t="0"/>
            <wp:docPr descr="正β" title="" id="188" name="Picture"/>
            <a:graphic>
              <a:graphicData uri="http://schemas.openxmlformats.org/drawingml/2006/picture">
                <pic:pic>
                  <pic:nvPicPr>
                    <pic:cNvPr descr="https://glyphwiki.org/glyph/hdic_hkrm-01075140.50px.png" id="189" name="Picture"/>
                    <pic:cNvPicPr>
                      <a:picLocks noChangeArrowheads="1" noChangeAspect="1"/>
                    </pic:cNvPicPr>
                  </pic:nvPicPr>
                  <pic:blipFill>
                    <a:blip r:embed="rId187"/>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正β</w:t>
      </w:r>
    </w:p>
    <w:p>
      <w:pPr>
        <w:pStyle w:val="BodyText"/>
      </w:pPr>
      <w:r>
        <w:t xml:space="preserve">Note that the filename</w:t>
      </w:r>
      <w:r>
        <w:t xml:space="preserve"> </w:t>
      </w:r>
      <w:r>
        <w:rPr>
          <w:rStyle w:val="VerbatimChar"/>
        </w:rPr>
        <w:t xml:space="preserve">hdic_hkrm-01075140.png</w:t>
      </w:r>
      <w:r>
        <w:t xml:space="preserve"> </w:t>
      </w:r>
      <w:r>
        <w:t xml:space="preserve">is derived from the numerical part of the</w:t>
      </w:r>
      <w:r>
        <w:t xml:space="preserve"> </w:t>
      </w:r>
      <w:r>
        <w:rPr>
          <w:rStyle w:val="VerbatimChar"/>
        </w:rPr>
        <w:t xml:space="preserve">kazama_location_id</w:t>
      </w:r>
      <w:r>
        <w:t xml:space="preserve"> </w:t>
      </w:r>
      <w:r>
        <w:rPr>
          <w:rStyle w:val="VerbatimChar"/>
        </w:rPr>
        <w:t xml:space="preserve">K01075140</w:t>
      </w:r>
      <w:r>
        <w:t xml:space="preserve"> </w:t>
      </w:r>
      <w:r>
        <w:t xml:space="preserve">found in the</w:t>
      </w:r>
      <w:r>
        <w:t xml:space="preserve"> </w:t>
      </w:r>
      <w:r>
        <w:rPr>
          <w:rStyle w:val="VerbatimChar"/>
        </w:rPr>
        <w:t xml:space="preserve">krm_headword_chars</w:t>
      </w:r>
      <w:r>
        <w:t xml:space="preserve"> </w:t>
      </w:r>
      <w:r>
        <w:t xml:space="preserve">file.</w:t>
      </w:r>
    </w:p>
    <w:p>
      <w:pPr>
        <w:pStyle w:val="BodyText"/>
      </w:pPr>
      <w:r>
        <w:t xml:space="preserve">To display it with a specified size, you can write it as follows:</w:t>
      </w:r>
    </w:p>
    <w:p>
      <w:pPr>
        <w:pStyle w:val="SourceCode"/>
      </w:pPr>
      <w:r>
        <w:rPr>
          <w:rStyle w:val="NormalTok"/>
        </w:rPr>
        <w:t xml:space="preserve">{{&lt;/* figure src="https://glyphwiki.org/glyph/hdic_hkrm-01075140.png" title="" class="center" width="24" height="24" */&gt;}}</w:t>
      </w:r>
    </w:p>
    <w:p>
      <w:pPr>
        <w:pStyle w:val="FirstParagraph"/>
      </w:pPr>
      <w:r>
        <w:t xml:space="preserve">{{&lt; figure src=</w:t>
      </w:r>
      <w:r>
        <w:t xml:space="preserve">“</w:t>
      </w:r>
      <w:r>
        <w:t xml:space="preserve">https://glyphwiki.org/glyph/hdic_hkrm-01075140.png</w:t>
      </w:r>
      <w:r>
        <w:t xml:space="preserve">”</w:t>
      </w:r>
      <w:r>
        <w:t xml:space="preserve"> </w:t>
      </w:r>
      <w:r>
        <w:t xml:space="preserve">title=“” class=</w:t>
      </w:r>
      <w:r>
        <w:t xml:space="preserve">“</w:t>
      </w:r>
      <w:r>
        <w:t xml:space="preserve">center</w:t>
      </w:r>
      <w:r>
        <w:t xml:space="preserve">”</w:t>
      </w:r>
      <w:r>
        <w:t xml:space="preserve"> </w:t>
      </w:r>
      <w:r>
        <w:t xml:space="preserve">width=</w:t>
      </w:r>
      <w:r>
        <w:t xml:space="preserve">“</w:t>
      </w:r>
      <w:r>
        <w:t xml:space="preserve">24</w:t>
      </w:r>
      <w:r>
        <w:t xml:space="preserve">”</w:t>
      </w:r>
      <w:r>
        <w:t xml:space="preserve"> </w:t>
      </w:r>
      <w:r>
        <w:t xml:space="preserve">height=</w:t>
      </w:r>
      <w:r>
        <w:t xml:space="preserve">“</w:t>
      </w:r>
      <w:r>
        <w:t xml:space="preserve">24</w:t>
      </w:r>
      <w:r>
        <w:t xml:space="preserve">”</w:t>
      </w:r>
      <w:r>
        <w:t xml:space="preserve"> </w:t>
      </w:r>
      <w:r>
        <w:t xml:space="preserve">&gt;}}</w:t>
      </w:r>
    </w:p>
    <w:bookmarkEnd w:id="190"/>
    <w:bookmarkEnd w:id="191"/>
    <w:bookmarkEnd w:id="192"/>
    <w:bookmarkStart w:id="219" w:name="X1055242752d29fd67c5e17277b08faaa03c96d9"/>
    <w:bookmarkStart w:id="218" w:name="Xfd756753518ea5c21d917cd89ef57ef39a57d67"/>
    <w:p>
      <w:pPr>
        <w:pStyle w:val="Heading1"/>
      </w:pPr>
      <w:r>
        <w:rPr>
          <w:rStyle w:val="SectionNumber"/>
        </w:rPr>
        <w:t xml:space="preserve">18</w:t>
      </w:r>
      <w:r>
        <w:tab/>
      </w:r>
      <w:r>
        <w:t xml:space="preserve">Handling Issues in Transcription, Notation, and Annotation</w:t>
      </w:r>
    </w:p>
    <w:p>
      <w:pPr>
        <w:pStyle w:val="FirstParagraph"/>
      </w:pPr>
      <w:r>
        <w:t xml:space="preserve">The</w:t>
      </w:r>
      <w:r>
        <w:t xml:space="preserve"> </w:t>
      </w:r>
      <w:r>
        <w:rPr>
          <w:iCs/>
          <w:i/>
        </w:rPr>
        <w:t xml:space="preserve">Myōgishō</w:t>
      </w:r>
      <w:r>
        <w:t xml:space="preserve"> </w:t>
      </w:r>
      <w:r>
        <w:t xml:space="preserve">is a dictionary of</w:t>
      </w:r>
      <w:r>
        <w:t xml:space="preserve"> </w:t>
      </w:r>
      <w:r>
        <w:rPr>
          <w:rStyle w:val="VerbatimChar"/>
          <w:bCs/>
          <w:b/>
        </w:rPr>
        <w:t xml:space="preserve">Hanzi (Chinese characters)</w:t>
      </w:r>
      <w:r>
        <w:t xml:space="preserve">. To accurately decipher its content and convert it into digital text, it is necessary to first understand the various characteristics visible in the original</w:t>
      </w:r>
      <w:r>
        <w:t xml:space="preserve"> </w:t>
      </w:r>
      <w:r>
        <w:rPr>
          <w:iCs/>
          <w:i/>
        </w:rPr>
        <w:t xml:space="preserve">Myōgishō</w:t>
      </w:r>
      <w:r>
        <w:t xml:space="preserve"> </w:t>
      </w:r>
      <w:r>
        <w:t xml:space="preserve">manuscripts and then to establish specific methods for data input and processing.</w:t>
      </w:r>
    </w:p>
    <w:p>
      <w:pPr>
        <w:pStyle w:val="BodyText"/>
      </w:pPr>
      <w:r>
        <w:t xml:space="preserve">First, as the Myōgishō is an ancient manuscript, scribal errors are unavoidable.</w:t>
      </w:r>
      <w:r>
        <w:t xml:space="preserve"> </w:t>
      </w:r>
      <w:r>
        <w:t xml:space="preserve">Under Scribal Issues, we will address</w:t>
      </w:r>
      <w:r>
        <w:t xml:space="preserve"> </w:t>
      </w:r>
      <w:r>
        <w:rPr>
          <w:rStyle w:val="VerbatimChar"/>
          <w:bCs/>
          <w:b/>
        </w:rPr>
        <w:t xml:space="preserve">Miswritten Characters</w:t>
      </w:r>
      <w:r>
        <w:t xml:space="preserve"> </w:t>
      </w:r>
      <w:r>
        <w:t xml:space="preserve">(誤字,</w:t>
      </w:r>
      <w:r>
        <w:t xml:space="preserve"> </w:t>
      </w:r>
      <w:r>
        <w:rPr>
          <w:iCs/>
          <w:i/>
        </w:rPr>
        <w:t xml:space="preserve">goji</w:t>
      </w:r>
      <w:r>
        <w:t xml:space="preserve">),</w:t>
      </w:r>
      <w:r>
        <w:t xml:space="preserve"> </w:t>
      </w:r>
      <w:r>
        <w:rPr>
          <w:rStyle w:val="VerbatimChar"/>
          <w:bCs/>
          <w:b/>
        </w:rPr>
        <w:t xml:space="preserve">Omitted Characters</w:t>
      </w:r>
      <w:r>
        <w:t xml:space="preserve"> </w:t>
      </w:r>
      <w:r>
        <w:t xml:space="preserve">(脱字,</w:t>
      </w:r>
      <w:r>
        <w:t xml:space="preserve"> </w:t>
      </w:r>
      <w:r>
        <w:rPr>
          <w:iCs/>
          <w:i/>
        </w:rPr>
        <w:t xml:space="preserve">datsuji</w:t>
      </w:r>
      <w:r>
        <w:t xml:space="preserve">),</w:t>
      </w:r>
      <w:r>
        <w:t xml:space="preserve"> </w:t>
      </w:r>
      <w:r>
        <w:rPr>
          <w:rStyle w:val="VerbatimChar"/>
          <w:bCs/>
          <w:b/>
        </w:rPr>
        <w:t xml:space="preserve">Superfluous Characters</w:t>
      </w:r>
      <w:r>
        <w:t xml:space="preserve"> </w:t>
      </w:r>
      <w:r>
        <w:t xml:space="preserve">(衍字,</w:t>
      </w:r>
      <w:r>
        <w:t xml:space="preserve"> </w:t>
      </w:r>
      <w:r>
        <w:rPr>
          <w:iCs/>
          <w:i/>
        </w:rPr>
        <w:t xml:space="preserve">enji</w:t>
      </w:r>
      <w:r>
        <w:t xml:space="preserve">), and</w:t>
      </w:r>
      <w:r>
        <w:t xml:space="preserve"> </w:t>
      </w:r>
      <w:r>
        <w:rPr>
          <w:rStyle w:val="VerbatimChar"/>
          <w:bCs/>
          <w:b/>
        </w:rPr>
        <w:t xml:space="preserve">Correction Marks</w:t>
      </w:r>
      <w:r>
        <w:t xml:space="preserve"> </w:t>
      </w:r>
      <w:r>
        <w:t xml:space="preserve">(訂正符号,</w:t>
      </w:r>
      <w:r>
        <w:t xml:space="preserve"> </w:t>
      </w:r>
      <w:r>
        <w:rPr>
          <w:iCs/>
          <w:i/>
        </w:rPr>
        <w:t xml:space="preserve">teisei fugō</w:t>
      </w:r>
      <w:r>
        <w:t xml:space="preserve">).</w:t>
      </w:r>
    </w:p>
    <w:p>
      <w:pPr>
        <w:pStyle w:val="BodyText"/>
      </w:pPr>
      <w:r>
        <w:t xml:space="preserve">Next, the</w:t>
      </w:r>
      <w:r>
        <w:t xml:space="preserve"> </w:t>
      </w:r>
      <w:r>
        <w:rPr>
          <w:iCs/>
          <w:i/>
        </w:rPr>
        <w:t xml:space="preserve">Myōgishō</w:t>
      </w:r>
      <w:r>
        <w:t xml:space="preserve"> </w:t>
      </w:r>
      <w:r>
        <w:t xml:space="preserve">employs sophisticated notational conventions for characters and words to convey diverse information related to the form, sound, and meaning of</w:t>
      </w:r>
      <w:r>
        <w:t xml:space="preserve"> </w:t>
      </w:r>
      <w:r>
        <w:rPr>
          <w:rStyle w:val="VerbatimChar"/>
          <w:bCs/>
          <w:b/>
        </w:rPr>
        <w:t xml:space="preserve">Hanzi (Chinese characters)</w:t>
      </w:r>
      <w:r>
        <w:t xml:space="preserve"> </w:t>
      </w:r>
      <w:r>
        <w:t xml:space="preserve">accurately and efficiently. Under</w:t>
      </w:r>
      <w:r>
        <w:t xml:space="preserve"> </w:t>
      </w:r>
      <w:r>
        <w:rPr>
          <w:bCs/>
          <w:b/>
        </w:rPr>
        <w:t xml:space="preserve">Notational Conventions for Characters and Words</w:t>
      </w:r>
      <w:r>
        <w:t xml:space="preserve">, we will discuss frequently used</w:t>
      </w:r>
      <w:r>
        <w:t xml:space="preserve"> </w:t>
      </w:r>
      <w:r>
        <w:rPr>
          <w:rStyle w:val="VerbatimChar"/>
          <w:bCs/>
          <w:b/>
        </w:rPr>
        <w:t xml:space="preserve">Abbreviated Characters</w:t>
      </w:r>
      <w:r>
        <w:t xml:space="preserve"> </w:t>
      </w:r>
      <w:r>
        <w:t xml:space="preserve">(略字,</w:t>
      </w:r>
      <w:r>
        <w:t xml:space="preserve"> </w:t>
      </w:r>
      <w:r>
        <w:rPr>
          <w:iCs/>
          <w:i/>
        </w:rPr>
        <w:t xml:space="preserve">ryakuji</w:t>
      </w:r>
      <w:r>
        <w:t xml:space="preserve">),</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(異体字),</w:t>
      </w:r>
      <w:r>
        <w:t xml:space="preserve"> </w:t>
      </w:r>
      <w:r>
        <w:rPr>
          <w:rStyle w:val="VerbatimChar"/>
          <w:bCs/>
          <w:b/>
        </w:rPr>
        <w:t xml:space="preserve">Iteration Marks</w:t>
      </w:r>
      <w:r>
        <w:t xml:space="preserve"> </w:t>
      </w:r>
      <w:r>
        <w:t xml:space="preserve">(踊り字,</w:t>
      </w:r>
      <w:r>
        <w:t xml:space="preserve"> </w:t>
      </w:r>
      <w:r>
        <w:rPr>
          <w:iCs/>
          <w:i/>
        </w:rPr>
        <w:t xml:space="preserve">odoriji</w:t>
      </w:r>
      <w:r>
        <w:t xml:space="preserve">), and</w:t>
      </w:r>
      <w:r>
        <w:t xml:space="preserve"> </w:t>
      </w:r>
      <w:r>
        <w:rPr>
          <w:rStyle w:val="VerbatimChar"/>
          <w:bCs/>
          <w:b/>
        </w:rPr>
        <w:t xml:space="preserve">Substitution Marks</w:t>
      </w:r>
      <w:r>
        <w:t xml:space="preserve"> </w:t>
      </w:r>
      <w:r>
        <w:t xml:space="preserve">(代用符号,</w:t>
      </w:r>
      <w:r>
        <w:t xml:space="preserve"> </w:t>
      </w:r>
      <w:r>
        <w:rPr>
          <w:iCs/>
          <w:i/>
        </w:rPr>
        <w:t xml:space="preserve">daiyō fugō</w:t>
      </w:r>
      <w:r>
        <w:t xml:space="preserve">). Although not numerous, examples of</w:t>
      </w:r>
      <w:r>
        <w:t xml:space="preserve"> </w:t>
      </w:r>
      <w:r>
        <w:rPr>
          <w:rStyle w:val="VerbatimChar"/>
          <w:bCs/>
          <w:b/>
        </w:rPr>
        <w:t xml:space="preserve">Compound Marks</w:t>
      </w:r>
      <w:r>
        <w:rPr>
          <w:bCs/>
          <w:b/>
        </w:rPr>
        <w:t xml:space="preserve"> </w:t>
      </w:r>
      <w:r>
        <w:rPr>
          <w:bCs/>
          <w:b/>
        </w:rPr>
        <w:t xml:space="preserve">(合符,</w:t>
      </w:r>
      <w:r>
        <w:rPr>
          <w:bCs/>
          <w:b/>
        </w:rPr>
        <w:t xml:space="preserve"> </w:t>
      </w:r>
      <w:r>
        <w:rPr>
          <w:iCs/>
          <w:i/>
          <w:bCs/>
          <w:b/>
        </w:rPr>
        <w:t xml:space="preserve">gōfu</w:t>
      </w:r>
      <w:r>
        <w:rPr>
          <w:bCs/>
          <w:b/>
        </w:rPr>
        <w:t xml:space="preserve">)</w:t>
      </w:r>
      <w:r>
        <w:t xml:space="preserve">—symbols used to connect characters to indicate they form a compound word—also exist and will be briefly introduced here. Since the nature of</w:t>
      </w:r>
      <w:r>
        <w:t xml:space="preserve"> </w:t>
      </w:r>
      <w:r>
        <w:rPr>
          <w:rStyle w:val="VerbatimChar"/>
          <w:bCs/>
          <w:b/>
        </w:rPr>
        <w:t xml:space="preserve">Substitution Marks</w:t>
      </w:r>
      <w:r>
        <w:t xml:space="preserve"> </w:t>
      </w:r>
      <w:r>
        <w:t xml:space="preserve">and</w:t>
      </w:r>
      <w:r>
        <w:t xml:space="preserve"> </w:t>
      </w:r>
      <w:r>
        <w:rPr>
          <w:rStyle w:val="VerbatimChar"/>
          <w:bCs/>
          <w:b/>
        </w:rPr>
        <w:t xml:space="preserve">Compound Marks</w:t>
      </w:r>
      <w:r>
        <w:t xml:space="preserve"> </w:t>
      </w:r>
      <w:r>
        <w:t xml:space="preserve">can be difficult to grasp, they will be explained in detail with examples in their respective dedicated sections.</w:t>
      </w:r>
    </w:p>
    <w:p>
      <w:pPr>
        <w:pStyle w:val="BodyText"/>
      </w:pPr>
      <w:r>
        <w:t xml:space="preserve">Finally, various ingenious methods are also applied to information added beyond the main text of the</w:t>
      </w:r>
      <w:r>
        <w:t xml:space="preserve"> </w:t>
      </w:r>
      <w:r>
        <w:rPr>
          <w:iCs/>
          <w:i/>
        </w:rPr>
        <w:t xml:space="preserve">Myōgishō</w:t>
      </w:r>
      <w:r>
        <w:t xml:space="preserve">, as well as to physical characteristics such as layout and variations in character size. Under</w:t>
      </w:r>
      <w:r>
        <w:t xml:space="preserve"> </w:t>
      </w:r>
      <w:r>
        <w:rPr>
          <w:rStyle w:val="VerbatimChar"/>
          <w:bCs/>
          <w:b/>
        </w:rPr>
        <w:t xml:space="preserve">Additional Notations and Layout Features</w:t>
      </w:r>
      <w:r>
        <w:t xml:space="preserve">, we will cover:</w:t>
      </w:r>
    </w:p>
    <w:p>
      <w:pPr>
        <w:numPr>
          <w:ilvl w:val="0"/>
          <w:numId w:val="1141"/>
        </w:numPr>
        <w:pStyle w:val="Compact"/>
      </w:pPr>
      <w:r>
        <w:rPr>
          <w:rStyle w:val="VerbatimChar"/>
          <w:bCs/>
          <w:b/>
        </w:rPr>
        <w:t xml:space="preserve">Interlinear Notes</w:t>
      </w:r>
      <w:r>
        <w:t xml:space="preserve"> </w:t>
      </w:r>
      <w:r>
        <w:t xml:space="preserve">(割注,</w:t>
      </w:r>
      <w:r>
        <w:t xml:space="preserve"> </w:t>
      </w:r>
      <w:r>
        <w:rPr>
          <w:iCs/>
          <w:i/>
        </w:rPr>
        <w:t xml:space="preserve">warichū</w:t>
      </w:r>
      <w:r>
        <w:t xml:space="preserve">),</w:t>
      </w:r>
    </w:p>
    <w:p>
      <w:pPr>
        <w:numPr>
          <w:ilvl w:val="0"/>
          <w:numId w:val="1141"/>
        </w:numPr>
        <w:pStyle w:val="Compact"/>
      </w:pPr>
      <w:r>
        <w:t xml:space="preserve">variations in the size of characters within</w:t>
      </w:r>
      <w:r>
        <w:t xml:space="preserve"> </w:t>
      </w:r>
      <w:r>
        <w:rPr>
          <w:rStyle w:val="VerbatimChar"/>
          <w:bCs/>
          <w:b/>
        </w:rPr>
        <w:t xml:space="preserve">Original Glosses</w:t>
      </w:r>
      <w:r>
        <w:t xml:space="preserve"> </w:t>
      </w:r>
      <w:r>
        <w:t xml:space="preserve">(注文文字の大小,</w:t>
      </w:r>
      <w:r>
        <w:t xml:space="preserve"> </w:t>
      </w:r>
      <w:r>
        <w:rPr>
          <w:iCs/>
          <w:i/>
        </w:rPr>
        <w:t xml:space="preserve">chūmon moji no daishō</w:t>
      </w:r>
      <w:r>
        <w:t xml:space="preserve">),</w:t>
      </w:r>
    </w:p>
    <w:p>
      <w:pPr>
        <w:numPr>
          <w:ilvl w:val="0"/>
          <w:numId w:val="1141"/>
        </w:numPr>
        <w:pStyle w:val="Compact"/>
      </w:pPr>
      <w:r>
        <w:rPr>
          <w:rStyle w:val="VerbatimChar"/>
          <w:bCs/>
          <w:b/>
        </w:rPr>
        <w:t xml:space="preserve">Small Character Annotations</w:t>
      </w:r>
      <w:r>
        <w:t xml:space="preserve"> </w:t>
      </w:r>
      <w:r>
        <w:t xml:space="preserve">(小字注記,</w:t>
      </w:r>
      <w:r>
        <w:t xml:space="preserve"> </w:t>
      </w:r>
      <w:r>
        <w:rPr>
          <w:iCs/>
          <w:i/>
        </w:rPr>
        <w:t xml:space="preserve">shōji chūki</w:t>
      </w:r>
      <w:r>
        <w:t xml:space="preserve">),</w:t>
      </w:r>
    </w:p>
    <w:p>
      <w:pPr>
        <w:numPr>
          <w:ilvl w:val="0"/>
          <w:numId w:val="1141"/>
        </w:numPr>
        <w:pStyle w:val="Compact"/>
      </w:pPr>
      <w:r>
        <w:rPr>
          <w:rStyle w:val="VerbatimChar"/>
          <w:bCs/>
          <w:b/>
        </w:rPr>
        <w:t xml:space="preserve">Annotations from Variant Manuscripts</w:t>
      </w:r>
      <w:r>
        <w:t xml:space="preserve"> </w:t>
      </w:r>
      <w:r>
        <w:t xml:space="preserve">(異本注記,</w:t>
      </w:r>
      <w:r>
        <w:t xml:space="preserve"> </w:t>
      </w:r>
      <w:r>
        <w:rPr>
          <w:iCs/>
          <w:i/>
        </w:rPr>
        <w:t xml:space="preserve">ihon chūki</w:t>
      </w:r>
      <w:r>
        <w:t xml:space="preserve">),</w:t>
      </w:r>
    </w:p>
    <w:p>
      <w:pPr>
        <w:numPr>
          <w:ilvl w:val="0"/>
          <w:numId w:val="1141"/>
        </w:numPr>
        <w:pStyle w:val="Compact"/>
      </w:pPr>
      <w:r>
        <w:rPr>
          <w:rStyle w:val="VerbatimChar"/>
          <w:bCs/>
          <w:b/>
        </w:rPr>
        <w:t xml:space="preserve">Source Attributions</w:t>
      </w:r>
      <w:r>
        <w:t xml:space="preserve"> </w:t>
      </w:r>
      <w:r>
        <w:t xml:space="preserve">(出典注記,</w:t>
      </w:r>
      <w:r>
        <w:t xml:space="preserve"> </w:t>
      </w:r>
      <w:r>
        <w:rPr>
          <w:iCs/>
          <w:i/>
        </w:rPr>
        <w:t xml:space="preserve">shutten chūki</w:t>
      </w:r>
      <w:r>
        <w:t xml:space="preserve">),</w:t>
      </w:r>
    </w:p>
    <w:p>
      <w:pPr>
        <w:numPr>
          <w:ilvl w:val="0"/>
          <w:numId w:val="1141"/>
        </w:numPr>
        <w:pStyle w:val="Compact"/>
      </w:pP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(声点),</w:t>
      </w:r>
    </w:p>
    <w:p>
      <w:pPr>
        <w:numPr>
          <w:ilvl w:val="0"/>
          <w:numId w:val="1141"/>
        </w:numPr>
        <w:pStyle w:val="Compact"/>
      </w:pPr>
      <w:r>
        <w:rPr>
          <w:rStyle w:val="VerbatimChar"/>
          <w:bCs/>
          <w:b/>
        </w:rPr>
        <w:t xml:space="preserve">Morphosyntactic Glosses</w:t>
      </w:r>
      <w:r>
        <w:rPr>
          <w:bCs/>
          <w:b/>
        </w:rPr>
        <w:t xml:space="preserve"> </w:t>
      </w:r>
      <w:r>
        <w:rPr>
          <w:bCs/>
          <w:b/>
        </w:rPr>
        <w:t xml:space="preserve">(</w:t>
      </w:r>
      <w:r>
        <w:rPr>
          <w:iCs/>
          <w:i/>
          <w:bCs/>
          <w:b/>
        </w:rPr>
        <w:t xml:space="preserve">wokototen</w:t>
      </w:r>
      <w:r>
        <w:rPr>
          <w:bCs/>
          <w:b/>
        </w:rPr>
        <w:t xml:space="preserve">)</w:t>
      </w:r>
      <w:r>
        <w:t xml:space="preserve"> </w:t>
      </w:r>
      <w:r>
        <w:t xml:space="preserve">(ヲコト点),</w:t>
      </w:r>
    </w:p>
    <w:p>
      <w:pPr>
        <w:numPr>
          <w:ilvl w:val="0"/>
          <w:numId w:val="1141"/>
        </w:numPr>
        <w:pStyle w:val="Compact"/>
      </w:pPr>
      <w:r>
        <w:t xml:space="preserve">line breaks and spacing (改行・空白,</w:t>
      </w:r>
      <w:r>
        <w:t xml:space="preserve"> </w:t>
      </w:r>
      <w:r>
        <w:rPr>
          <w:iCs/>
          <w:i/>
        </w:rPr>
        <w:t xml:space="preserve">kaigyō/kūhaku</w:t>
      </w:r>
      <w:r>
        <w:t xml:space="preserve">),</w:t>
      </w:r>
    </w:p>
    <w:p>
      <w:pPr>
        <w:numPr>
          <w:ilvl w:val="0"/>
          <w:numId w:val="1141"/>
        </w:numPr>
        <w:pStyle w:val="Compact"/>
      </w:pPr>
      <w:r>
        <w:rPr>
          <w:rStyle w:val="VerbatimChar"/>
          <w:bCs/>
          <w:b/>
        </w:rPr>
        <w:t xml:space="preserve">Interpolated Glosses</w:t>
      </w:r>
      <w:r>
        <w:t xml:space="preserve"> </w:t>
      </w:r>
      <w:r>
        <w:t xml:space="preserve">(補入注文,</w:t>
      </w:r>
      <w:r>
        <w:t xml:space="preserve"> </w:t>
      </w:r>
      <w:r>
        <w:rPr>
          <w:iCs/>
          <w:i/>
        </w:rPr>
        <w:t xml:space="preserve">honyū chūmon</w:t>
      </w:r>
      <w:r>
        <w:t xml:space="preserve">),</w:t>
      </w:r>
    </w:p>
    <w:p>
      <w:pPr>
        <w:numPr>
          <w:ilvl w:val="0"/>
          <w:numId w:val="1141"/>
        </w:numPr>
        <w:pStyle w:val="Compact"/>
      </w:pPr>
      <w:r>
        <w:t xml:space="preserve">unannotated</w:t>
      </w:r>
      <w:r>
        <w:t xml:space="preserve"> </w:t>
      </w:r>
      <w:r>
        <w:rPr>
          <w:rStyle w:val="VerbatimChar"/>
          <w:bCs/>
          <w:b/>
        </w:rPr>
        <w:t xml:space="preserve">Entries</w:t>
      </w:r>
      <w:r>
        <w:t xml:space="preserve"> </w:t>
      </w:r>
      <w:r>
        <w:t xml:space="preserve">(無注記,</w:t>
      </w:r>
      <w:r>
        <w:t xml:space="preserve"> </w:t>
      </w:r>
      <w:r>
        <w:rPr>
          <w:iCs/>
          <w:i/>
        </w:rPr>
        <w:t xml:space="preserve">muchūki</w:t>
      </w:r>
      <w:r>
        <w:t xml:space="preserve">), and</w:t>
      </w:r>
    </w:p>
    <w:p>
      <w:pPr>
        <w:numPr>
          <w:ilvl w:val="0"/>
          <w:numId w:val="1141"/>
        </w:numPr>
        <w:pStyle w:val="Compact"/>
      </w:pPr>
      <w:r>
        <w:t xml:space="preserve">other noteworthy cases.</w:t>
      </w:r>
    </w:p>
    <w:p>
      <w:pPr>
        <w:pStyle w:val="FirstParagraph"/>
      </w:pPr>
      <w:r>
        <w:t xml:space="preserve">We will also explain how these are input and processed. The explanation of</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will concurrently cover voiced sound symbols and nasal sound symbols.</w:t>
      </w:r>
    </w:p>
    <w:p>
      <w:pPr>
        <w:pStyle w:val="BodyText"/>
      </w:pPr>
      <w:r>
        <w:t xml:space="preserve">While the primary focus of this explanation will be on issues common to the entire text of the</w:t>
      </w:r>
      <w:r>
        <w:t xml:space="preserve"> </w:t>
      </w:r>
      <w:r>
        <w:rPr>
          <w:iCs/>
          <w:i/>
        </w:rPr>
        <w:t xml:space="preserve">Myōgishō</w:t>
      </w:r>
      <w:r>
        <w:t xml:space="preserve">, if there are problems specific to the constituent elements of an</w:t>
      </w:r>
      <w:r>
        <w:t xml:space="preserve"> </w:t>
      </w:r>
      <w:r>
        <w:rPr>
          <w:rStyle w:val="VerbatimChar"/>
          <w:bCs/>
          <w:b/>
        </w:rPr>
        <w:t xml:space="preserve">Entry</w:t>
      </w:r>
      <w:r>
        <w:t xml:space="preserve">—namely the</w:t>
      </w:r>
      <w:r>
        <w:t xml:space="preserve"> </w:t>
      </w:r>
      <w:r>
        <w:rPr>
          <w:rStyle w:val="VerbatimChar"/>
          <w:bCs/>
          <w:b/>
        </w:rPr>
        <w:t xml:space="preserve">Headword</w:t>
      </w:r>
      <w:r>
        <w:t xml:space="preserve">,</w:t>
      </w:r>
      <w:r>
        <w:t xml:space="preserve"> </w:t>
      </w:r>
      <w:r>
        <w:rPr>
          <w:rStyle w:val="VerbatimChar"/>
          <w:bCs/>
          <w:b/>
        </w:rPr>
        <w:t xml:space="preserve">Notes on Character Form</w:t>
      </w:r>
      <w:r>
        <w:t xml:space="preserve">,</w:t>
      </w:r>
      <w:r>
        <w:t xml:space="preserve"> </w:t>
      </w:r>
      <w:r>
        <w:rPr>
          <w:rStyle w:val="VerbatimChar"/>
          <w:bCs/>
          <w:b/>
        </w:rPr>
        <w:t xml:space="preserve">Phonetic Glosses</w:t>
      </w:r>
      <w:r>
        <w:t xml:space="preserve">,</w:t>
      </w:r>
      <w:r>
        <w:t xml:space="preserve"> </w:t>
      </w:r>
      <w:r>
        <w:rPr>
          <w:rStyle w:val="VerbatimChar"/>
          <w:bCs/>
          <w:b/>
        </w:rPr>
        <w:t xml:space="preserve">Semantic Glosses in Chinese</w:t>
      </w:r>
      <w:r>
        <w:t xml:space="preserve">, and</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—these will also be addressed according to their significance.</w:t>
      </w:r>
      <w:r>
        <w:t xml:space="preserve"> </w:t>
      </w:r>
      <w:r>
        <w:t xml:space="preserve">For example,</w:t>
      </w:r>
      <w:r>
        <w:t xml:space="preserve"> </w:t>
      </w:r>
      <w:r>
        <w:t xml:space="preserve">“</w:t>
      </w:r>
      <w:r>
        <w:t xml:space="preserve">iteration marks</w:t>
      </w:r>
      <w:r>
        <w:t xml:space="preserve">”</w:t>
      </w:r>
      <w:r>
        <w:t xml:space="preserve"> </w:t>
      </w:r>
      <w:r>
        <w:t xml:space="preserve">(踊り字,</w:t>
      </w:r>
      <w:r>
        <w:t xml:space="preserve"> </w:t>
      </w:r>
      <w:r>
        <w:rPr>
          <w:iCs/>
          <w:i/>
        </w:rPr>
        <w:t xml:space="preserve">odoriji</w:t>
      </w:r>
      <w:r>
        <w:t xml:space="preserve">) are a common issue across various elements of an</w:t>
      </w:r>
      <w:r>
        <w:t xml:space="preserve"> </w:t>
      </w:r>
      <w:r>
        <w:rPr>
          <w:rStyle w:val="VerbatimChar"/>
          <w:bCs/>
          <w:b/>
        </w:rPr>
        <w:t xml:space="preserve">Entry</w:t>
      </w:r>
      <w:r>
        <w:t xml:space="preserve">, whereas</w:t>
      </w:r>
      <w:r>
        <w:t xml:space="preserve"> </w:t>
      </w:r>
      <w:r>
        <w:t xml:space="preserve">“</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w:t>
      </w:r>
      <w:r>
        <w:t xml:space="preserve"> </w:t>
      </w:r>
      <w:r>
        <w:t xml:space="preserve">and</w:t>
      </w:r>
      <w:r>
        <w:t xml:space="preserve"> </w:t>
      </w:r>
      <w:r>
        <w:t xml:space="preserve">“</w:t>
      </w:r>
      <w:r>
        <w:t xml:space="preserve">nasal sound symbols</w:t>
      </w:r>
      <w:r>
        <w:t xml:space="preserve">”</w:t>
      </w:r>
      <w:r>
        <w:t xml:space="preserve"> </w:t>
      </w:r>
      <w:r>
        <w:t xml:space="preserve">(鼻音符号,</w:t>
      </w:r>
      <w:r>
        <w:t xml:space="preserve"> </w:t>
      </w:r>
      <w:r>
        <w:rPr>
          <w:iCs/>
          <w:i/>
        </w:rPr>
        <w:t xml:space="preserve">bionfugō</w:t>
      </w:r>
      <w:r>
        <w:t xml:space="preserve">) are particularly problematic in the context of</w:t>
      </w:r>
      <w:r>
        <w:t xml:space="preserve"> </w:t>
      </w:r>
      <w:r>
        <w:rPr>
          <w:rStyle w:val="VerbatimChar"/>
          <w:bCs/>
          <w:b/>
        </w:rPr>
        <w:t xml:space="preserve">Phonetic Glosses</w:t>
      </w:r>
      <w:r>
        <w:t xml:space="preserve">.</w:t>
      </w:r>
    </w:p>
    <w:p>
      <w:pPr>
        <w:pStyle w:val="BodyText"/>
      </w:pPr>
      <w:r>
        <w:t xml:space="preserve">In the published data, the transcription of</w:t>
      </w:r>
      <w:r>
        <w:t xml:space="preserve"> </w:t>
      </w:r>
      <w:r>
        <w:rPr>
          <w:rStyle w:val="VerbatimChar"/>
          <w:bCs/>
          <w:b/>
        </w:rPr>
        <w:t xml:space="preserve">Headwords</w:t>
      </w:r>
      <w:r>
        <w:t xml:space="preserve"> </w:t>
      </w:r>
      <w:r>
        <w:t xml:space="preserve">is recorded in the</w:t>
      </w:r>
      <w:r>
        <w:t xml:space="preserve"> </w:t>
      </w:r>
      <w:r>
        <w:rPr>
          <w:rStyle w:val="VerbatimChar"/>
        </w:rPr>
        <w:t xml:space="preserve">hanzi_entry</w:t>
      </w:r>
      <w:r>
        <w:t xml:space="preserve"> </w:t>
      </w:r>
      <w:r>
        <w:t xml:space="preserve">and</w:t>
      </w:r>
      <w:r>
        <w:t xml:space="preserve"> </w:t>
      </w:r>
      <w:r>
        <w:rPr>
          <w:rStyle w:val="VerbatimChar"/>
        </w:rPr>
        <w:t xml:space="preserve">original_entry</w:t>
      </w:r>
      <w:r>
        <w:t xml:space="preserve"> </w:t>
      </w:r>
      <w:r>
        <w:t xml:space="preserve">columns of the</w:t>
      </w:r>
      <w:r>
        <w:t xml:space="preserve"> </w:t>
      </w:r>
      <w:r>
        <w:rPr>
          <w:rStyle w:val="VerbatimChar"/>
        </w:rPr>
        <w:t xml:space="preserve">krm_main</w:t>
      </w:r>
      <w:r>
        <w:t xml:space="preserve"> </w:t>
      </w:r>
      <w:r>
        <w:t xml:space="preserve">file.</w:t>
      </w:r>
      <w:r>
        <w:t xml:space="preserve"> </w:t>
      </w:r>
      <w:r>
        <w:t xml:space="preserve">Similarly, the</w:t>
      </w:r>
      <w:r>
        <w:t xml:space="preserve"> </w:t>
      </w:r>
      <w:r>
        <w:rPr>
          <w:rStyle w:val="VerbatimChar"/>
        </w:rPr>
        <w:t xml:space="preserve">hanzi_entry</w:t>
      </w:r>
      <w:r>
        <w:t xml:space="preserve"> </w:t>
      </w:r>
      <w:r>
        <w:t xml:space="preserve">and</w:t>
      </w:r>
      <w:r>
        <w:t xml:space="preserve"> </w:t>
      </w:r>
      <w:r>
        <w:rPr>
          <w:rStyle w:val="VerbatimChar"/>
        </w:rPr>
        <w:t xml:space="preserve">original_entry</w:t>
      </w:r>
      <w:r>
        <w:t xml:space="preserve"> </w:t>
      </w:r>
      <w:r>
        <w:t xml:space="preserve">columns in the</w:t>
      </w:r>
      <w:r>
        <w:t xml:space="preserve"> </w:t>
      </w:r>
      <w:r>
        <w:rPr>
          <w:rStyle w:val="VerbatimChar"/>
        </w:rPr>
        <w:t xml:space="preserve">krm_notes</w:t>
      </w:r>
      <w:r>
        <w:t xml:space="preserve"> </w:t>
      </w:r>
      <w:r>
        <w:t xml:space="preserve">file contain the same content as those in</w:t>
      </w:r>
      <w:r>
        <w:t xml:space="preserve"> </w:t>
      </w:r>
      <w:r>
        <w:rPr>
          <w:rStyle w:val="VerbatimChar"/>
        </w:rPr>
        <w:t xml:space="preserve">krm_main</w:t>
      </w:r>
      <w:r>
        <w:t xml:space="preserve">.</w:t>
      </w:r>
      <w:r>
        <w:t xml:space="preserve"> </w:t>
      </w:r>
      <w:r>
        <w:t xml:space="preserve">The</w:t>
      </w:r>
      <w:r>
        <w:t xml:space="preserve"> </w:t>
      </w:r>
      <w:r>
        <w:rPr>
          <w:rStyle w:val="VerbatimChar"/>
        </w:rPr>
        <w:t xml:space="preserve">krm_wakun</w:t>
      </w:r>
      <w:r>
        <w:t xml:space="preserve"> </w:t>
      </w:r>
      <w:r>
        <w:t xml:space="preserve">file exclusively lists</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data in its</w:t>
      </w:r>
      <w:r>
        <w:t xml:space="preserve"> </w:t>
      </w:r>
      <w:r>
        <w:rPr>
          <w:rStyle w:val="VerbatimChar"/>
        </w:rPr>
        <w:t xml:space="preserve">wakun_elements</w:t>
      </w:r>
      <w:r>
        <w:t xml:space="preserve"> </w:t>
      </w:r>
      <w:r>
        <w:t xml:space="preserve">column.</w:t>
      </w:r>
    </w:p>
    <w:p>
      <w:pPr>
        <w:pStyle w:val="BodyText"/>
      </w:pPr>
      <w:r>
        <w:t xml:space="preserve">Furthermore, instances requiring particularly detailed explanation are described in the</w:t>
      </w:r>
      <w:r>
        <w:t xml:space="preserve"> </w:t>
      </w:r>
      <w:r>
        <w:rPr>
          <w:rStyle w:val="VerbatimChar"/>
        </w:rPr>
        <w:t xml:space="preserve">remarks</w:t>
      </w:r>
      <w:r>
        <w:t xml:space="preserve"> </w:t>
      </w:r>
      <w:r>
        <w:t xml:space="preserve">column of the</w:t>
      </w:r>
      <w:r>
        <w:t xml:space="preserve"> </w:t>
      </w:r>
      <w:r>
        <w:rPr>
          <w:rStyle w:val="VerbatimChar"/>
        </w:rPr>
        <w:t xml:space="preserve">krm_notes</w:t>
      </w:r>
      <w:r>
        <w:t xml:space="preserve"> </w:t>
      </w:r>
      <w:r>
        <w:t xml:space="preserve">file as</w:t>
      </w:r>
      <w:r>
        <w:t xml:space="preserve"> </w:t>
      </w:r>
      <w:r>
        <w:rPr>
          <w:rStyle w:val="VerbatimChar"/>
          <w:bCs/>
          <w:b/>
        </w:rPr>
        <w:t xml:space="preserve">Compiler's Remarks</w:t>
      </w:r>
      <w:r>
        <w:t xml:space="preserve">.</w:t>
      </w:r>
    </w:p>
    <w:p>
      <w:pPr>
        <w:pStyle w:val="BodyText"/>
      </w:pPr>
      <w:r>
        <w:t xml:space="preserve">For more details on the overall structure of the published data and file formats, please refer to the</w:t>
      </w:r>
      <w:r>
        <w:t xml:space="preserve"> </w:t>
      </w:r>
      <w:hyperlink r:id="rId151">
        <w:r>
          <w:rPr>
            <w:rStyle w:val="Hyperlink"/>
          </w:rPr>
          <w:t xml:space="preserve">Overview of Public Data</w:t>
        </w:r>
      </w:hyperlink>
      <w:r>
        <w:t xml:space="preserve">.</w:t>
      </w:r>
    </w:p>
    <w:p>
      <w:pPr>
        <w:pStyle w:val="BodyText"/>
      </w:pPr>
      <w:r>
        <w:t xml:space="preserve">The transcription of the</w:t>
      </w:r>
      <w:r>
        <w:t xml:space="preserve"> </w:t>
      </w:r>
      <w:r>
        <w:rPr>
          <w:rStyle w:val="VerbatimChar"/>
          <w:bCs/>
          <w:b/>
        </w:rPr>
        <w:t xml:space="preserve">Original Glosses</w:t>
      </w:r>
      <w:r>
        <w:t xml:space="preserve"> </w:t>
      </w:r>
      <w:r>
        <w:t xml:space="preserve">is recorded in the</w:t>
      </w:r>
      <w:r>
        <w:t xml:space="preserve"> </w:t>
      </w:r>
      <w:r>
        <w:rPr>
          <w:rStyle w:val="VerbatimChar"/>
        </w:rPr>
        <w:t xml:space="preserve">definition</w:t>
      </w:r>
      <w:r>
        <w:t xml:space="preserve"> </w:t>
      </w:r>
      <w:r>
        <w:t xml:space="preserve">column of the</w:t>
      </w:r>
      <w:r>
        <w:t xml:space="preserve"> </w:t>
      </w:r>
      <w:r>
        <w:rPr>
          <w:rStyle w:val="VerbatimChar"/>
        </w:rPr>
        <w:t xml:space="preserve">krm_main</w:t>
      </w:r>
      <w:r>
        <w:t xml:space="preserve"> </w:t>
      </w:r>
      <w:r>
        <w:t xml:space="preserve">public data file.</w:t>
      </w:r>
      <w:r>
        <w:t xml:space="preserve"> </w:t>
      </w:r>
      <w:r>
        <w:t xml:space="preserve">In the</w:t>
      </w:r>
      <w:r>
        <w:t xml:space="preserve"> </w:t>
      </w:r>
      <w:r>
        <w:rPr>
          <w:rStyle w:val="VerbatimChar"/>
        </w:rPr>
        <w:t xml:space="preserve">krm_notes</w:t>
      </w:r>
      <w:r>
        <w:t xml:space="preserve"> </w:t>
      </w:r>
      <w:r>
        <w:t xml:space="preserve">file, the constituent elements of the</w:t>
      </w:r>
      <w:r>
        <w:t xml:space="preserve"> </w:t>
      </w:r>
      <w:r>
        <w:rPr>
          <w:rStyle w:val="VerbatimChar"/>
          <w:bCs/>
          <w:b/>
        </w:rPr>
        <w:t xml:space="preserve">Original Glosses</w:t>
      </w:r>
      <w:r>
        <w:t xml:space="preserve">—namely</w:t>
      </w:r>
      <w:r>
        <w:t xml:space="preserve"> </w:t>
      </w:r>
      <w:r>
        <w:rPr>
          <w:rStyle w:val="VerbatimChar"/>
          <w:bCs/>
          <w:b/>
        </w:rPr>
        <w:t xml:space="preserve">Notes on Character Form</w:t>
      </w:r>
      <w:r>
        <w:t xml:space="preserve">,</w:t>
      </w:r>
      <w:r>
        <w:t xml:space="preserve"> </w:t>
      </w:r>
      <w:r>
        <w:rPr>
          <w:rStyle w:val="VerbatimChar"/>
          <w:bCs/>
          <w:b/>
        </w:rPr>
        <w:t xml:space="preserve">Phonetic Glosses</w:t>
      </w:r>
      <w:r>
        <w:t xml:space="preserve">,</w:t>
      </w:r>
      <w:r>
        <w:t xml:space="preserve"> </w:t>
      </w:r>
      <w:r>
        <w:rPr>
          <w:rStyle w:val="VerbatimChar"/>
          <w:bCs/>
          <w:b/>
        </w:rPr>
        <w:t xml:space="preserve">Semantic Glosses in Chinese</w:t>
      </w:r>
      <w:r>
        <w:t xml:space="preserve">,</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and</w:t>
      </w:r>
      <w:r>
        <w:t xml:space="preserve"> </w:t>
      </w:r>
      <w:r>
        <w:rPr>
          <w:rStyle w:val="VerbatimChar"/>
          <w:bCs/>
          <w:b/>
        </w:rPr>
        <w:t xml:space="preserve">Other</w:t>
      </w:r>
      <w:r>
        <w:t xml:space="preserve"> </w:t>
      </w:r>
      <w:r>
        <w:t xml:space="preserve">information—are categorized and recorded in the</w:t>
      </w:r>
      <w:r>
        <w:t xml:space="preserve"> </w:t>
      </w:r>
      <w:r>
        <w:rPr>
          <w:rStyle w:val="VerbatimChar"/>
        </w:rPr>
        <w:t xml:space="preserve">definition_elements</w:t>
      </w:r>
      <w:r>
        <w:t xml:space="preserve"> </w:t>
      </w:r>
      <w:r>
        <w:t xml:space="preserve">column.</w:t>
      </w:r>
    </w:p>
    <w:bookmarkStart w:id="197" w:name="X789645c03be6d3955945f8ebb726906002313e3"/>
    <w:p>
      <w:pPr>
        <w:pStyle w:val="Heading2"/>
      </w:pPr>
      <w:r>
        <w:rPr>
          <w:rStyle w:val="SectionNumber"/>
        </w:rPr>
        <w:t xml:space="preserve">18.1</w:t>
      </w:r>
      <w:r>
        <w:tab/>
      </w:r>
      <w:r>
        <w:t xml:space="preserve">Scribal Issues</w:t>
      </w:r>
    </w:p>
    <w:p>
      <w:pPr>
        <w:pStyle w:val="FirstParagraph"/>
      </w:pPr>
      <w:r>
        <w:t xml:space="preserve">This section addresses issues such as</w:t>
      </w:r>
      <w:r>
        <w:t xml:space="preserve"> </w:t>
      </w:r>
      <w:r>
        <w:rPr>
          <w:rStyle w:val="VerbatimChar"/>
          <w:bCs/>
          <w:b/>
        </w:rPr>
        <w:t xml:space="preserve">Miswritten Characters</w:t>
      </w:r>
      <w:r>
        <w:t xml:space="preserve"> </w:t>
      </w:r>
      <w:r>
        <w:t xml:space="preserve">(誤字,</w:t>
      </w:r>
      <w:r>
        <w:t xml:space="preserve"> </w:t>
      </w:r>
      <w:r>
        <w:rPr>
          <w:iCs/>
          <w:i/>
        </w:rPr>
        <w:t xml:space="preserve">goji</w:t>
      </w:r>
      <w:r>
        <w:t xml:space="preserve">),</w:t>
      </w:r>
      <w:r>
        <w:t xml:space="preserve"> </w:t>
      </w:r>
      <w:r>
        <w:rPr>
          <w:rStyle w:val="VerbatimChar"/>
          <w:bCs/>
          <w:b/>
        </w:rPr>
        <w:t xml:space="preserve">Omitted Characters</w:t>
      </w:r>
      <w:r>
        <w:t xml:space="preserve"> </w:t>
      </w:r>
      <w:r>
        <w:t xml:space="preserve">(脱字,</w:t>
      </w:r>
      <w:r>
        <w:t xml:space="preserve"> </w:t>
      </w:r>
      <w:r>
        <w:rPr>
          <w:iCs/>
          <w:i/>
        </w:rPr>
        <w:t xml:space="preserve">datsuji</w:t>
      </w:r>
      <w:r>
        <w:t xml:space="preserve">),</w:t>
      </w:r>
      <w:r>
        <w:t xml:space="preserve"> </w:t>
      </w:r>
      <w:r>
        <w:rPr>
          <w:rStyle w:val="VerbatimChar"/>
          <w:bCs/>
          <w:b/>
        </w:rPr>
        <w:t xml:space="preserve">Superfluous Characters</w:t>
      </w:r>
      <w:r>
        <w:t xml:space="preserve"> </w:t>
      </w:r>
      <w:r>
        <w:t xml:space="preserve">(衍字,</w:t>
      </w:r>
      <w:r>
        <w:t xml:space="preserve"> </w:t>
      </w:r>
      <w:r>
        <w:rPr>
          <w:iCs/>
          <w:i/>
        </w:rPr>
        <w:t xml:space="preserve">enji</w:t>
      </w:r>
      <w:r>
        <w:t xml:space="preserve">), and</w:t>
      </w:r>
      <w:r>
        <w:t xml:space="preserve"> </w:t>
      </w:r>
      <w:r>
        <w:rPr>
          <w:rStyle w:val="VerbatimChar"/>
          <w:bCs/>
          <w:b/>
        </w:rPr>
        <w:t xml:space="preserve">Correction Marks</w:t>
      </w:r>
      <w:r>
        <w:t xml:space="preserve"> </w:t>
      </w:r>
      <w:r>
        <w:t xml:space="preserve">(訂正符号,</w:t>
      </w:r>
      <w:r>
        <w:t xml:space="preserve"> </w:t>
      </w:r>
      <w:r>
        <w:rPr>
          <w:iCs/>
          <w:i/>
        </w:rPr>
        <w:t xml:space="preserve">teisei fugō</w:t>
      </w:r>
      <w:r>
        <w:t xml:space="preserve">).</w:t>
      </w:r>
    </w:p>
    <w:bookmarkStart w:id="193" w:name="Xfb9d715b8a490297e6a2f88173ca3ab1c31156b"/>
    <w:p>
      <w:pPr>
        <w:pStyle w:val="Heading3"/>
      </w:pPr>
      <w:r>
        <w:rPr>
          <w:rStyle w:val="SectionNumber"/>
        </w:rPr>
        <w:t xml:space="preserve">18.1.1</w:t>
      </w:r>
      <w:r>
        <w:tab/>
      </w:r>
      <w:r>
        <w:rPr>
          <w:rStyle w:val="VerbatimChar"/>
        </w:rPr>
        <w:t xml:space="preserve">Miswritten Characters</w:t>
      </w:r>
      <w:r>
        <w:t xml:space="preserve"> </w:t>
      </w:r>
      <w:r>
        <w:t xml:space="preserve">(誤字,</w:t>
      </w:r>
      <w:r>
        <w:t xml:space="preserve"> </w:t>
      </w:r>
      <w:r>
        <w:rPr>
          <w:iCs/>
          <w:i/>
        </w:rPr>
        <w:t xml:space="preserve">goji</w:t>
      </w:r>
      <w:r>
        <w:t xml:space="preserve">)</w:t>
      </w:r>
    </w:p>
    <w:p>
      <w:pPr>
        <w:pStyle w:val="FirstParagraph"/>
      </w:pPr>
      <w:r>
        <w:t xml:space="preserve">When a</w:t>
      </w:r>
      <w:r>
        <w:t xml:space="preserve"> </w:t>
      </w:r>
      <w:r>
        <w:rPr>
          <w:rStyle w:val="VerbatimChar"/>
          <w:bCs/>
          <w:b/>
        </w:rPr>
        <w:t xml:space="preserve">Headword</w:t>
      </w:r>
      <w:r>
        <w:t xml:space="preserve"> </w:t>
      </w:r>
      <w:r>
        <w:t xml:space="preserve">is clearly a</w:t>
      </w:r>
      <w:r>
        <w:t xml:space="preserve"> </w:t>
      </w:r>
      <w:r>
        <w:rPr>
          <w:rStyle w:val="VerbatimChar"/>
          <w:bCs/>
          <w:b/>
        </w:rPr>
        <w:t xml:space="preserve">Miswritten Character</w:t>
      </w:r>
      <w:r>
        <w:t xml:space="preserve"> </w:t>
      </w:r>
      <w:r>
        <w:t xml:space="preserve">(誤字,</w:t>
      </w:r>
      <w:r>
        <w:t xml:space="preserve"> </w:t>
      </w:r>
      <w:r>
        <w:rPr>
          <w:iCs/>
          <w:i/>
        </w:rPr>
        <w:t xml:space="preserve">goji</w:t>
      </w:r>
      <w:r>
        <w:t xml:space="preserve">), the collated (corrected) form is recorded in the</w:t>
      </w:r>
      <w:r>
        <w:t xml:space="preserve"> </w:t>
      </w:r>
      <w:r>
        <w:rPr>
          <w:rStyle w:val="VerbatimChar"/>
        </w:rPr>
        <w:t xml:space="preserve">hanzi_entry</w:t>
      </w:r>
      <w:r>
        <w:t xml:space="preserve"> </w:t>
      </w:r>
      <w:r>
        <w:t xml:space="preserve">column, and the original manuscript form is recorded in the</w:t>
      </w:r>
      <w:r>
        <w:t xml:space="preserve"> </w:t>
      </w:r>
      <w:r>
        <w:rPr>
          <w:rStyle w:val="VerbatimChar"/>
        </w:rPr>
        <w:t xml:space="preserve">original_entry</w:t>
      </w:r>
      <w:r>
        <w:t xml:space="preserve"> </w:t>
      </w:r>
      <w:r>
        <w:t xml:space="preserve">column. The basis for the collation is provided in the</w:t>
      </w:r>
      <w:r>
        <w:t xml:space="preserve"> </w:t>
      </w:r>
      <w:r>
        <w:rPr>
          <w:rStyle w:val="VerbatimChar"/>
        </w:rPr>
        <w:t xml:space="preserve">remarks</w:t>
      </w:r>
      <w:r>
        <w:t xml:space="preserve"> </w:t>
      </w:r>
      <w:r>
        <w:t xml:space="preserve">column of the</w:t>
      </w:r>
      <w:r>
        <w:t xml:space="preserve"> </w:t>
      </w:r>
      <w:r>
        <w:rPr>
          <w:rStyle w:val="VerbatimChar"/>
        </w:rPr>
        <w:t xml:space="preserve">krm_notes</w:t>
      </w:r>
      <w:r>
        <w:t xml:space="preserve"> </w:t>
      </w:r>
      <w:r>
        <w:t xml:space="preserve">file (for details on</w:t>
      </w:r>
      <w:r>
        <w:t xml:space="preserve"> </w:t>
      </w:r>
      <w:r>
        <w:rPr>
          <w:rStyle w:val="VerbatimChar"/>
        </w:rPr>
        <w:t xml:space="preserve">krm_notes</w:t>
      </w:r>
      <w:r>
        <w:t xml:space="preserve">, please refer to the relevant section in the</w:t>
      </w:r>
      <w:r>
        <w:t xml:space="preserve"> </w:t>
      </w:r>
      <w:hyperlink r:id="rId151">
        <w:r>
          <w:rPr>
            <w:rStyle w:val="Hyperlink"/>
          </w:rPr>
          <w:t xml:space="preserve">Overview of Public Data</w:t>
        </w:r>
      </w:hyperlink>
      <w:r>
        <w:t xml:space="preserve">).</w:t>
      </w:r>
    </w:p>
    <w:p>
      <w:pPr>
        <w:pStyle w:val="BodyText"/>
      </w:pPr>
      <w:r>
        <w:rPr>
          <w:bCs/>
          <w:b/>
        </w:rPr>
        <w:t xml:space="preserve">Examples (Original Japanese remarks):</w:t>
      </w:r>
      <w:r>
        <w:t xml:space="preserve"> </w:t>
      </w:r>
      <w:r>
        <w:t xml:space="preserve">-</w:t>
      </w:r>
      <w:r>
        <w:t xml:space="preserve"> </w:t>
      </w:r>
      <w:r>
        <w:rPr>
          <w:rStyle w:val="VerbatimChar"/>
        </w:rPr>
        <w:t xml:space="preserve">hanzi_entry</w:t>
      </w:r>
      <w:r>
        <w:t xml:space="preserve">: 向／後,</w:t>
      </w:r>
      <w:r>
        <w:t xml:space="preserve"> </w:t>
      </w:r>
      <w:r>
        <w:rPr>
          <w:rStyle w:val="VerbatimChar"/>
        </w:rPr>
        <w:t xml:space="preserve">original_entry</w:t>
      </w:r>
      <w:r>
        <w:t xml:space="preserve">: 〇／ー（彴）,</w:t>
      </w:r>
      <w:r>
        <w:t xml:space="preserve"> </w:t>
      </w:r>
      <w:r>
        <w:rPr>
          <w:rStyle w:val="VerbatimChar"/>
        </w:rPr>
        <w:t xml:space="preserve">remarks</w:t>
      </w:r>
      <w:r>
        <w:t xml:space="preserve">: 掲出字は「向後」とすべきを誤る。岡田研究193-194頁に「ー」使用は高山寺本が適切との指摘あり。</w:t>
      </w:r>
      <w:r>
        <w:t xml:space="preserve"> </w:t>
      </w:r>
      <w:r>
        <w:t xml:space="preserve">-</w:t>
      </w:r>
      <w:r>
        <w:t xml:space="preserve"> </w:t>
      </w:r>
      <w:r>
        <w:rPr>
          <w:rStyle w:val="VerbatimChar"/>
        </w:rPr>
        <w:t xml:space="preserve">hanzi_entry</w:t>
      </w:r>
      <w:r>
        <w:t xml:space="preserve">: 姡,</w:t>
      </w:r>
      <w:r>
        <w:t xml:space="preserve"> </w:t>
      </w:r>
      <w:r>
        <w:rPr>
          <w:rStyle w:val="VerbatimChar"/>
        </w:rPr>
        <w:t xml:space="preserve">original_entry</w:t>
      </w:r>
      <w:r>
        <w:t xml:space="preserve">: 活,</w:t>
      </w:r>
      <w:r>
        <w:t xml:space="preserve"> </w:t>
      </w:r>
      <w:r>
        <w:rPr>
          <w:rStyle w:val="VerbatimChar"/>
        </w:rPr>
        <w:t xml:space="preserve">remarks</w:t>
      </w:r>
      <w:r>
        <w:t xml:space="preserve">: 掲出字は誤写。高山寺本・蓮成院本・西念寺本「姡」に作るにより改める。</w:t>
      </w:r>
    </w:p>
    <w:p>
      <w:pPr>
        <w:pStyle w:val="BodyText"/>
      </w:pPr>
      <w:r>
        <w:t xml:space="preserve">As illustrated by the preceding examples, the</w:t>
      </w:r>
      <w:r>
        <w:t xml:space="preserve"> </w:t>
      </w:r>
      <w:r>
        <w:rPr>
          <w:rStyle w:val="VerbatimChar"/>
        </w:rPr>
        <w:t xml:space="preserve">remarks</w:t>
      </w:r>
      <w:r>
        <w:t xml:space="preserve"> </w:t>
      </w:r>
      <w:r>
        <w:t xml:space="preserve">in the</w:t>
      </w:r>
      <w:r>
        <w:t xml:space="preserve"> </w:t>
      </w:r>
      <w:r>
        <w:rPr>
          <w:rStyle w:val="VerbatimChar"/>
        </w:rPr>
        <w:t xml:space="preserve">krm_notes</w:t>
      </w:r>
      <w:r>
        <w:t xml:space="preserve"> </w:t>
      </w:r>
      <w:r>
        <w:t xml:space="preserve">file are originally written in Japanese. English translations of these specific</w:t>
      </w:r>
      <w:r>
        <w:t xml:space="preserve"> </w:t>
      </w:r>
      <w:r>
        <w:rPr>
          <w:rStyle w:val="VerbatimChar"/>
        </w:rPr>
        <w:t xml:space="preserve">remarks</w:t>
      </w:r>
      <w:r>
        <w:t xml:space="preserve"> </w:t>
      </w:r>
      <w:r>
        <w:t xml:space="preserve">are provided below for reference.</w:t>
      </w:r>
    </w:p>
    <w:p>
      <w:pPr>
        <w:pStyle w:val="BodyText"/>
      </w:pPr>
      <w:r>
        <w:rPr>
          <w:bCs/>
          <w:b/>
        </w:rPr>
        <w:t xml:space="preserve">English Translations of</w:t>
      </w:r>
      <w:r>
        <w:rPr>
          <w:bCs/>
          <w:b/>
        </w:rPr>
        <w:t xml:space="preserve"> </w:t>
      </w:r>
      <w:r>
        <w:rPr>
          <w:rStyle w:val="VerbatimChar"/>
          <w:bCs/>
          <w:b/>
        </w:rPr>
        <w:t xml:space="preserve">remarks</w:t>
      </w:r>
      <w:r>
        <w:rPr>
          <w:bCs/>
          <w:b/>
        </w:rPr>
        <w:t xml:space="preserve"> </w:t>
      </w:r>
      <w:r>
        <w:rPr>
          <w:bCs/>
          <w:b/>
        </w:rPr>
        <w:t xml:space="preserve">examples:</w:t>
      </w:r>
    </w:p>
    <w:p>
      <w:pPr>
        <w:numPr>
          <w:ilvl w:val="0"/>
          <w:numId w:val="1142"/>
        </w:numPr>
        <w:pStyle w:val="Compact"/>
      </w:pPr>
      <w:r>
        <w:rPr>
          <w:bCs/>
          <w:b/>
        </w:rPr>
        <w:t xml:space="preserve">For</w:t>
      </w:r>
      <w:r>
        <w:rPr>
          <w:bCs/>
          <w:b/>
        </w:rPr>
        <w:t xml:space="preserve"> </w:t>
      </w:r>
      <w:r>
        <w:rPr>
          <w:rStyle w:val="VerbatimChar"/>
          <w:bCs/>
          <w:b/>
        </w:rPr>
        <w:t xml:space="preserve">hanzi_entry</w:t>
      </w:r>
      <w:r>
        <w:rPr>
          <w:bCs/>
          <w:b/>
        </w:rPr>
        <w:t xml:space="preserve"> </w:t>
      </w:r>
      <w:r>
        <w:rPr>
          <w:bCs/>
          <w:b/>
        </w:rPr>
        <w:t xml:space="preserve">‘</w:t>
      </w:r>
      <w:r>
        <w:rPr>
          <w:bCs/>
          <w:b/>
        </w:rPr>
        <w:t xml:space="preserve">向／後</w:t>
      </w:r>
      <w:r>
        <w:rPr>
          <w:bCs/>
          <w:b/>
        </w:rPr>
        <w:t xml:space="preserve">’</w:t>
      </w:r>
      <w:r>
        <w:rPr>
          <w:bCs/>
          <w:b/>
        </w:rPr>
        <w:t xml:space="preserve">:</w:t>
      </w:r>
      <w:r>
        <w:t xml:space="preserve"> </w:t>
      </w:r>
      <w:r>
        <w:t xml:space="preserve">Erroneous</w:t>
      </w:r>
      <w:r>
        <w:t xml:space="preserve"> </w:t>
      </w:r>
      <w:r>
        <w:rPr>
          <w:rStyle w:val="VerbatimChar"/>
          <w:bCs/>
          <w:b/>
        </w:rPr>
        <w:t xml:space="preserve">Headword</w:t>
      </w:r>
      <w:r>
        <w:t xml:space="preserve">; should be</w:t>
      </w:r>
      <w:r>
        <w:t xml:space="preserve"> </w:t>
      </w:r>
      <w:r>
        <w:t xml:space="preserve">‘</w:t>
      </w:r>
      <w:r>
        <w:t xml:space="preserve">向後</w:t>
      </w:r>
      <w:r>
        <w:t xml:space="preserve">’</w:t>
      </w:r>
      <w:r>
        <w:t xml:space="preserve">. Okada (pp. 193-194) notes the use of</w:t>
      </w:r>
      <w:r>
        <w:t xml:space="preserve"> </w:t>
      </w:r>
      <w:r>
        <w:t xml:space="preserve">‘</w:t>
      </w:r>
      <w:r>
        <w:t xml:space="preserve">ー</w:t>
      </w:r>
      <w:r>
        <w:t xml:space="preserve">’</w:t>
      </w:r>
      <w:r>
        <w:t xml:space="preserve"> </w:t>
      </w:r>
      <w:r>
        <w:t xml:space="preserve">is appropriate for the Kōzan-ji ms.</w:t>
      </w:r>
    </w:p>
    <w:p>
      <w:pPr>
        <w:numPr>
          <w:ilvl w:val="0"/>
          <w:numId w:val="1142"/>
        </w:numPr>
        <w:pStyle w:val="Compact"/>
      </w:pPr>
      <w:r>
        <w:rPr>
          <w:bCs/>
          <w:b/>
        </w:rPr>
        <w:t xml:space="preserve">For</w:t>
      </w:r>
      <w:r>
        <w:rPr>
          <w:bCs/>
          <w:b/>
        </w:rPr>
        <w:t xml:space="preserve"> </w:t>
      </w:r>
      <w:r>
        <w:rPr>
          <w:rStyle w:val="VerbatimChar"/>
          <w:bCs/>
          <w:b/>
        </w:rPr>
        <w:t xml:space="preserve">hanzi_entry</w:t>
      </w:r>
      <w:r>
        <w:rPr>
          <w:bCs/>
          <w:b/>
        </w:rPr>
        <w:t xml:space="preserve"> </w:t>
      </w:r>
      <w:r>
        <w:rPr>
          <w:bCs/>
          <w:b/>
        </w:rPr>
        <w:t xml:space="preserve">‘</w:t>
      </w:r>
      <w:r>
        <w:rPr>
          <w:bCs/>
          <w:b/>
        </w:rPr>
        <w:t xml:space="preserve">姡</w:t>
      </w:r>
      <w:r>
        <w:rPr>
          <w:bCs/>
          <w:b/>
        </w:rPr>
        <w:t xml:space="preserve">’</w:t>
      </w:r>
      <w:r>
        <w:rPr>
          <w:bCs/>
          <w:b/>
        </w:rPr>
        <w:t xml:space="preserve">:</w:t>
      </w:r>
      <w:r>
        <w:t xml:space="preserve"> </w:t>
      </w:r>
      <w:r>
        <w:t xml:space="preserve">Miscopied</w:t>
      </w:r>
      <w:r>
        <w:t xml:space="preserve"> </w:t>
      </w:r>
      <w:r>
        <w:rPr>
          <w:rStyle w:val="VerbatimChar"/>
          <w:bCs/>
          <w:b/>
        </w:rPr>
        <w:t xml:space="preserve">Headword</w:t>
      </w:r>
      <w:r>
        <w:t xml:space="preserve">. Corrected to</w:t>
      </w:r>
      <w:r>
        <w:t xml:space="preserve"> </w:t>
      </w:r>
      <w:r>
        <w:t xml:space="preserve">‘</w:t>
      </w:r>
      <w:r>
        <w:t xml:space="preserve">姡</w:t>
      </w:r>
      <w:r>
        <w:t xml:space="preserve">’</w:t>
      </w:r>
      <w:r>
        <w:t xml:space="preserve"> </w:t>
      </w:r>
      <w:r>
        <w:t xml:space="preserve">per Kōsan-ji, Renshō-in, &amp; Sainen-ji mss.</w:t>
      </w:r>
    </w:p>
    <w:bookmarkEnd w:id="193"/>
    <w:bookmarkStart w:id="194" w:name="X6af991dc45bd32b04db9c69ab3386d857252855"/>
    <w:p>
      <w:pPr>
        <w:pStyle w:val="Heading3"/>
      </w:pPr>
      <w:r>
        <w:rPr>
          <w:rStyle w:val="SectionNumber"/>
        </w:rPr>
        <w:t xml:space="preserve">18.1.2</w:t>
      </w:r>
      <w:r>
        <w:tab/>
      </w:r>
      <w:r>
        <w:rPr>
          <w:rStyle w:val="VerbatimChar"/>
        </w:rPr>
        <w:t xml:space="preserve">Omitted Characters</w:t>
      </w:r>
      <w:r>
        <w:t xml:space="preserve"> </w:t>
      </w:r>
      <w:r>
        <w:t xml:space="preserve">(脱字,</w:t>
      </w:r>
      <w:r>
        <w:t xml:space="preserve"> </w:t>
      </w:r>
      <w:r>
        <w:rPr>
          <w:iCs/>
          <w:i/>
        </w:rPr>
        <w:t xml:space="preserve">datsuji</w:t>
      </w:r>
      <w:r>
        <w:t xml:space="preserve">)</w:t>
      </w:r>
    </w:p>
    <w:p>
      <w:pPr>
        <w:pStyle w:val="FirstParagraph"/>
      </w:pPr>
      <w:r>
        <w:t xml:space="preserve">When a character is clearly omitted from a</w:t>
      </w:r>
      <w:r>
        <w:t xml:space="preserve"> </w:t>
      </w:r>
      <w:r>
        <w:rPr>
          <w:rStyle w:val="VerbatimChar"/>
          <w:bCs/>
          <w:b/>
        </w:rPr>
        <w:t xml:space="preserve">Headword</w:t>
      </w:r>
      <w:r>
        <w:t xml:space="preserve">, the presumed omitted character is indicated by enclosing it in full-width square brackets</w:t>
      </w:r>
      <w:r>
        <w:t xml:space="preserve"> </w:t>
      </w:r>
      <w:r>
        <w:t xml:space="preserve">“</w:t>
      </w:r>
      <w:r>
        <w:t xml:space="preserve">［］</w:t>
      </w:r>
      <w:r>
        <w:t xml:space="preserve">”</w:t>
      </w:r>
      <w:r>
        <w:t xml:space="preserve">. If further explanation is necessary, it is provided separately (e.g., in the</w:t>
      </w:r>
      <w:r>
        <w:t xml:space="preserve"> </w:t>
      </w:r>
      <w:r>
        <w:rPr>
          <w:rStyle w:val="VerbatimChar"/>
          <w:bCs/>
          <w:b/>
        </w:rPr>
        <w:t xml:space="preserve">Compiler's Remarks</w:t>
      </w:r>
      <w:r>
        <w:t xml:space="preserve">).</w:t>
      </w:r>
    </w:p>
    <w:p>
      <w:pPr>
        <w:pStyle w:val="BodyText"/>
      </w:pPr>
      <w:r>
        <w:rPr>
          <w:bCs/>
          <w:b/>
        </w:rPr>
        <w:t xml:space="preserve">Examples:</w:t>
      </w:r>
      <w:r>
        <w:t xml:space="preserve"> </w:t>
      </w:r>
      <w:r>
        <w:t xml:space="preserve">1. 将／［指］</w:t>
      </w:r>
      <w:r>
        <w:t xml:space="preserve"> </w:t>
      </w:r>
      <w:r>
        <w:t xml:space="preserve">2. 叔／［母］</w:t>
      </w:r>
    </w:p>
    <w:p>
      <w:pPr>
        <w:pStyle w:val="BodyText"/>
      </w:pPr>
      <w:r>
        <w:t xml:space="preserve">In Example 1, the</w:t>
      </w:r>
      <w:r>
        <w:t xml:space="preserve"> </w:t>
      </w:r>
      <w:r>
        <w:rPr>
          <w:rStyle w:val="VerbatimChar"/>
          <w:bCs/>
          <w:b/>
        </w:rPr>
        <w:t xml:space="preserve">Headword</w:t>
      </w:r>
      <w:r>
        <w:t xml:space="preserve"> </w:t>
      </w:r>
      <w:r>
        <w:t xml:space="preserve">is found in the</w:t>
      </w:r>
      <w:r>
        <w:t xml:space="preserve"> </w:t>
      </w:r>
      <w:r>
        <w:t xml:space="preserve">“</w:t>
      </w:r>
      <w:r>
        <w:t xml:space="preserve">手</w:t>
      </w:r>
      <w:r>
        <w:t xml:space="preserve">”</w:t>
      </w:r>
      <w:r>
        <w:t xml:space="preserve"> </w:t>
      </w:r>
      <w:r>
        <w:t xml:space="preserve">(hand) radical section, and it is evident from the context that the character</w:t>
      </w:r>
      <w:r>
        <w:t xml:space="preserve"> </w:t>
      </w:r>
      <w:r>
        <w:t xml:space="preserve">‘</w:t>
      </w:r>
      <w:r>
        <w:t xml:space="preserve">指</w:t>
      </w:r>
      <w:r>
        <w:t xml:space="preserve">’</w:t>
      </w:r>
      <w:r>
        <w:t xml:space="preserve"> </w:t>
      </w:r>
      <w:r>
        <w:t xml:space="preserve">is missing.</w:t>
      </w:r>
    </w:p>
    <w:p>
      <w:pPr>
        <w:pStyle w:val="BodyText"/>
      </w:pPr>
      <w:r>
        <w:t xml:space="preserve">In Example 2, the</w:t>
      </w:r>
      <w:r>
        <w:t xml:space="preserve"> </w:t>
      </w:r>
      <w:r>
        <w:rPr>
          <w:rStyle w:val="VerbatimChar"/>
          <w:bCs/>
          <w:b/>
        </w:rPr>
        <w:t xml:space="preserve">Headword</w:t>
      </w:r>
      <w:r>
        <w:t xml:space="preserve"> </w:t>
      </w:r>
      <w:r>
        <w:t xml:space="preserve">is found in the</w:t>
      </w:r>
      <w:r>
        <w:t xml:space="preserve"> </w:t>
      </w:r>
      <w:r>
        <w:t xml:space="preserve">“</w:t>
      </w:r>
      <w:r>
        <w:t xml:space="preserve">女</w:t>
      </w:r>
      <w:r>
        <w:t xml:space="preserve">”</w:t>
      </w:r>
      <w:r>
        <w:t xml:space="preserve"> </w:t>
      </w:r>
      <w:r>
        <w:t xml:space="preserve">(woman) radical section. Given the presence of the character</w:t>
      </w:r>
      <w:r>
        <w:t xml:space="preserve"> </w:t>
      </w:r>
      <w:r>
        <w:t xml:space="preserve">‘</w:t>
      </w:r>
      <w:r>
        <w:t xml:space="preserve">母</w:t>
      </w:r>
      <w:r>
        <w:t xml:space="preserve">’</w:t>
      </w:r>
      <w:r>
        <w:t xml:space="preserve"> </w:t>
      </w:r>
      <w:r>
        <w:t xml:space="preserve">in preceding and succeeding</w:t>
      </w:r>
      <w:r>
        <w:t xml:space="preserve"> </w:t>
      </w:r>
      <w:r>
        <w:rPr>
          <w:rStyle w:val="VerbatimChar"/>
          <w:bCs/>
          <w:b/>
        </w:rPr>
        <w:t xml:space="preserve">Entries</w:t>
      </w:r>
      <w:r>
        <w:t xml:space="preserve">, its omission here is clear.</w:t>
      </w:r>
    </w:p>
    <w:p>
      <w:pPr>
        <w:pStyle w:val="BodyText"/>
      </w:pPr>
      <w:r>
        <w:t xml:space="preserve">If it is clear that a character has been omitted, but the specific missing character is unknown, it is indicated by a full-width underscore within full-width square brackets, like</w:t>
      </w:r>
      <w:r>
        <w:t xml:space="preserve"> </w:t>
      </w:r>
      <w:r>
        <w:t xml:space="preserve">“</w:t>
      </w:r>
      <w:r>
        <w:t xml:space="preserve">［＿］</w:t>
      </w:r>
      <w:r>
        <w:t xml:space="preserve">”</w:t>
      </w:r>
      <w:r>
        <w:t xml:space="preserve">.</w:t>
      </w:r>
    </w:p>
    <w:p>
      <w:pPr>
        <w:pStyle w:val="BodyText"/>
      </w:pPr>
      <w:r>
        <w:t xml:space="preserve">The following example illustrates a case where either the first or second character of a</w:t>
      </w:r>
      <w:r>
        <w:t xml:space="preserve"> </w:t>
      </w:r>
      <w:r>
        <w:rPr>
          <w:iCs/>
          <w:i/>
        </w:rPr>
        <w:t xml:space="preserve">fanqie</w:t>
      </w:r>
      <w:r>
        <w:t xml:space="preserve"> </w:t>
      </w:r>
      <w:r>
        <w:t xml:space="preserve">spelling was clearly omitted, but the specific missing character is unknown.</w:t>
      </w:r>
    </w:p>
    <w:p>
      <w:pPr>
        <w:pStyle w:val="BodyText"/>
      </w:pPr>
      <w:r>
        <w:rPr>
          <w:bCs/>
          <w:b/>
        </w:rPr>
        <w:t xml:space="preserve">Example:</w:t>
      </w:r>
      <w:r>
        <w:t xml:space="preserve"> </w:t>
      </w:r>
      <w:r>
        <w:t xml:space="preserve">* 𤎥 ［＿］覽反</w:t>
      </w:r>
    </w:p>
    <w:p>
      <w:pPr>
        <w:pStyle w:val="BodyText"/>
      </w:pPr>
      <w:r>
        <w:t xml:space="preserve">In this example, the</w:t>
      </w:r>
      <w:r>
        <w:t xml:space="preserve"> </w:t>
      </w:r>
      <w:r>
        <w:rPr>
          <w:rStyle w:val="VerbatimChar"/>
          <w:bCs/>
          <w:b/>
        </w:rPr>
        <w:t xml:space="preserve">Original Glosses</w:t>
      </w:r>
      <w:r>
        <w:t xml:space="preserve"> </w:t>
      </w:r>
      <w:r>
        <w:t xml:space="preserve">for</w:t>
      </w:r>
      <w:r>
        <w:t xml:space="preserve"> </w:t>
      </w:r>
      <w:r>
        <w:t xml:space="preserve">‘</w:t>
      </w:r>
      <w:r>
        <w:t xml:space="preserve">𤎥</w:t>
      </w:r>
      <w:r>
        <w:t xml:space="preserve">’</w:t>
      </w:r>
      <w:r>
        <w:t xml:space="preserve"> </w:t>
      </w:r>
      <w:r>
        <w:t xml:space="preserve">show</w:t>
      </w:r>
      <w:r>
        <w:t xml:space="preserve"> </w:t>
      </w:r>
      <w:r>
        <w:t xml:space="preserve">“</w:t>
      </w:r>
      <w:r>
        <w:t xml:space="preserve">覽反</w:t>
      </w:r>
      <w:r>
        <w:t xml:space="preserve">”</w:t>
      </w:r>
      <w:r>
        <w:t xml:space="preserve">.</w:t>
      </w:r>
      <w:r>
        <w:t xml:space="preserve"> </w:t>
      </w:r>
      <w:r>
        <w:t xml:space="preserve">According to the</w:t>
      </w:r>
      <w:r>
        <w:t xml:space="preserve"> </w:t>
      </w:r>
      <w:r>
        <w:rPr>
          <w:iCs/>
          <w:i/>
        </w:rPr>
        <w:t xml:space="preserve">Guangyun</w:t>
      </w:r>
      <w:r>
        <w:t xml:space="preserve">,</w:t>
      </w:r>
      <w:r>
        <w:t xml:space="preserve"> </w:t>
      </w:r>
      <w:r>
        <w:t xml:space="preserve">‘</w:t>
      </w:r>
      <w:r>
        <w:t xml:space="preserve">𤎥</w:t>
      </w:r>
      <w:r>
        <w:t xml:space="preserve">’</w:t>
      </w:r>
      <w:r>
        <w:t xml:space="preserve"> </w:t>
      </w:r>
      <w:r>
        <w:t xml:space="preserve">has readings</w:t>
      </w:r>
      <w:r>
        <w:t xml:space="preserve"> </w:t>
      </w:r>
      <w:r>
        <w:rPr>
          <w:iCs/>
          <w:i/>
        </w:rPr>
        <w:t xml:space="preserve">chùzhān qiè</w:t>
      </w:r>
      <w:r>
        <w:t xml:space="preserve"> </w:t>
      </w:r>
      <w:r>
        <w:t xml:space="preserve">(處占切; level tone, 鹽韻, for the character 䪜) or</w:t>
      </w:r>
      <w:r>
        <w:t xml:space="preserve"> </w:t>
      </w:r>
      <w:r>
        <w:rPr>
          <w:iCs/>
          <w:i/>
        </w:rPr>
        <w:t xml:space="preserve">tǔgǎn qiè</w:t>
      </w:r>
      <w:r>
        <w:t xml:space="preserve"> </w:t>
      </w:r>
      <w:r>
        <w:t xml:space="preserve">(吐敢切; rising tone, 敢韻, for the character 𦵹). Since</w:t>
      </w:r>
      <w:r>
        <w:t xml:space="preserve"> </w:t>
      </w:r>
      <w:r>
        <w:t xml:space="preserve">‘</w:t>
      </w:r>
      <w:r>
        <w:t xml:space="preserve">覽</w:t>
      </w:r>
      <w:r>
        <w:t xml:space="preserve">’</w:t>
      </w:r>
      <w:r>
        <w:t xml:space="preserve"> </w:t>
      </w:r>
      <w:r>
        <w:t xml:space="preserve">has the</w:t>
      </w:r>
      <w:r>
        <w:t xml:space="preserve"> </w:t>
      </w:r>
      <w:r>
        <w:rPr>
          <w:iCs/>
          <w:i/>
        </w:rPr>
        <w:t xml:space="preserve">Guangyun</w:t>
      </w:r>
      <w:r>
        <w:t xml:space="preserve"> </w:t>
      </w:r>
      <w:r>
        <w:t xml:space="preserve">reading</w:t>
      </w:r>
      <w:r>
        <w:t xml:space="preserve"> </w:t>
      </w:r>
      <w:r>
        <w:rPr>
          <w:iCs/>
          <w:i/>
        </w:rPr>
        <w:t xml:space="preserve">gǎnlú qiè</w:t>
      </w:r>
      <w:r>
        <w:t xml:space="preserve"> </w:t>
      </w:r>
      <w:r>
        <w:t xml:space="preserve">(敢盧切; rising tone, 敢韻), it is clear that the first character of the</w:t>
      </w:r>
      <w:r>
        <w:t xml:space="preserve"> </w:t>
      </w:r>
      <w:r>
        <w:rPr>
          <w:iCs/>
          <w:i/>
        </w:rPr>
        <w:t xml:space="preserve">fanqie</w:t>
      </w:r>
      <w:r>
        <w:t xml:space="preserve"> </w:t>
      </w:r>
      <w:r>
        <w:t xml:space="preserve">spelling is missing.</w:t>
      </w:r>
      <w:r>
        <w:t xml:space="preserve"> </w:t>
      </w:r>
      <w:r>
        <w:t xml:space="preserve">Therefore, it is transcribed as</w:t>
      </w:r>
      <w:r>
        <w:t xml:space="preserve"> </w:t>
      </w:r>
      <w:r>
        <w:t xml:space="preserve">“</w:t>
      </w:r>
      <w:r>
        <w:t xml:space="preserve">［＿］覽反</w:t>
      </w:r>
      <w:r>
        <w:t xml:space="preserve">”</w:t>
      </w:r>
      <w:r>
        <w:t xml:space="preserve">.</w:t>
      </w:r>
    </w:p>
    <w:bookmarkEnd w:id="194"/>
    <w:bookmarkStart w:id="195" w:name="X2e0d5e649c66141902caef2004c88199078e11d"/>
    <w:p>
      <w:pPr>
        <w:pStyle w:val="Heading3"/>
      </w:pPr>
      <w:r>
        <w:rPr>
          <w:rStyle w:val="SectionNumber"/>
        </w:rPr>
        <w:t xml:space="preserve">18.1.3</w:t>
      </w:r>
      <w:r>
        <w:tab/>
      </w:r>
      <w:r>
        <w:rPr>
          <w:rStyle w:val="VerbatimChar"/>
        </w:rPr>
        <w:t xml:space="preserve">Superfluous Characters</w:t>
      </w:r>
      <w:r>
        <w:t xml:space="preserve"> </w:t>
      </w:r>
      <w:r>
        <w:t xml:space="preserve">(衍字,</w:t>
      </w:r>
      <w:r>
        <w:t xml:space="preserve"> </w:t>
      </w:r>
      <w:r>
        <w:rPr>
          <w:iCs/>
          <w:i/>
        </w:rPr>
        <w:t xml:space="preserve">enji</w:t>
      </w:r>
      <w:r>
        <w:t xml:space="preserve">)</w:t>
      </w:r>
    </w:p>
    <w:p>
      <w:pPr>
        <w:pStyle w:val="FirstParagraph"/>
      </w:pPr>
      <w:r>
        <w:t xml:space="preserve">Cases of</w:t>
      </w:r>
      <w:r>
        <w:t xml:space="preserve"> </w:t>
      </w:r>
      <w:r>
        <w:rPr>
          <w:rStyle w:val="VerbatimChar"/>
          <w:bCs/>
          <w:b/>
        </w:rPr>
        <w:t xml:space="preserve">Superfluous Characters</w:t>
      </w:r>
      <w:r>
        <w:t xml:space="preserve"> </w:t>
      </w:r>
      <w:r>
        <w:t xml:space="preserve">(衍字,</w:t>
      </w:r>
      <w:r>
        <w:t xml:space="preserve"> </w:t>
      </w:r>
      <w:r>
        <w:rPr>
          <w:iCs/>
          <w:i/>
        </w:rPr>
        <w:t xml:space="preserve">enji</w:t>
      </w:r>
      <w:r>
        <w:t xml:space="preserve">) are noted in the</w:t>
      </w:r>
      <w:r>
        <w:t xml:space="preserve"> </w:t>
      </w:r>
      <w:r>
        <w:rPr>
          <w:rStyle w:val="VerbatimChar"/>
        </w:rPr>
        <w:t xml:space="preserve">remarks</w:t>
      </w:r>
      <w:r>
        <w:t xml:space="preserve"> </w:t>
      </w:r>
      <w:r>
        <w:t xml:space="preserve">column of the</w:t>
      </w:r>
      <w:r>
        <w:t xml:space="preserve"> </w:t>
      </w:r>
      <w:r>
        <w:rPr>
          <w:rStyle w:val="VerbatimChar"/>
        </w:rPr>
        <w:t xml:space="preserve">krm_notes.tsv</w:t>
      </w:r>
      <w:r>
        <w:t xml:space="preserve"> </w:t>
      </w:r>
      <w:r>
        <w:t xml:space="preserve">file.</w:t>
      </w:r>
    </w:p>
    <w:p>
      <w:pPr>
        <w:pStyle w:val="BodyText"/>
      </w:pPr>
      <w:r>
        <w:t xml:space="preserve">Examples are shown below in the order of</w:t>
      </w:r>
      <w:r>
        <w:t xml:space="preserve"> </w:t>
      </w:r>
      <w:r>
        <w:rPr>
          <w:rStyle w:val="VerbatimChar"/>
          <w:bCs/>
          <w:b/>
        </w:rPr>
        <w:t xml:space="preserve">Headword</w:t>
      </w:r>
      <w:r>
        <w:t xml:space="preserve"> </w:t>
      </w:r>
      <w:r>
        <w:t xml:space="preserve">(</w:t>
      </w:r>
      <w:r>
        <w:rPr>
          <w:rStyle w:val="VerbatimChar"/>
        </w:rPr>
        <w:t xml:space="preserve">hanzi_entry</w:t>
      </w:r>
      <w:r>
        <w:t xml:space="preserve">), relevant part of the</w:t>
      </w:r>
      <w:r>
        <w:t xml:space="preserve"> </w:t>
      </w:r>
      <w:r>
        <w:rPr>
          <w:rStyle w:val="VerbatimChar"/>
          <w:bCs/>
          <w:b/>
        </w:rPr>
        <w:t xml:space="preserve">Original Glosses</w:t>
      </w:r>
      <w:r>
        <w:t xml:space="preserve"> </w:t>
      </w:r>
      <w:r>
        <w:t xml:space="preserve">(</w:t>
      </w:r>
      <w:r>
        <w:rPr>
          <w:rStyle w:val="VerbatimChar"/>
        </w:rPr>
        <w:t xml:space="preserve">definition_elements</w:t>
      </w:r>
      <w:r>
        <w:t xml:space="preserve"> </w:t>
      </w:r>
      <w:r>
        <w:t xml:space="preserve">from</w:t>
      </w:r>
      <w:r>
        <w:t xml:space="preserve"> </w:t>
      </w:r>
      <w:r>
        <w:rPr>
          <w:rStyle w:val="VerbatimChar"/>
        </w:rPr>
        <w:t xml:space="preserve">krm_notes</w:t>
      </w:r>
      <w:r>
        <w:t xml:space="preserve"> </w:t>
      </w:r>
      <w:r>
        <w:t xml:space="preserve">or context from</w:t>
      </w:r>
      <w:r>
        <w:t xml:space="preserve"> </w:t>
      </w:r>
      <w:r>
        <w:rPr>
          <w:rStyle w:val="VerbatimChar"/>
        </w:rPr>
        <w:t xml:space="preserve">krm_main</w:t>
      </w:r>
      <w:r>
        <w:t xml:space="preserve">’s</w:t>
      </w:r>
      <w:r>
        <w:t xml:space="preserve"> </w:t>
      </w:r>
      <w:r>
        <w:rPr>
          <w:rStyle w:val="VerbatimChar"/>
        </w:rPr>
        <w:t xml:space="preserve">definition</w:t>
      </w:r>
      <w:r>
        <w:t xml:space="preserve">), and</w:t>
      </w:r>
      <w:r>
        <w:t xml:space="preserve"> </w:t>
      </w:r>
      <w:r>
        <w:rPr>
          <w:rStyle w:val="VerbatimChar"/>
          <w:bCs/>
          <w:b/>
        </w:rPr>
        <w:t xml:space="preserve">Compiler's Remarks</w:t>
      </w:r>
      <w:r>
        <w:t xml:space="preserve"> </w:t>
      </w:r>
      <w:r>
        <w:t xml:space="preserve">(</w:t>
      </w:r>
      <w:r>
        <w:rPr>
          <w:rStyle w:val="VerbatimChar"/>
        </w:rPr>
        <w:t xml:space="preserve">remarks</w:t>
      </w:r>
      <w:r>
        <w:t xml:space="preserve">).</w:t>
      </w:r>
    </w:p>
    <w:p>
      <w:pPr>
        <w:pStyle w:val="BodyText"/>
      </w:pPr>
      <w:r>
        <w:rPr>
          <w:bCs/>
          <w:b/>
        </w:rPr>
        <w:t xml:space="preserve">Examples:</w:t>
      </w:r>
      <w:r>
        <w:t xml:space="preserve"> </w:t>
      </w:r>
      <w:r>
        <w:t xml:space="preserve">*</w:t>
      </w:r>
      <w:r>
        <w:t xml:space="preserve"> </w:t>
      </w:r>
      <w:r>
        <w:rPr>
          <w:rStyle w:val="VerbatimChar"/>
          <w:bCs/>
          <w:b/>
        </w:rPr>
        <w:t xml:space="preserve">Headword</w:t>
      </w:r>
      <w:r>
        <w:t xml:space="preserve"> </w:t>
      </w:r>
      <w:r>
        <w:t xml:space="preserve">(</w:t>
      </w:r>
      <w:r>
        <w:rPr>
          <w:rStyle w:val="VerbatimChar"/>
        </w:rPr>
        <w:t xml:space="preserve">hanzi_entry</w:t>
      </w:r>
      <w:r>
        <w:t xml:space="preserve">): 胳</w:t>
      </w:r>
      <w:r>
        <w:t xml:space="preserve"> </w:t>
      </w:r>
      <w:r>
        <w:rPr>
          <w:rStyle w:val="VerbatimChar"/>
          <w:bCs/>
          <w:b/>
        </w:rPr>
        <w:t xml:space="preserve">Original Glosses</w:t>
      </w:r>
      <w:r>
        <w:t xml:space="preserve"> </w:t>
      </w:r>
      <w:r>
        <w:t xml:space="preserve">(excerpt from</w:t>
      </w:r>
      <w:r>
        <w:t xml:space="preserve"> </w:t>
      </w:r>
      <w:r>
        <w:rPr>
          <w:rStyle w:val="VerbatimChar"/>
        </w:rPr>
        <w:t xml:space="preserve">definition</w:t>
      </w:r>
      <w:r>
        <w:t xml:space="preserve"> </w:t>
      </w:r>
      <w:r>
        <w:t xml:space="preserve">/</w:t>
      </w:r>
      <w:r>
        <w:t xml:space="preserve"> </w:t>
      </w:r>
      <w:r>
        <w:rPr>
          <w:rStyle w:val="VerbatimChar"/>
        </w:rPr>
        <w:t xml:space="preserve">definition_elements</w:t>
      </w:r>
      <w:r>
        <w:t xml:space="preserve">): 又俗音腋也</w:t>
      </w:r>
      <w:r>
        <w:t xml:space="preserve"> </w:t>
      </w:r>
      <w:r>
        <w:rPr>
          <w:rStyle w:val="VerbatimChar"/>
          <w:bCs/>
          <w:b/>
        </w:rPr>
        <w:t xml:space="preserve">Compiler's Remarks</w:t>
      </w:r>
      <w:r>
        <w:t xml:space="preserve"> </w:t>
      </w:r>
      <w:r>
        <w:t xml:space="preserve">(</w:t>
      </w:r>
      <w:r>
        <w:rPr>
          <w:rStyle w:val="VerbatimChar"/>
        </w:rPr>
        <w:t xml:space="preserve">remarks</w:t>
      </w:r>
      <w:r>
        <w:t xml:space="preserve">): The character</w:t>
      </w:r>
      <w:r>
        <w:t xml:space="preserve"> </w:t>
      </w:r>
      <w:r>
        <w:t xml:space="preserve">‘</w:t>
      </w:r>
      <w:r>
        <w:t xml:space="preserve">也</w:t>
      </w:r>
      <w:r>
        <w:t xml:space="preserve">’</w:t>
      </w:r>
      <w:r>
        <w:t xml:space="preserve"> </w:t>
      </w:r>
      <w:r>
        <w:t xml:space="preserve">in</w:t>
      </w:r>
      <w:r>
        <w:t xml:space="preserve"> </w:t>
      </w:r>
      <w:r>
        <w:t xml:space="preserve">“</w:t>
      </w:r>
      <w:r>
        <w:t xml:space="preserve">又俗音腋也</w:t>
      </w:r>
      <w:r>
        <w:t xml:space="preserve">”</w:t>
      </w:r>
      <w:r>
        <w:t xml:space="preserve"> </w:t>
      </w:r>
      <w:r>
        <w:t xml:space="preserve">is superfluous.</w:t>
      </w:r>
      <w:r>
        <w:t xml:space="preserve"> </w:t>
      </w:r>
      <w:r>
        <w:t xml:space="preserve">*</w:t>
      </w:r>
      <w:r>
        <w:t xml:space="preserve"> </w:t>
      </w:r>
      <w:r>
        <w:rPr>
          <w:rStyle w:val="VerbatimChar"/>
          <w:bCs/>
          <w:b/>
        </w:rPr>
        <w:t xml:space="preserve">Headword</w:t>
      </w:r>
      <w:r>
        <w:t xml:space="preserve"> </w:t>
      </w:r>
      <w:r>
        <w:t xml:space="preserve">(</w:t>
      </w:r>
      <w:r>
        <w:rPr>
          <w:rStyle w:val="VerbatimChar"/>
        </w:rPr>
        <w:t xml:space="preserve">hanzi_entry</w:t>
      </w:r>
      <w:r>
        <w:t xml:space="preserve">): 眺</w:t>
      </w:r>
      <w:r>
        <w:t xml:space="preserve"> </w:t>
      </w:r>
      <w:r>
        <w:rPr>
          <w:rStyle w:val="VerbatimChar"/>
          <w:bCs/>
          <w:b/>
        </w:rPr>
        <w:t xml:space="preserve">Original Glosses</w:t>
      </w:r>
      <w:r>
        <w:t xml:space="preserve"> </w:t>
      </w:r>
      <w:r>
        <w:t xml:space="preserve">(excerpt from</w:t>
      </w:r>
      <w:r>
        <w:t xml:space="preserve"> </w:t>
      </w:r>
      <w:r>
        <w:rPr>
          <w:rStyle w:val="VerbatimChar"/>
        </w:rPr>
        <w:t xml:space="preserve">definition</w:t>
      </w:r>
      <w:r>
        <w:t xml:space="preserve"> </w:t>
      </w:r>
      <w:r>
        <w:t xml:space="preserve">/</w:t>
      </w:r>
      <w:r>
        <w:t xml:space="preserve"> </w:t>
      </w:r>
      <w:r>
        <w:rPr>
          <w:rStyle w:val="VerbatimChar"/>
        </w:rPr>
        <w:t xml:space="preserve">definition_elements</w:t>
      </w:r>
      <w:r>
        <w:t xml:space="preserve">):</w:t>
      </w:r>
      <w:r>
        <w:t xml:space="preserve"> </w:t>
      </w:r>
      <w:r>
        <w:rPr>
          <w:iCs/>
          <w:i/>
        </w:rPr>
        <w:t xml:space="preserve">ヒカヽメ</w:t>
      </w:r>
      <w:r>
        <w:rPr>
          <w:iCs/>
          <w:i/>
        </w:rPr>
        <w:t xml:space="preserve"> </w:t>
      </w:r>
      <w:r>
        <w:rPr>
          <w:rStyle w:val="VerbatimChar"/>
          <w:bCs/>
          <w:b/>
          <w:iCs/>
          <w:i/>
        </w:rPr>
        <w:t xml:space="preserve">Compiler's Remarks</w:t>
      </w:r>
      <w:r>
        <w:rPr>
          <w:iCs/>
          <w:i/>
        </w:rPr>
        <w:t xml:space="preserve"> </w:t>
      </w:r>
      <w:r>
        <w:rPr>
          <w:iCs/>
          <w:i/>
        </w:rPr>
        <w:t xml:space="preserve">(</w:t>
      </w:r>
      <w:r>
        <w:rPr>
          <w:rStyle w:val="VerbatimChar"/>
          <w:iCs/>
          <w:i/>
        </w:rPr>
        <w:t xml:space="preserve">remarks</w:t>
      </w:r>
      <w:r>
        <w:rPr>
          <w:iCs/>
          <w:i/>
        </w:rPr>
        <w:t xml:space="preserve">): The</w:t>
      </w:r>
      <w:r>
        <w:rPr>
          <w:iCs/>
          <w:i/>
        </w:rPr>
        <w:t xml:space="preserve"> </w:t>
      </w:r>
      <w:r>
        <w:t xml:space="preserve">Shinsen Jikyō* has</w:t>
      </w:r>
      <w:r>
        <w:t xml:space="preserve"> </w:t>
      </w:r>
      <w:r>
        <w:t xml:space="preserve">“</w:t>
      </w:r>
      <w:r>
        <w:t xml:space="preserve">又比加目</w:t>
      </w:r>
      <w:r>
        <w:t xml:space="preserve">”</w:t>
      </w:r>
      <w:r>
        <w:t xml:space="preserve">. The</w:t>
      </w:r>
      <w:r>
        <w:t xml:space="preserve"> </w:t>
      </w:r>
      <w:r>
        <w:t xml:space="preserve">‘</w:t>
      </w:r>
      <w:r>
        <w:t xml:space="preserve">ヽ</w:t>
      </w:r>
      <w:r>
        <w:t xml:space="preserve">’</w:t>
      </w:r>
      <w:r>
        <w:t xml:space="preserve"> </w:t>
      </w:r>
      <w:r>
        <w:t xml:space="preserve">mark here is possibly a superfluous character, but this remains questionable (存疑,</w:t>
      </w:r>
      <w:r>
        <w:t xml:space="preserve"> </w:t>
      </w:r>
      <w:r>
        <w:rPr>
          <w:iCs/>
          <w:i/>
        </w:rPr>
        <w:t xml:space="preserve">zongi</w:t>
      </w:r>
      <w:r>
        <w:t xml:space="preserve">).</w:t>
      </w:r>
    </w:p>
    <w:bookmarkEnd w:id="195"/>
    <w:bookmarkStart w:id="196" w:name="X7255b1ff77b3d11f7c8ac825fed630366580214"/>
    <w:p>
      <w:pPr>
        <w:pStyle w:val="Heading3"/>
      </w:pPr>
      <w:r>
        <w:rPr>
          <w:rStyle w:val="SectionNumber"/>
        </w:rPr>
        <w:t xml:space="preserve">18.1.4</w:t>
      </w:r>
      <w:r>
        <w:tab/>
      </w:r>
      <w:r>
        <w:rPr>
          <w:rStyle w:val="VerbatimChar"/>
        </w:rPr>
        <w:t xml:space="preserve">Correction Marks</w:t>
      </w:r>
      <w:r>
        <w:t xml:space="preserve"> </w:t>
      </w:r>
      <w:r>
        <w:t xml:space="preserve">(訂正符号,</w:t>
      </w:r>
      <w:r>
        <w:t xml:space="preserve"> </w:t>
      </w:r>
      <w:r>
        <w:rPr>
          <w:iCs/>
          <w:i/>
        </w:rPr>
        <w:t xml:space="preserve">teisei fugō</w:t>
      </w:r>
      <w:r>
        <w:t xml:space="preserve">)</w:t>
      </w:r>
    </w:p>
    <w:p>
      <w:pPr>
        <w:pStyle w:val="FirstParagraph"/>
      </w:pPr>
      <w:r>
        <w:t xml:space="preserve">The marks used for corrections in the main text include</w:t>
      </w:r>
      <w:r>
        <w:t xml:space="preserve"> </w:t>
      </w:r>
      <w:r>
        <w:rPr>
          <w:rStyle w:val="VerbatimChar"/>
          <w:bCs/>
          <w:b/>
        </w:rPr>
        <w:t xml:space="preserve">Transposition Marks</w:t>
      </w:r>
      <w:r>
        <w:t xml:space="preserve"> </w:t>
      </w:r>
      <w:r>
        <w:t xml:space="preserve">(転倒符,</w:t>
      </w:r>
      <w:r>
        <w:t xml:space="preserve"> </w:t>
      </w:r>
      <w:r>
        <w:rPr>
          <w:iCs/>
          <w:i/>
        </w:rPr>
        <w:t xml:space="preserve">tentōfu</w:t>
      </w:r>
      <w:r>
        <w:t xml:space="preserve">),</w:t>
      </w:r>
      <w:r>
        <w:t xml:space="preserve"> </w:t>
      </w:r>
      <w:r>
        <w:rPr>
          <w:rStyle w:val="VerbatimChar"/>
          <w:bCs/>
          <w:b/>
        </w:rPr>
        <w:t xml:space="preserve">Deletion Marks</w:t>
      </w:r>
      <w:r>
        <w:t xml:space="preserve"> </w:t>
      </w:r>
      <w:r>
        <w:t xml:space="preserve">(見消符,</w:t>
      </w:r>
      <w:r>
        <w:t xml:space="preserve"> </w:t>
      </w:r>
      <w:r>
        <w:rPr>
          <w:iCs/>
          <w:i/>
        </w:rPr>
        <w:t xml:space="preserve">misekechifu</w:t>
      </w:r>
      <w:r>
        <w:t xml:space="preserve">), and</w:t>
      </w:r>
      <w:r>
        <w:t xml:space="preserve"> </w:t>
      </w:r>
      <w:r>
        <w:rPr>
          <w:rStyle w:val="VerbatimChar"/>
          <w:bCs/>
          <w:b/>
        </w:rPr>
        <w:t xml:space="preserve">Interpolation Marks</w:t>
      </w:r>
      <w:r>
        <w:t xml:space="preserve"> </w:t>
      </w:r>
      <w:r>
        <w:t xml:space="preserve">(補入符,</w:t>
      </w:r>
      <w:r>
        <w:t xml:space="preserve"> </w:t>
      </w:r>
      <w:r>
        <w:rPr>
          <w:iCs/>
          <w:i/>
        </w:rPr>
        <w:t xml:space="preserve">honyūfu</w:t>
      </w:r>
      <w:r>
        <w:t xml:space="preserve">).</w:t>
      </w:r>
    </w:p>
    <w:p>
      <w:pPr>
        <w:numPr>
          <w:ilvl w:val="0"/>
          <w:numId w:val="1143"/>
        </w:numPr>
        <w:pStyle w:val="Compact"/>
      </w:pPr>
      <w:r>
        <w:rPr>
          <w:rStyle w:val="VerbatimChar"/>
          <w:bCs/>
          <w:b/>
        </w:rPr>
        <w:t xml:space="preserve">Transposition Marks</w:t>
      </w:r>
      <w:r>
        <w:t xml:space="preserve"> </w:t>
      </w:r>
      <w:r>
        <w:t xml:space="preserve">(転倒符,</w:t>
      </w:r>
      <w:r>
        <w:t xml:space="preserve"> </w:t>
      </w:r>
      <w:r>
        <w:rPr>
          <w:iCs/>
          <w:i/>
        </w:rPr>
        <w:t xml:space="preserve">tentōfu</w:t>
      </w:r>
      <w:r>
        <w:t xml:space="preserve">; also called 顛倒符,</w:t>
      </w:r>
      <w:r>
        <w:t xml:space="preserve"> </w:t>
      </w:r>
      <w:r>
        <w:rPr>
          <w:iCs/>
          <w:i/>
        </w:rPr>
        <w:t xml:space="preserve">tentōfu</w:t>
      </w:r>
      <w:r>
        <w:t xml:space="preserve">) are used to correct the order of characters within a</w:t>
      </w:r>
      <w:r>
        <w:t xml:space="preserve"> </w:t>
      </w:r>
      <w:r>
        <w:rPr>
          <w:rStyle w:val="VerbatimChar"/>
          <w:bCs/>
          <w:b/>
        </w:rPr>
        <w:t xml:space="preserve">Multi-Character Form Headword</w:t>
      </w:r>
      <w:r>
        <w:t xml:space="preserve">.</w:t>
      </w:r>
    </w:p>
    <w:p>
      <w:pPr>
        <w:numPr>
          <w:ilvl w:val="0"/>
          <w:numId w:val="1143"/>
        </w:numPr>
        <w:pStyle w:val="Compact"/>
      </w:pPr>
      <w:r>
        <w:rPr>
          <w:rStyle w:val="VerbatimChar"/>
          <w:bCs/>
          <w:b/>
        </w:rPr>
        <w:t xml:space="preserve">Deletion Marks</w:t>
      </w:r>
      <w:r>
        <w:t xml:space="preserve"> </w:t>
      </w:r>
      <w:r>
        <w:t xml:space="preserve">(見消符,</w:t>
      </w:r>
      <w:r>
        <w:t xml:space="preserve"> </w:t>
      </w:r>
      <w:r>
        <w:rPr>
          <w:iCs/>
          <w:i/>
        </w:rPr>
        <w:t xml:space="preserve">misekechifu</w:t>
      </w:r>
      <w:r>
        <w:t xml:space="preserve">; also called 抹消符,</w:t>
      </w:r>
      <w:r>
        <w:t xml:space="preserve"> </w:t>
      </w:r>
      <w:r>
        <w:rPr>
          <w:iCs/>
          <w:i/>
        </w:rPr>
        <w:t xml:space="preserve">masshōfu</w:t>
      </w:r>
      <w:r>
        <w:t xml:space="preserve">) often indicate that the correct</w:t>
      </w:r>
      <w:r>
        <w:t xml:space="preserve"> </w:t>
      </w:r>
      <w:r>
        <w:rPr>
          <w:rStyle w:val="VerbatimChar"/>
          <w:bCs/>
          <w:b/>
        </w:rPr>
        <w:t xml:space="preserve">Headword</w:t>
      </w:r>
      <w:r>
        <w:t xml:space="preserve"> </w:t>
      </w:r>
      <w:r>
        <w:t xml:space="preserve">is provided as a side note (e.g., 傍記 or 傍書).</w:t>
      </w:r>
    </w:p>
    <w:p>
      <w:pPr>
        <w:numPr>
          <w:ilvl w:val="0"/>
          <w:numId w:val="1143"/>
        </w:numPr>
        <w:pStyle w:val="Compact"/>
      </w:pPr>
      <w:r>
        <w:rPr>
          <w:rStyle w:val="VerbatimChar"/>
          <w:bCs/>
          <w:b/>
        </w:rPr>
        <w:t xml:space="preserve">Interpolation Marks</w:t>
      </w:r>
      <w:r>
        <w:t xml:space="preserve"> </w:t>
      </w:r>
      <w:r>
        <w:t xml:space="preserve">(補入符,</w:t>
      </w:r>
      <w:r>
        <w:t xml:space="preserve"> </w:t>
      </w:r>
      <w:r>
        <w:rPr>
          <w:iCs/>
          <w:i/>
        </w:rPr>
        <w:t xml:space="preserve">honyūfu</w:t>
      </w:r>
      <w:r>
        <w:t xml:space="preserve">) are used to correct the order of</w:t>
      </w:r>
      <w:r>
        <w:t xml:space="preserve"> </w:t>
      </w:r>
      <w:r>
        <w:rPr>
          <w:rStyle w:val="VerbatimChar"/>
          <w:bCs/>
          <w:b/>
        </w:rPr>
        <w:t xml:space="preserve">Entries</w:t>
      </w:r>
      <w:r>
        <w:t xml:space="preserve">.</w:t>
      </w:r>
    </w:p>
    <w:p>
      <w:pPr>
        <w:pStyle w:val="FirstParagraph"/>
      </w:pPr>
      <w:r>
        <w:t xml:space="preserve">When inputting the main text data, the text is entered in its corrected form as indicated by these correction marks, and the details of such corrections are recorded in the</w:t>
      </w:r>
      <w:r>
        <w:t xml:space="preserve"> </w:t>
      </w:r>
      <w:r>
        <w:rPr>
          <w:rStyle w:val="VerbatimChar"/>
        </w:rPr>
        <w:t xml:space="preserve">remarks</w:t>
      </w:r>
      <w:r>
        <w:t xml:space="preserve"> </w:t>
      </w:r>
      <w:r>
        <w:t xml:space="preserve">column (which forms part of the</w:t>
      </w:r>
      <w:r>
        <w:t xml:space="preserve"> </w:t>
      </w:r>
      <w:r>
        <w:rPr>
          <w:rStyle w:val="VerbatimChar"/>
          <w:bCs/>
          <w:b/>
        </w:rPr>
        <w:t xml:space="preserve">Compiler's Remarks</w:t>
      </w:r>
      <w:r>
        <w:t xml:space="preserve">).</w:t>
      </w:r>
    </w:p>
    <w:p>
      <w:pPr>
        <w:pStyle w:val="BodyText"/>
      </w:pPr>
      <w:r>
        <w:t xml:space="preserve">In the input examples that follow, detailed explanations are provided for each instance of correction or annotation. This explanatory content constitutes the</w:t>
      </w:r>
      <w:r>
        <w:t xml:space="preserve"> </w:t>
      </w:r>
      <w:r>
        <w:rPr>
          <w:rStyle w:val="VerbatimChar"/>
          <w:bCs/>
          <w:b/>
        </w:rPr>
        <w:t xml:space="preserve">Compiler's Remarks</w:t>
      </w:r>
      <w:r>
        <w:t xml:space="preserve"> </w:t>
      </w:r>
      <w:r>
        <w:t xml:space="preserve">and is recorded in the</w:t>
      </w:r>
      <w:r>
        <w:t xml:space="preserve"> </w:t>
      </w:r>
      <w:r>
        <w:rPr>
          <w:rStyle w:val="VerbatimChar"/>
        </w:rPr>
        <w:t xml:space="preserve">remarks</w:t>
      </w:r>
      <w:r>
        <w:t xml:space="preserve"> </w:t>
      </w:r>
      <w:r>
        <w:t xml:space="preserve">column of the</w:t>
      </w:r>
      <w:r>
        <w:t xml:space="preserve"> </w:t>
      </w:r>
      <w:r>
        <w:rPr>
          <w:rStyle w:val="VerbatimChar"/>
        </w:rPr>
        <w:t xml:space="preserve">krm_notes</w:t>
      </w:r>
      <w:r>
        <w:t xml:space="preserve"> </w:t>
      </w:r>
      <w:r>
        <w:t xml:space="preserve">file.</w:t>
      </w:r>
    </w:p>
    <w:p>
      <w:pPr>
        <w:pStyle w:val="BodyText"/>
      </w:pPr>
      <w:r>
        <w:rPr>
          <w:bCs/>
          <w:b/>
        </w:rPr>
        <w:t xml:space="preserve">Example 1:</w:t>
      </w:r>
      <w:r>
        <w:t xml:space="preserve"> </w:t>
      </w:r>
      <w:r>
        <w:t xml:space="preserve">*</w:t>
      </w:r>
      <w:r>
        <w:t xml:space="preserve"> </w:t>
      </w:r>
      <w:r>
        <w:rPr>
          <w:rStyle w:val="VerbatimChar"/>
          <w:bCs/>
          <w:b/>
        </w:rPr>
        <w:t xml:space="preserve">hanzi_entry</w:t>
      </w:r>
      <w:r>
        <w:t xml:space="preserve">: 儻／儻</w:t>
      </w:r>
      <w:r>
        <w:t xml:space="preserve"> </w:t>
      </w:r>
      <w:r>
        <w:t xml:space="preserve">*</w:t>
      </w:r>
      <w:r>
        <w:t xml:space="preserve"> </w:t>
      </w:r>
      <w:r>
        <w:rPr>
          <w:rStyle w:val="VerbatimChar"/>
          <w:bCs/>
          <w:b/>
        </w:rPr>
        <w:t xml:space="preserve">definition_elements</w:t>
      </w:r>
      <w:r>
        <w:t xml:space="preserve">: コヒネカハクハ</w:t>
      </w:r>
      <w:r>
        <w:t xml:space="preserve"> </w:t>
      </w:r>
      <w:r>
        <w:t xml:space="preserve">*</w:t>
      </w:r>
      <w:r>
        <w:t xml:space="preserve"> </w:t>
      </w:r>
      <w:r>
        <w:rPr>
          <w:rStyle w:val="VerbatimChar"/>
          <w:bCs/>
          <w:b/>
        </w:rPr>
        <w:t xml:space="preserve">remarks</w:t>
      </w:r>
      <w:r>
        <w:t xml:space="preserve">: Nishihata,</w:t>
      </w:r>
      <w:r>
        <w:t xml:space="preserve"> </w:t>
      </w:r>
      <w:r>
        <w:rPr>
          <w:iCs/>
          <w:i/>
        </w:rPr>
        <w:t xml:space="preserve">Gosha Shorei</w:t>
      </w:r>
      <w:r>
        <w:t xml:space="preserve"> </w:t>
      </w:r>
      <w:r>
        <w:t xml:space="preserve">(Examples of Scribal Errors), p. 54, item ③</w:t>
      </w:r>
      <w:r>
        <w:t xml:space="preserve"> </w:t>
      </w:r>
      <w:r>
        <w:t xml:space="preserve">“</w:t>
      </w:r>
      <w:r>
        <w:t xml:space="preserve">moji no irekawari</w:t>
      </w:r>
      <w:r>
        <w:t xml:space="preserve">”</w:t>
      </w:r>
      <w:r>
        <w:t xml:space="preserve"> </w:t>
      </w:r>
      <w:r>
        <w:t xml:space="preserve">(character transposition) no. 818. Kusakawa Noboru (</w:t>
      </w:r>
      <w:r>
        <w:t xml:space="preserve">“</w:t>
      </w:r>
      <w:r>
        <w:t xml:space="preserve">Ruiju Myōgishō Wakun Shōkō,</w:t>
      </w:r>
      <w:r>
        <w:t xml:space="preserve">”</w:t>
      </w:r>
      <w:r>
        <w:t xml:space="preserve"> </w:t>
      </w:r>
      <w:r>
        <w:t xml:space="preserve">p. 29) notes that the Kōzan-ji manuscript has a</w:t>
      </w:r>
      <w:r>
        <w:t xml:space="preserve"> </w:t>
      </w:r>
      <w:r>
        <w:rPr>
          <w:rStyle w:val="VerbatimChar"/>
          <w:bCs/>
          <w:b/>
        </w:rPr>
        <w:t xml:space="preserve">Transposition Mark</w:t>
      </w:r>
      <w:r>
        <w:t xml:space="preserve"> </w:t>
      </w:r>
      <w:r>
        <w:t xml:space="preserve">on the upper right of</w:t>
      </w:r>
      <w:r>
        <w:t xml:space="preserve"> </w:t>
      </w:r>
      <w:r>
        <w:t xml:space="preserve">‘</w:t>
      </w:r>
      <w:r>
        <w:t xml:space="preserve">ヒ</w:t>
      </w:r>
      <w:r>
        <w:t xml:space="preserve">’</w:t>
      </w:r>
      <w:r>
        <w:t xml:space="preserve"> </w:t>
      </w:r>
      <w:r>
        <w:t xml:space="preserve">in</w:t>
      </w:r>
      <w:r>
        <w:t xml:space="preserve"> </w:t>
      </w:r>
      <w:r>
        <w:t xml:space="preserve">“</w:t>
      </w:r>
      <w:r>
        <w:t xml:space="preserve">コネヒカハクハ,</w:t>
      </w:r>
      <w:r>
        <w:t xml:space="preserve">”</w:t>
      </w:r>
      <w:r>
        <w:t xml:space="preserve"> </w:t>
      </w:r>
      <w:r>
        <w:t xml:space="preserve">indicating the character transposition error (as pointed out by Nishihata for the Kanchi-in manuscript) had already been resolved.</w:t>
      </w:r>
    </w:p>
    <w:p>
      <w:pPr>
        <w:pStyle w:val="BodyText"/>
      </w:pPr>
      <w:r>
        <w:rPr>
          <w:bCs/>
          <w:b/>
        </w:rPr>
        <w:t xml:space="preserve">Example 2:</w:t>
      </w:r>
      <w:r>
        <w:t xml:space="preserve"> </w:t>
      </w:r>
      <w:r>
        <w:t xml:space="preserve">*</w:t>
      </w:r>
      <w:r>
        <w:t xml:space="preserve"> </w:t>
      </w:r>
      <w:r>
        <w:rPr>
          <w:rStyle w:val="VerbatimChar"/>
          <w:bCs/>
          <w:b/>
        </w:rPr>
        <w:t xml:space="preserve">hanzi_entry</w:t>
      </w:r>
      <w:r>
        <w:t xml:space="preserve">: 拻</w:t>
      </w:r>
      <w:r>
        <w:t xml:space="preserve"> </w:t>
      </w:r>
      <w:r>
        <w:t xml:space="preserve">*</w:t>
      </w:r>
      <w:r>
        <w:t xml:space="preserve"> </w:t>
      </w:r>
      <w:r>
        <w:rPr>
          <w:rStyle w:val="VerbatimChar"/>
          <w:bCs/>
          <w:b/>
        </w:rPr>
        <w:t xml:space="preserve">definition_elements</w:t>
      </w:r>
      <w:r>
        <w:t xml:space="preserve">: 不定「ウシヽ歟」相撃</w:t>
      </w:r>
      <w:r>
        <w:t xml:space="preserve"> </w:t>
      </w:r>
      <w:r>
        <w:t xml:space="preserve">*</w:t>
      </w:r>
      <w:r>
        <w:t xml:space="preserve"> </w:t>
      </w:r>
      <w:r>
        <w:rPr>
          <w:rStyle w:val="VerbatimChar"/>
          <w:bCs/>
          <w:b/>
        </w:rPr>
        <w:t xml:space="preserve">remarks</w:t>
      </w:r>
      <w:r>
        <w:t xml:space="preserve">: Masamune’s Index, under</w:t>
      </w:r>
      <w:r>
        <w:t xml:space="preserve"> </w:t>
      </w:r>
      <w:r>
        <w:t xml:space="preserve">‘</w:t>
      </w:r>
      <w:r>
        <w:t xml:space="preserve">ウシヽ</w:t>
      </w:r>
      <w:r>
        <w:t xml:space="preserve">’</w:t>
      </w:r>
      <w:r>
        <w:t xml:space="preserve">, notes:</w:t>
      </w:r>
      <w:r>
        <w:t xml:space="preserve"> </w:t>
      </w:r>
      <w:r>
        <w:t xml:space="preserve">“</w:t>
      </w:r>
      <w:r>
        <w:t xml:space="preserve">Is</w:t>
      </w:r>
      <w:r>
        <w:t xml:space="preserve"> </w:t>
      </w:r>
      <w:r>
        <w:t xml:space="preserve">‘</w:t>
      </w:r>
      <w:r>
        <w:t xml:space="preserve">ウシヽ</w:t>
      </w:r>
      <w:r>
        <w:t xml:space="preserve">’</w:t>
      </w:r>
      <w:r>
        <w:t xml:space="preserve"> </w:t>
      </w:r>
      <w:r>
        <w:t xml:space="preserve">an error for</w:t>
      </w:r>
      <w:r>
        <w:t xml:space="preserve"> </w:t>
      </w:r>
      <w:r>
        <w:t xml:space="preserve">‘</w:t>
      </w:r>
      <w:r>
        <w:t xml:space="preserve">ホシヽ</w:t>
      </w:r>
      <w:r>
        <w:t xml:space="preserve">’</w:t>
      </w:r>
      <w:r>
        <w:t xml:space="preserve">, or was the cursive form of</w:t>
      </w:r>
      <w:r>
        <w:t xml:space="preserve"> </w:t>
      </w:r>
      <w:r>
        <w:t xml:space="preserve">‘</w:t>
      </w:r>
      <w:r>
        <w:t xml:space="preserve">完</w:t>
      </w:r>
      <w:r>
        <w:t xml:space="preserve">’</w:t>
      </w:r>
      <w:r>
        <w:t xml:space="preserve"> </w:t>
      </w:r>
      <w:r>
        <w:t xml:space="preserve">misread as</w:t>
      </w:r>
      <w:r>
        <w:t xml:space="preserve"> </w:t>
      </w:r>
      <w:r>
        <w:t xml:space="preserve">‘</w:t>
      </w:r>
      <w:r>
        <w:t xml:space="preserve">ホシヽ</w:t>
      </w:r>
      <w:r>
        <w:t xml:space="preserve">’</w:t>
      </w:r>
      <w:r>
        <w:t xml:space="preserve">? It is a lexical error.</w:t>
      </w:r>
      <w:r>
        <w:t xml:space="preserve">”</w:t>
      </w:r>
      <w:r>
        <w:t xml:space="preserve"> </w:t>
      </w:r>
      <w:r>
        <w:t xml:space="preserve">Under</w:t>
      </w:r>
      <w:r>
        <w:t xml:space="preserve"> </w:t>
      </w:r>
      <w:r>
        <w:t xml:space="preserve">‘</w:t>
      </w:r>
      <w:r>
        <w:t xml:space="preserve">フ</w:t>
      </w:r>
      <w:r>
        <w:t xml:space="preserve">’</w:t>
      </w:r>
      <w:r>
        <w:t xml:space="preserve">, it states:</w:t>
      </w:r>
      <w:r>
        <w:t xml:space="preserve"> </w:t>
      </w:r>
      <w:r>
        <w:t xml:space="preserve">“</w:t>
      </w:r>
      <w:r>
        <w:t xml:space="preserve">Could this be the character</w:t>
      </w:r>
      <w:r>
        <w:t xml:space="preserve"> </w:t>
      </w:r>
      <w:r>
        <w:t xml:space="preserve">‘</w:t>
      </w:r>
      <w:r>
        <w:t xml:space="preserve">不</w:t>
      </w:r>
      <w:r>
        <w:t xml:space="preserve">’</w:t>
      </w:r>
      <w:r>
        <w:t xml:space="preserve">, explained in the</w:t>
      </w:r>
      <w:r>
        <w:t xml:space="preserve"> </w:t>
      </w:r>
      <w:r>
        <w:rPr>
          <w:iCs/>
          <w:i/>
        </w:rPr>
        <w:t xml:space="preserve">Jikyō</w:t>
      </w:r>
      <w:r>
        <w:t xml:space="preserve"> </w:t>
      </w:r>
      <w:r>
        <w:t xml:space="preserve">dictionary as</w:t>
      </w:r>
      <w:r>
        <w:t xml:space="preserve"> </w:t>
      </w:r>
      <w:r>
        <w:t xml:space="preserve">‘</w:t>
      </w:r>
      <w:r>
        <w:t xml:space="preserve">音灰不言相撃</w:t>
      </w:r>
      <w:r>
        <w:t xml:space="preserve">’</w:t>
      </w:r>
      <w:r>
        <w:t xml:space="preserve"> </w:t>
      </w:r>
      <w:r>
        <w:t xml:space="preserve">(pronunciation</w:t>
      </w:r>
      <w:r>
        <w:t xml:space="preserve"> </w:t>
      </w:r>
      <w:r>
        <w:rPr>
          <w:iCs/>
          <w:i/>
        </w:rPr>
        <w:t xml:space="preserve">hai</w:t>
      </w:r>
      <w:r>
        <w:t xml:space="preserve">, unspoken, mutual strike)? This requires further research.</w:t>
      </w:r>
      <w:r>
        <w:t xml:space="preserve">”</w:t>
      </w:r>
      <w:r>
        <w:t xml:space="preserve"> </w:t>
      </w:r>
      <w:r>
        <w:t xml:space="preserve">Kusakawa’s</w:t>
      </w:r>
      <w:r>
        <w:t xml:space="preserve"> </w:t>
      </w:r>
      <w:r>
        <w:rPr>
          <w:iCs/>
          <w:i/>
        </w:rPr>
        <w:t xml:space="preserve">Wakun Shūsei</w:t>
      </w:r>
      <w:r>
        <w:t xml:space="preserve"> </w:t>
      </w:r>
      <w:r>
        <w:t xml:space="preserve">records</w:t>
      </w:r>
      <w:r>
        <w:t xml:space="preserve"> </w:t>
      </w:r>
      <w:r>
        <w:t xml:space="preserve">‘</w:t>
      </w:r>
      <w:r>
        <w:t xml:space="preserve">ウシヽ</w:t>
      </w:r>
      <w:r>
        <w:t xml:space="preserve">’</w:t>
      </w:r>
      <w:r>
        <w:t xml:space="preserve"> </w:t>
      </w:r>
      <w:r>
        <w:t xml:space="preserve">(treating it as a</w:t>
      </w:r>
      <w:r>
        <w:t xml:space="preserve"> </w:t>
      </w:r>
      <w:r>
        <w:rPr>
          <w:iCs/>
          <w:i/>
        </w:rPr>
        <w:t xml:space="preserve">wakun</w:t>
      </w:r>
      <w:r>
        <w:t xml:space="preserve">). Ikeda’s note: In the original text</w:t>
      </w:r>
      <w:r>
        <w:t xml:space="preserve"> </w:t>
      </w:r>
      <w:r>
        <w:t xml:space="preserve">“</w:t>
      </w:r>
      <w:r>
        <w:t xml:space="preserve">フ定相撃</w:t>
      </w:r>
      <w:r>
        <w:t xml:space="preserve">”</w:t>
      </w:r>
      <w:r>
        <w:t xml:space="preserve">, there is a red</w:t>
      </w:r>
      <w:r>
        <w:t xml:space="preserve"> </w:t>
      </w:r>
      <w:r>
        <w:rPr>
          <w:rStyle w:val="VerbatimChar"/>
          <w:bCs/>
          <w:b/>
        </w:rPr>
        <w:t xml:space="preserve">Deletion Mark</w:t>
      </w:r>
      <w:r>
        <w:t xml:space="preserve"> </w:t>
      </w:r>
      <w:r>
        <w:t xml:space="preserve">to the left of</w:t>
      </w:r>
      <w:r>
        <w:t xml:space="preserve"> </w:t>
      </w:r>
      <w:r>
        <w:t xml:space="preserve">‘</w:t>
      </w:r>
      <w:r>
        <w:t xml:space="preserve">定</w:t>
      </w:r>
      <w:r>
        <w:t xml:space="preserve">’</w:t>
      </w:r>
      <w:r>
        <w:t xml:space="preserve">, and</w:t>
      </w:r>
      <w:r>
        <w:t xml:space="preserve"> </w:t>
      </w:r>
      <w:r>
        <w:t xml:space="preserve">‘</w:t>
      </w:r>
      <w:r>
        <w:t xml:space="preserve">ウシヽ歟</w:t>
      </w:r>
      <w:r>
        <w:t xml:space="preserve">’</w:t>
      </w:r>
      <w:r>
        <w:t xml:space="preserve"> </w:t>
      </w:r>
      <w:r>
        <w:t xml:space="preserve">(</w:t>
      </w:r>
      <w:r>
        <w:t xml:space="preserve">“</w:t>
      </w:r>
      <w:r>
        <w:t xml:space="preserve">perhaps ウシヽ?</w:t>
      </w:r>
      <w:r>
        <w:t xml:space="preserve">”</w:t>
      </w:r>
      <w:r>
        <w:t xml:space="preserve">) is written to its right in red. This is likely an editorial note (</w:t>
      </w:r>
      <w:r>
        <w:rPr>
          <w:iCs/>
          <w:i/>
        </w:rPr>
        <w:t xml:space="preserve">ango</w:t>
      </w:r>
      <w:r>
        <w:t xml:space="preserve">) added due to misidentifying a</w:t>
      </w:r>
      <w:r>
        <w:t xml:space="preserve"> </w:t>
      </w:r>
      <w:r>
        <w:rPr>
          <w:rStyle w:val="VerbatimChar"/>
          <w:bCs/>
          <w:b/>
        </w:rPr>
        <w:t xml:space="preserve">Hanzi (Chinese character)</w:t>
      </w:r>
      <w:r>
        <w:t xml:space="preserve"> </w:t>
      </w:r>
      <w:r>
        <w:t xml:space="preserve">as kana.</w:t>
      </w:r>
    </w:p>
    <w:p>
      <w:pPr>
        <w:pStyle w:val="BodyText"/>
      </w:pPr>
      <w:r>
        <w:rPr>
          <w:bCs/>
          <w:b/>
        </w:rPr>
        <w:t xml:space="preserve">Example 3:</w:t>
      </w:r>
      <w:r>
        <w:t xml:space="preserve"> </w:t>
      </w:r>
      <w:r>
        <w:t xml:space="preserve">*</w:t>
      </w:r>
      <w:r>
        <w:t xml:space="preserve"> </w:t>
      </w:r>
      <w:r>
        <w:rPr>
          <w:rStyle w:val="VerbatimChar"/>
          <w:bCs/>
          <w:b/>
        </w:rPr>
        <w:t xml:space="preserve">hanzi_entry</w:t>
      </w:r>
      <w:r>
        <w:t xml:space="preserve">: ⿸𠂋帀</w:t>
      </w:r>
      <w:r>
        <w:t xml:space="preserve"> </w:t>
      </w:r>
      <w:r>
        <w:t xml:space="preserve">*</w:t>
      </w:r>
      <w:r>
        <w:t xml:space="preserve"> </w:t>
      </w:r>
      <w:r>
        <w:rPr>
          <w:rStyle w:val="VerbatimChar"/>
          <w:bCs/>
          <w:b/>
        </w:rPr>
        <w:t xml:space="preserve">definition_elements</w:t>
      </w:r>
      <w:r>
        <w:t xml:space="preserve">: △在下</w:t>
      </w:r>
      <w:r>
        <w:t xml:space="preserve"> </w:t>
      </w:r>
      <w:r>
        <w:t xml:space="preserve">*</w:t>
      </w:r>
      <w:r>
        <w:t xml:space="preserve"> </w:t>
      </w:r>
      <w:r>
        <w:rPr>
          <w:rStyle w:val="VerbatimChar"/>
          <w:bCs/>
          <w:b/>
        </w:rPr>
        <w:t xml:space="preserve">remarks</w:t>
      </w:r>
      <w:r>
        <w:t xml:space="preserve">: Although</w:t>
      </w:r>
      <w:r>
        <w:t xml:space="preserve"> </w:t>
      </w:r>
      <w:r>
        <w:t xml:space="preserve">‘</w:t>
      </w:r>
      <w:r>
        <w:t xml:space="preserve">△</w:t>
      </w:r>
      <w:r>
        <w:t xml:space="preserve">’</w:t>
      </w:r>
      <w:r>
        <w:t xml:space="preserve"> </w:t>
      </w:r>
      <w:r>
        <w:t xml:space="preserve">is written in a large size similar to a</w:t>
      </w:r>
      <w:r>
        <w:t xml:space="preserve"> </w:t>
      </w:r>
      <w:r>
        <w:rPr>
          <w:rStyle w:val="VerbatimChar"/>
          <w:bCs/>
          <w:b/>
        </w:rPr>
        <w:t xml:space="preserve">Headword</w:t>
      </w:r>
      <w:r>
        <w:t xml:space="preserve">, it is not a</w:t>
      </w:r>
      <w:r>
        <w:t xml:space="preserve"> </w:t>
      </w:r>
      <w:r>
        <w:rPr>
          <w:rStyle w:val="VerbatimChar"/>
          <w:bCs/>
          <w:b/>
        </w:rPr>
        <w:t xml:space="preserve">Headword</w:t>
      </w:r>
      <w:r>
        <w:t xml:space="preserve"> </w:t>
      </w:r>
      <w:r>
        <w:t xml:space="preserve">itself but should be regarded as an</w:t>
      </w:r>
      <w:r>
        <w:t xml:space="preserve"> </w:t>
      </w:r>
      <w:r>
        <w:rPr>
          <w:rStyle w:val="VerbatimChar"/>
          <w:bCs/>
          <w:b/>
        </w:rPr>
        <w:t xml:space="preserve">Interpolation Mark</w:t>
      </w:r>
      <w:r>
        <w:t xml:space="preserve">.</w:t>
      </w:r>
    </w:p>
    <w:bookmarkEnd w:id="196"/>
    <w:bookmarkEnd w:id="197"/>
    <w:bookmarkStart w:id="203" w:name="X9a7930aee395365de6f31696d6cf6c267a260bd"/>
    <w:p>
      <w:pPr>
        <w:pStyle w:val="Heading2"/>
      </w:pPr>
      <w:r>
        <w:rPr>
          <w:rStyle w:val="SectionNumber"/>
        </w:rPr>
        <w:t xml:space="preserve">18.2</w:t>
      </w:r>
      <w:r>
        <w:tab/>
      </w:r>
      <w:r>
        <w:t xml:space="preserve">Notational Conventions for Characters and Words</w:t>
      </w:r>
    </w:p>
    <w:p>
      <w:pPr>
        <w:pStyle w:val="FirstParagraph"/>
      </w:pPr>
      <w:r>
        <w:t xml:space="preserve">This section discusses frequently used</w:t>
      </w:r>
      <w:r>
        <w:t xml:space="preserve"> </w:t>
      </w:r>
      <w:r>
        <w:rPr>
          <w:rStyle w:val="VerbatimChar"/>
          <w:bCs/>
          <w:b/>
        </w:rPr>
        <w:t xml:space="preserve">Abbreviated Characters</w:t>
      </w:r>
      <w:r>
        <w:t xml:space="preserve"> </w:t>
      </w:r>
      <w:r>
        <w:t xml:space="preserve">(略字,</w:t>
      </w:r>
      <w:r>
        <w:t xml:space="preserve"> </w:t>
      </w:r>
      <w:r>
        <w:rPr>
          <w:iCs/>
          <w:i/>
        </w:rPr>
        <w:t xml:space="preserve">ryakuji</w:t>
      </w:r>
      <w:r>
        <w:t xml:space="preserve">),</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(異体字),</w:t>
      </w:r>
      <w:r>
        <w:t xml:space="preserve"> </w:t>
      </w:r>
      <w:r>
        <w:rPr>
          <w:rStyle w:val="VerbatimChar"/>
          <w:bCs/>
          <w:b/>
        </w:rPr>
        <w:t xml:space="preserve">Iteration Marks</w:t>
      </w:r>
      <w:r>
        <w:t xml:space="preserve"> </w:t>
      </w:r>
      <w:r>
        <w:t xml:space="preserve">(踊り字,</w:t>
      </w:r>
      <w:r>
        <w:t xml:space="preserve"> </w:t>
      </w:r>
      <w:r>
        <w:rPr>
          <w:iCs/>
          <w:i/>
        </w:rPr>
        <w:t xml:space="preserve">odoriji</w:t>
      </w:r>
      <w:r>
        <w:t xml:space="preserve">),</w:t>
      </w:r>
      <w:r>
        <w:t xml:space="preserve"> </w:t>
      </w:r>
      <w:r>
        <w:rPr>
          <w:rStyle w:val="VerbatimChar"/>
          <w:bCs/>
          <w:b/>
        </w:rPr>
        <w:t xml:space="preserve">Substitution Marks</w:t>
      </w:r>
      <w:r>
        <w:t xml:space="preserve"> </w:t>
      </w:r>
      <w:r>
        <w:t xml:space="preserve">(代用符号,</w:t>
      </w:r>
      <w:r>
        <w:t xml:space="preserve"> </w:t>
      </w:r>
      <w:r>
        <w:rPr>
          <w:iCs/>
          <w:i/>
        </w:rPr>
        <w:t xml:space="preserve">daiyō fugō</w:t>
      </w:r>
      <w:r>
        <w:t xml:space="preserve">), and</w:t>
      </w:r>
      <w:r>
        <w:t xml:space="preserve"> </w:t>
      </w:r>
      <w:r>
        <w:rPr>
          <w:rStyle w:val="VerbatimChar"/>
          <w:bCs/>
          <w:b/>
        </w:rPr>
        <w:t xml:space="preserve">Compound Marks</w:t>
      </w:r>
      <w:r>
        <w:rPr>
          <w:bCs/>
          <w:b/>
        </w:rPr>
        <w:t xml:space="preserve"> </w:t>
      </w:r>
      <w:r>
        <w:rPr>
          <w:bCs/>
          <w:b/>
        </w:rPr>
        <w:t xml:space="preserve">(合符,</w:t>
      </w:r>
      <w:r>
        <w:rPr>
          <w:bCs/>
          <w:b/>
        </w:rPr>
        <w:t xml:space="preserve"> </w:t>
      </w:r>
      <w:r>
        <w:rPr>
          <w:iCs/>
          <w:i/>
          <w:bCs/>
          <w:b/>
        </w:rPr>
        <w:t xml:space="preserve">gōfu</w:t>
      </w:r>
      <w:r>
        <w:rPr>
          <w:bCs/>
          <w:b/>
        </w:rPr>
        <w:t xml:space="preserve">)</w:t>
      </w:r>
      <w:r>
        <w:t xml:space="preserve">.</w:t>
      </w:r>
    </w:p>
    <w:bookmarkStart w:id="198" w:name="X21ec87f5e6d091d584c84cd7e69e65136ae14d8"/>
    <w:p>
      <w:pPr>
        <w:pStyle w:val="Heading3"/>
      </w:pPr>
      <w:r>
        <w:rPr>
          <w:rStyle w:val="SectionNumber"/>
        </w:rPr>
        <w:t xml:space="preserve">18.2.1</w:t>
      </w:r>
      <w:r>
        <w:tab/>
      </w:r>
      <w:r>
        <w:rPr>
          <w:rStyle w:val="VerbatimChar"/>
          <w:bCs/>
          <w:b/>
        </w:rPr>
        <w:t xml:space="preserve">Abbreviated Characters</w:t>
      </w:r>
      <w:r>
        <w:t xml:space="preserve"> </w:t>
      </w:r>
      <w:r>
        <w:t xml:space="preserve">(略字,</w:t>
      </w:r>
      <w:r>
        <w:t xml:space="preserve"> </w:t>
      </w:r>
      <w:r>
        <w:rPr>
          <w:iCs/>
          <w:i/>
        </w:rPr>
        <w:t xml:space="preserve">ryakuji</w:t>
      </w:r>
      <w:r>
        <w:t xml:space="preserve">)</w:t>
      </w:r>
    </w:p>
    <w:p>
      <w:pPr>
        <w:pStyle w:val="FirstParagraph"/>
      </w:pPr>
      <w:r>
        <w:rPr>
          <w:rStyle w:val="VerbatimChar"/>
          <w:bCs/>
          <w:b/>
        </w:rPr>
        <w:t xml:space="preserve">Abbreviated Characters</w:t>
      </w:r>
      <w:r>
        <w:t xml:space="preserve"> </w:t>
      </w:r>
      <w:r>
        <w:t xml:space="preserve">(略字,</w:t>
      </w:r>
      <w:r>
        <w:t xml:space="preserve"> </w:t>
      </w:r>
      <w:r>
        <w:rPr>
          <w:iCs/>
          <w:i/>
        </w:rPr>
        <w:t xml:space="preserve">ryakuji</w:t>
      </w:r>
      <w:r>
        <w:t xml:space="preserve">; also called 簡略字,</w:t>
      </w:r>
      <w:r>
        <w:t xml:space="preserve"> </w:t>
      </w:r>
      <w:r>
        <w:rPr>
          <w:iCs/>
          <w:i/>
        </w:rPr>
        <w:t xml:space="preserve">jiǎnlüèzì</w:t>
      </w:r>
      <w:r>
        <w:t xml:space="preserve"> </w:t>
      </w:r>
      <w:r>
        <w:t xml:space="preserve">in Chinese) found in the manuscript are generally normalized to their standard, common forms in the transcribed data.</w:t>
      </w:r>
    </w:p>
    <w:p>
      <w:pPr>
        <w:pStyle w:val="BodyText"/>
      </w:pPr>
      <w:r>
        <w:rPr>
          <w:bCs/>
          <w:b/>
        </w:rPr>
        <w:t xml:space="preserve">Examples:</w:t>
      </w:r>
      <w:r>
        <w:t xml:space="preserve"> </w:t>
      </w:r>
      <w:r>
        <w:t xml:space="preserve">(The left side shows the abbreviated form found in the manuscript, and the right side shows the normalized character used in the data.)</w:t>
      </w:r>
      <w:r>
        <w:t xml:space="preserve"> </w:t>
      </w:r>
      <w:r>
        <w:t xml:space="preserve">1. 亠 → 音 (</w:t>
      </w:r>
      <w:r>
        <w:rPr>
          <w:iCs/>
          <w:i/>
        </w:rPr>
        <w:t xml:space="preserve">on</w:t>
      </w:r>
      <w:r>
        <w:t xml:space="preserve">)</w:t>
      </w:r>
      <w:r>
        <w:t xml:space="preserve"> </w:t>
      </w:r>
      <w:r>
        <w:t xml:space="preserve">2. ﹅ → 也 (</w:t>
      </w:r>
      <w:r>
        <w:rPr>
          <w:iCs/>
          <w:i/>
        </w:rPr>
        <w:t xml:space="preserve">nari</w:t>
      </w:r>
      <w:r>
        <w:t xml:space="preserve">,</w:t>
      </w:r>
      <w:r>
        <w:t xml:space="preserve"> </w:t>
      </w:r>
      <w:r>
        <w:rPr>
          <w:iCs/>
          <w:i/>
        </w:rPr>
        <w:t xml:space="preserve">ya</w:t>
      </w:r>
      <w:r>
        <w:t xml:space="preserve">)</w:t>
      </w:r>
      <w:r>
        <w:t xml:space="preserve"> </w:t>
      </w:r>
      <w:r>
        <w:t xml:space="preserve">3. 彳 → 従 (</w:t>
      </w:r>
      <w:r>
        <w:rPr>
          <w:iCs/>
          <w:i/>
        </w:rPr>
        <w:t xml:space="preserve">jū</w:t>
      </w:r>
      <w:r>
        <w:t xml:space="preserve">,</w:t>
      </w:r>
      <w:r>
        <w:t xml:space="preserve"> </w:t>
      </w:r>
      <w:r>
        <w:rPr>
          <w:iCs/>
          <w:i/>
        </w:rPr>
        <w:t xml:space="preserve">shitagau</w:t>
      </w:r>
      <w:r>
        <w:t xml:space="preserve">)</w:t>
      </w:r>
      <w:r>
        <w:t xml:space="preserve"> </w:t>
      </w:r>
      <w:r>
        <w:t xml:space="preserve">4. 扌 → 於 (</w:t>
      </w:r>
      <w:r>
        <w:rPr>
          <w:iCs/>
          <w:i/>
        </w:rPr>
        <w:t xml:space="preserve">o</w:t>
      </w:r>
      <w:r>
        <w:t xml:space="preserve">,</w:t>
      </w:r>
      <w:r>
        <w:t xml:space="preserve"> </w:t>
      </w:r>
      <w:r>
        <w:rPr>
          <w:iCs/>
          <w:i/>
        </w:rPr>
        <w:t xml:space="preserve">okeru</w:t>
      </w:r>
      <w:r>
        <w:t xml:space="preserve">)</w:t>
      </w:r>
      <w:r>
        <w:t xml:space="preserve"> </w:t>
      </w:r>
      <w:r>
        <w:t xml:space="preserve">5. 乂 → 反 (</w:t>
      </w:r>
      <w:r>
        <w:rPr>
          <w:iCs/>
          <w:i/>
        </w:rPr>
        <w:t xml:space="preserve">han</w:t>
      </w:r>
      <w:r>
        <w:t xml:space="preserve">; as in</w:t>
      </w:r>
      <w:r>
        <w:t xml:space="preserve"> </w:t>
      </w:r>
      <w:r>
        <w:rPr>
          <w:iCs/>
          <w:i/>
        </w:rPr>
        <w:t xml:space="preserve">fanqie</w:t>
      </w:r>
      <w:r>
        <w:t xml:space="preserve"> </w:t>
      </w:r>
      <w:r>
        <w:t xml:space="preserve">反切)</w:t>
      </w:r>
      <w:r>
        <w:t xml:space="preserve"> </w:t>
      </w:r>
      <w:r>
        <w:t xml:space="preserve">6. 禾 → 和 (</w:t>
      </w:r>
      <w:r>
        <w:rPr>
          <w:iCs/>
          <w:i/>
        </w:rPr>
        <w:t xml:space="preserve">wa</w:t>
      </w:r>
      <w:r>
        <w:t xml:space="preserve">; as in</w:t>
      </w:r>
      <w:r>
        <w:t xml:space="preserve"> </w:t>
      </w:r>
      <w:r>
        <w:rPr>
          <w:iCs/>
          <w:i/>
        </w:rPr>
        <w:t xml:space="preserve">Wa-on</w:t>
      </w:r>
      <w:r>
        <w:t xml:space="preserve"> </w:t>
      </w:r>
      <w:r>
        <w:t xml:space="preserve">和音, an older layer of Sino-Japanese pronunciation)</w:t>
      </w:r>
      <w:r>
        <w:t xml:space="preserve"> </w:t>
      </w:r>
      <w:r>
        <w:t xml:space="preserve">7. 谷 → 俗 (</w:t>
      </w:r>
      <w:r>
        <w:rPr>
          <w:iCs/>
          <w:i/>
        </w:rPr>
        <w:t xml:space="preserve">zoku</w:t>
      </w:r>
      <w:r>
        <w:t xml:space="preserve">) (but see note below)</w:t>
      </w:r>
      <w:r>
        <w:t xml:space="preserve"> </w:t>
      </w:r>
      <w:r>
        <w:t xml:space="preserve">8. 牜 → 物 (</w:t>
      </w:r>
      <w:r>
        <w:rPr>
          <w:iCs/>
          <w:i/>
        </w:rPr>
        <w:t xml:space="preserve">butsu</w:t>
      </w:r>
      <w:r>
        <w:t xml:space="preserve">,</w:t>
      </w:r>
      <w:r>
        <w:t xml:space="preserve"> </w:t>
      </w:r>
      <w:r>
        <w:rPr>
          <w:iCs/>
          <w:i/>
        </w:rPr>
        <w:t xml:space="preserve">mono</w:t>
      </w:r>
      <w:r>
        <w:t xml:space="preserve">)</w:t>
      </w:r>
      <w:r>
        <w:t xml:space="preserve"> </w:t>
      </w:r>
      <w:r>
        <w:t xml:space="preserve">9. 类 → 類 (</w:t>
      </w:r>
      <w:r>
        <w:rPr>
          <w:iCs/>
          <w:i/>
        </w:rPr>
        <w:t xml:space="preserve">rui</w:t>
      </w:r>
      <w:r>
        <w:t xml:space="preserve">)</w:t>
      </w:r>
      <w:r>
        <w:t xml:space="preserve"> </w:t>
      </w:r>
      <w:r>
        <w:t xml:space="preserve">10. 欤 → 歟 (</w:t>
      </w:r>
      <w:r>
        <w:rPr>
          <w:iCs/>
          <w:i/>
        </w:rPr>
        <w:t xml:space="preserve">yo</w:t>
      </w:r>
      <w:r>
        <w:t xml:space="preserve">,</w:t>
      </w:r>
      <w:r>
        <w:t xml:space="preserve"> </w:t>
      </w:r>
      <w:r>
        <w:rPr>
          <w:iCs/>
          <w:i/>
        </w:rPr>
        <w:t xml:space="preserve">ka</w:t>
      </w:r>
      <w:r>
        <w:t xml:space="preserve">)</w:t>
      </w:r>
      <w:r>
        <w:t xml:space="preserve"> </w:t>
      </w:r>
      <w:r>
        <w:t xml:space="preserve">11. 乚　→　訓 (</w:t>
      </w:r>
      <w:r>
        <w:rPr>
          <w:iCs/>
          <w:i/>
        </w:rPr>
        <w:t xml:space="preserve">kun</w:t>
      </w:r>
      <w:r>
        <w:t xml:space="preserve">)</w:t>
      </w:r>
    </w:p>
    <w:p>
      <w:pPr>
        <w:pStyle w:val="BodyText"/>
      </w:pPr>
      <w:r>
        <w:t xml:space="preserve">Among these, examples 1 through 4 are illustrated in the prefatory notes (凡例,</w:t>
      </w:r>
      <w:r>
        <w:t xml:space="preserve"> </w:t>
      </w:r>
      <w:r>
        <w:rPr>
          <w:iCs/>
          <w:i/>
        </w:rPr>
        <w:t xml:space="preserve">hanrei</w:t>
      </w:r>
      <w:r>
        <w:t xml:space="preserve">) of the</w:t>
      </w:r>
      <w:r>
        <w:t xml:space="preserve"> </w:t>
      </w:r>
      <w:r>
        <w:rPr>
          <w:iCs/>
          <w:i/>
        </w:rPr>
        <w:t xml:space="preserve">Myōgishō</w:t>
      </w:r>
      <w:r>
        <w:t xml:space="preserve"> </w:t>
      </w:r>
      <w:r>
        <w:t xml:space="preserve">in a section explaining</w:t>
      </w:r>
      <w:r>
        <w:t xml:space="preserve"> </w:t>
      </w:r>
      <w:r>
        <w:t xml:space="preserve">“</w:t>
      </w:r>
      <w:r>
        <w:t xml:space="preserve">注中多略用片</w:t>
      </w:r>
      <w:r>
        <w:t xml:space="preserve">”</w:t>
      </w:r>
      <w:r>
        <w:t xml:space="preserve"> </w:t>
      </w:r>
      <w:r>
        <w:t xml:space="preserve">(meaning</w:t>
      </w:r>
      <w:r>
        <w:t xml:space="preserve"> </w:t>
      </w:r>
      <w:r>
        <w:t xml:space="preserve">“</w:t>
      </w:r>
      <w:r>
        <w:t xml:space="preserve">in the glosses, abbreviated forms, often single components of characters [like radicals or katakana], are frequently used</w:t>
      </w:r>
      <w:r>
        <w:t xml:space="preserve">”</w:t>
      </w:r>
      <w:r>
        <w:t xml:space="preserve">).</w:t>
      </w:r>
    </w:p>
    <w:p>
      <w:pPr>
        <w:pStyle w:val="BodyText"/>
      </w:pPr>
      <w:r>
        <w:t xml:space="preserve">Example 1 (亠 for 音</w:t>
      </w:r>
      <w:r>
        <w:t xml:space="preserve"> </w:t>
      </w:r>
      <w:r>
        <w:t xml:space="preserve">‘</w:t>
      </w:r>
      <w:r>
        <w:t xml:space="preserve">sound/pronunciation</w:t>
      </w:r>
      <w:r>
        <w:t xml:space="preserve">’</w:t>
      </w:r>
      <w:r>
        <w:t xml:space="preserve">), Example 5 (乂 for 反</w:t>
      </w:r>
      <w:r>
        <w:t xml:space="preserve"> </w:t>
      </w:r>
      <w:r>
        <w:t xml:space="preserve">‘</w:t>
      </w:r>
      <w:r>
        <w:t xml:space="preserve">reversal</w:t>
      </w:r>
      <w:r>
        <w:t xml:space="preserve">’</w:t>
      </w:r>
      <w:r>
        <w:t xml:space="preserve">, used in</w:t>
      </w:r>
      <w:r>
        <w:t xml:space="preserve"> </w:t>
      </w:r>
      <w:r>
        <w:rPr>
          <w:rStyle w:val="VerbatimChar"/>
          <w:bCs/>
          <w:b/>
        </w:rPr>
        <w:t xml:space="preserve">fanqie</w:t>
      </w:r>
      <w:r>
        <w:t xml:space="preserve"> </w:t>
      </w:r>
      <w:r>
        <w:t xml:space="preserve">spellings), and Example 6 (禾 for 和</w:t>
      </w:r>
      <w:r>
        <w:t xml:space="preserve"> </w:t>
      </w:r>
      <w:r>
        <w:t xml:space="preserve">‘</w:t>
      </w:r>
      <w:r>
        <w:t xml:space="preserve">harmony/Japanese</w:t>
      </w:r>
      <w:r>
        <w:t xml:space="preserve">’</w:t>
      </w:r>
      <w:r>
        <w:t xml:space="preserve">, used to denote</w:t>
      </w:r>
      <w:r>
        <w:t xml:space="preserve"> </w:t>
      </w:r>
      <w:r>
        <w:rPr>
          <w:rStyle w:val="VerbatimChar"/>
          <w:bCs/>
          <w:b/>
        </w:rPr>
        <w:t xml:space="preserve">Go-on</w:t>
      </w:r>
      <w:r>
        <w:t xml:space="preserve"> </w:t>
      </w:r>
      <w:r>
        <w:t xml:space="preserve">(和音,</w:t>
      </w:r>
      <w:r>
        <w:t xml:space="preserve"> </w:t>
      </w:r>
      <w:r>
        <w:rPr>
          <w:iCs/>
          <w:i/>
        </w:rPr>
        <w:t xml:space="preserve">Wa-on</w:t>
      </w:r>
      <w:r>
        <w:t xml:space="preserve">) pronunciations) are frequently used in</w:t>
      </w:r>
      <w:r>
        <w:t xml:space="preserve"> </w:t>
      </w:r>
      <w:r>
        <w:rPr>
          <w:rStyle w:val="VerbatimChar"/>
          <w:bCs/>
          <w:b/>
        </w:rPr>
        <w:t xml:space="preserve">Phonetic Glosses</w:t>
      </w:r>
      <w:r>
        <w:t xml:space="preserve">.</w:t>
      </w:r>
    </w:p>
    <w:p>
      <w:pPr>
        <w:pStyle w:val="BodyText"/>
      </w:pPr>
      <w:r>
        <w:t xml:space="preserve">Example 7 (谷 for 俗) is frequently used in</w:t>
      </w:r>
      <w:r>
        <w:t xml:space="preserve"> </w:t>
      </w:r>
      <w:r>
        <w:rPr>
          <w:rStyle w:val="VerbatimChar"/>
          <w:bCs/>
          <w:b/>
        </w:rPr>
        <w:t xml:space="preserve">Notes on Character Form</w:t>
      </w:r>
      <w:r>
        <w:t xml:space="preserve"> </w:t>
      </w:r>
      <w:r>
        <w:t xml:space="preserve">(to mean</w:t>
      </w:r>
      <w:r>
        <w:t xml:space="preserve"> </w:t>
      </w:r>
      <w:r>
        <w:t xml:space="preserve">‘</w:t>
      </w:r>
      <w:r>
        <w:t xml:space="preserve">popular/vulgar</w:t>
      </w:r>
      <w:r>
        <w:t xml:space="preserve">’</w:t>
      </w:r>
      <w:r>
        <w:t xml:space="preserve"> </w:t>
      </w:r>
      <w:r>
        <w:t xml:space="preserve">form), and example 8 (牜 for 物) is frequently used in</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w:t>
      </w:r>
      <w:r>
        <w:t xml:space="preserve"> </w:t>
      </w:r>
      <w:r>
        <w:t xml:space="preserve">However,</w:t>
      </w:r>
      <w:r>
        <w:t xml:space="preserve"> </w:t>
      </w:r>
      <w:r>
        <w:t xml:space="preserve">‘</w:t>
      </w:r>
      <w:r>
        <w:t xml:space="preserve">谷</w:t>
      </w:r>
      <w:r>
        <w:t xml:space="preserve">’</w:t>
      </w:r>
      <w:r>
        <w:t xml:space="preserve"> </w:t>
      </w:r>
      <w:r>
        <w:t xml:space="preserve">can also be used with its inherent meaning (</w:t>
      </w:r>
      <w:r>
        <w:t xml:space="preserve">“</w:t>
      </w:r>
      <w:r>
        <w:t xml:space="preserve">valley</w:t>
      </w:r>
      <w:r>
        <w:t xml:space="preserve">”</w:t>
      </w:r>
      <w:r>
        <w:t xml:space="preserve">). In such cases, it is transcribed as</w:t>
      </w:r>
      <w:r>
        <w:t xml:space="preserve"> </w:t>
      </w:r>
      <w:r>
        <w:t xml:space="preserve">‘</w:t>
      </w:r>
      <w:r>
        <w:t xml:space="preserve">谷</w:t>
      </w:r>
      <w:r>
        <w:t xml:space="preserve">’</w:t>
      </w:r>
      <w:r>
        <w:t xml:space="preserve"> </w:t>
      </w:r>
      <w:r>
        <w:t xml:space="preserve">and not normalized to</w:t>
      </w:r>
      <w:r>
        <w:t xml:space="preserve"> </w:t>
      </w:r>
      <w:r>
        <w:t xml:space="preserve">‘</w:t>
      </w:r>
      <w:r>
        <w:t xml:space="preserve">俗</w:t>
      </w:r>
      <w:r>
        <w:t xml:space="preserve">’</w:t>
      </w:r>
      <w:r>
        <w:t xml:space="preserve">.</w:t>
      </w:r>
      <w:r>
        <w:t xml:space="preserve"> </w:t>
      </w:r>
      <w:r>
        <w:t xml:space="preserve">For instance,</w:t>
      </w:r>
      <w:r>
        <w:t xml:space="preserve"> </w:t>
      </w:r>
      <w:r>
        <w:rPr>
          <w:rStyle w:val="VerbatimChar"/>
          <w:bCs/>
          <w:b/>
        </w:rPr>
        <w:t xml:space="preserve">Headwords</w:t>
      </w:r>
      <w:r>
        <w:t xml:space="preserve"> </w:t>
      </w:r>
      <w:r>
        <w:t xml:space="preserve">containing</w:t>
      </w:r>
      <w:r>
        <w:t xml:space="preserve"> </w:t>
      </w:r>
      <w:r>
        <w:t xml:space="preserve">‘</w:t>
      </w:r>
      <w:r>
        <w:t xml:space="preserve">谷</w:t>
      </w:r>
      <w:r>
        <w:t xml:space="preserve">’</w:t>
      </w:r>
      <w:r>
        <w:t xml:space="preserve"> </w:t>
      </w:r>
      <w:r>
        <w:t xml:space="preserve">as a component are listed under the</w:t>
      </w:r>
      <w:r>
        <w:t xml:space="preserve"> </w:t>
      </w:r>
      <w:r>
        <w:t xml:space="preserve">‘</w:t>
      </w:r>
      <w:r>
        <w:t xml:space="preserve">八</w:t>
      </w:r>
      <w:r>
        <w:t xml:space="preserve">’</w:t>
      </w:r>
      <w:r>
        <w:t xml:space="preserve"> </w:t>
      </w:r>
      <w:r>
        <w:t xml:space="preserve">(eight) radical section (八部, hachibu) of the Kanchi-in manuscript.</w:t>
      </w:r>
      <w:r>
        <w:t xml:space="preserve"> </w:t>
      </w:r>
      <w:r>
        <w:t xml:space="preserve">The</w:t>
      </w:r>
      <w:r>
        <w:t xml:space="preserve"> </w:t>
      </w:r>
      <w:r>
        <w:rPr>
          <w:rStyle w:val="VerbatimChar"/>
          <w:bCs/>
          <w:b/>
        </w:rPr>
        <w:t xml:space="preserve">Entry</w:t>
      </w:r>
      <w:r>
        <w:t xml:space="preserve"> </w:t>
      </w:r>
      <w:r>
        <w:t xml:space="preserve">for</w:t>
      </w:r>
      <w:r>
        <w:t xml:space="preserve"> </w:t>
      </w:r>
      <w:r>
        <w:t xml:space="preserve">‘</w:t>
      </w:r>
      <w:r>
        <w:t xml:space="preserve">豅</w:t>
      </w:r>
      <w:r>
        <w:t xml:space="preserve">’</w:t>
      </w:r>
      <w:r>
        <w:t xml:space="preserve">, for example, has its semantic meaning given in the original text as</w:t>
      </w:r>
      <w:r>
        <w:t xml:space="preserve"> </w:t>
      </w:r>
      <w:r>
        <w:t xml:space="preserve">“</w:t>
      </w:r>
      <w:r>
        <w:t xml:space="preserve">大長谷</w:t>
      </w:r>
      <w:r>
        <w:t xml:space="preserve">”</w:t>
      </w:r>
      <w:r>
        <w:t xml:space="preserve"> </w:t>
      </w:r>
      <w:r>
        <w:t xml:space="preserve">(large long valley), so</w:t>
      </w:r>
      <w:r>
        <w:t xml:space="preserve"> </w:t>
      </w:r>
      <w:r>
        <w:t xml:space="preserve">‘</w:t>
      </w:r>
      <w:r>
        <w:t xml:space="preserve">谷</w:t>
      </w:r>
      <w:r>
        <w:t xml:space="preserve">’</w:t>
      </w:r>
      <w:r>
        <w:t xml:space="preserve"> </w:t>
      </w:r>
      <w:r>
        <w:t xml:space="preserve">is retained as is.</w:t>
      </w:r>
    </w:p>
    <w:p>
      <w:pPr>
        <w:pStyle w:val="BodyText"/>
      </w:pPr>
      <w:r>
        <w:t xml:space="preserve">Example 9 (类 for 類) is used in</w:t>
      </w:r>
      <w:r>
        <w:t xml:space="preserve"> </w:t>
      </w:r>
      <w:r>
        <w:rPr>
          <w:rStyle w:val="VerbatimChar"/>
          <w:bCs/>
          <w:b/>
        </w:rPr>
        <w:t xml:space="preserve">Entries</w:t>
      </w:r>
      <w:r>
        <w:t xml:space="preserve"> </w:t>
      </w:r>
      <w:r>
        <w:t xml:space="preserve">derived from category names in the</w:t>
      </w:r>
      <w:r>
        <w:t xml:space="preserve"> </w:t>
      </w:r>
      <w:r>
        <w:rPr>
          <w:iCs/>
          <w:i/>
        </w:rPr>
        <w:t xml:space="preserve">Wamyō Ruijushō</w:t>
      </w:r>
      <w:r>
        <w:t xml:space="preserve"> </w:t>
      </w:r>
      <w:r>
        <w:t xml:space="preserve">(倭名類聚抄), such as</w:t>
      </w:r>
      <w:r>
        <w:t xml:space="preserve"> </w:t>
      </w:r>
      <w:r>
        <w:t xml:space="preserve">“</w:t>
      </w:r>
      <w:r>
        <w:t xml:space="preserve">草類</w:t>
      </w:r>
      <w:r>
        <w:t xml:space="preserve">”</w:t>
      </w:r>
      <w:r>
        <w:t xml:space="preserve"> </w:t>
      </w:r>
      <w:r>
        <w:t xml:space="preserve">(types of grasses) and</w:t>
      </w:r>
      <w:r>
        <w:t xml:space="preserve"> </w:t>
      </w:r>
      <w:r>
        <w:t xml:space="preserve">“</w:t>
      </w:r>
      <w:r>
        <w:t xml:space="preserve">苔類</w:t>
      </w:r>
      <w:r>
        <w:t xml:space="preserve">”</w:t>
      </w:r>
      <w:r>
        <w:t xml:space="preserve"> </w:t>
      </w:r>
      <w:r>
        <w:t xml:space="preserve">(types of mosses).</w:t>
      </w:r>
    </w:p>
    <w:p>
      <w:pPr>
        <w:pStyle w:val="BodyText"/>
      </w:pPr>
      <w:r>
        <w:t xml:space="preserve">Example 10 (欤 for 歟) is used in notes expressing doubt or questioning the correctness of characters or phrases (these are considered types of editorial notes or</w:t>
      </w:r>
      <w:r>
        <w:t xml:space="preserve"> </w:t>
      </w:r>
      <w:r>
        <w:rPr>
          <w:iCs/>
          <w:i/>
        </w:rPr>
        <w:t xml:space="preserve">ango</w:t>
      </w:r>
      <w:r>
        <w:t xml:space="preserve">).</w:t>
      </w:r>
    </w:p>
    <w:p>
      <w:pPr>
        <w:pStyle w:val="BodyText"/>
      </w:pPr>
      <w:r>
        <w:t xml:space="preserve">Example 11,</w:t>
      </w:r>
      <w:r>
        <w:t xml:space="preserve"> </w:t>
      </w:r>
      <w:r>
        <w:t xml:space="preserve">‘</w:t>
      </w:r>
      <w:r>
        <w:t xml:space="preserve">乚</w:t>
      </w:r>
      <w:r>
        <w:t xml:space="preserve">’</w:t>
      </w:r>
      <w:r>
        <w:t xml:space="preserve"> </w:t>
      </w:r>
      <w:r>
        <w:t xml:space="preserve">(for</w:t>
      </w:r>
      <w:r>
        <w:t xml:space="preserve"> </w:t>
      </w:r>
      <w:r>
        <w:t xml:space="preserve">‘</w:t>
      </w:r>
      <w:r>
        <w:t xml:space="preserve">訓</w:t>
      </w:r>
      <w:r>
        <w:t xml:space="preserve">’</w:t>
      </w:r>
      <w:r>
        <w:t xml:space="preserve"> </w:t>
      </w:r>
      <w:r>
        <w:rPr>
          <w:iCs/>
          <w:i/>
        </w:rPr>
        <w:t xml:space="preserve">kun</w:t>
      </w:r>
      <w:r>
        <w:t xml:space="preserve">), is used in the context of</w:t>
      </w:r>
      <w:r>
        <w:t xml:space="preserve"> </w:t>
      </w:r>
      <w:r>
        <w:rPr>
          <w:rStyle w:val="VerbatimChar"/>
          <w:bCs/>
          <w:b/>
        </w:rPr>
        <w:t xml:space="preserve">Japanese Native Readings (*wakun*)</w:t>
      </w:r>
      <w:r>
        <w:t xml:space="preserve">. Examples from the transcribed data include: the gloss</w:t>
      </w:r>
      <w:r>
        <w:t xml:space="preserve"> </w:t>
      </w:r>
      <w:r>
        <w:rPr>
          <w:rStyle w:val="VerbatimChar"/>
        </w:rPr>
        <w:t xml:space="preserve">訓ヱ</w:t>
      </w:r>
      <w:r>
        <w:t xml:space="preserve"> </w:t>
      </w:r>
      <w:r>
        <w:t xml:space="preserve">for the</w:t>
      </w:r>
      <w:r>
        <w:t xml:space="preserve"> </w:t>
      </w:r>
      <w:r>
        <w:rPr>
          <w:rStyle w:val="VerbatimChar"/>
          <w:bCs/>
          <w:b/>
        </w:rPr>
        <w:t xml:space="preserve">Headword</w:t>
      </w:r>
      <w:r>
        <w:t xml:space="preserve"> </w:t>
      </w:r>
      <w:r>
        <w:t xml:space="preserve">‘</w:t>
      </w:r>
      <w:r>
        <w:t xml:space="preserve">畫</w:t>
      </w:r>
      <w:r>
        <w:t xml:space="preserve">’</w:t>
      </w:r>
      <w:r>
        <w:t xml:space="preserve">;</w:t>
      </w:r>
      <w:r>
        <w:t xml:space="preserve"> </w:t>
      </w:r>
      <w:r>
        <w:rPr>
          <w:rStyle w:val="VerbatimChar"/>
        </w:rPr>
        <w:t xml:space="preserve">凡訓カラスヘミ</w:t>
      </w:r>
      <w:r>
        <w:t xml:space="preserve"> </w:t>
      </w:r>
      <w:r>
        <w:t xml:space="preserve">for</w:t>
      </w:r>
      <w:r>
        <w:t xml:space="preserve"> </w:t>
      </w:r>
      <w:r>
        <w:t xml:space="preserve">‘</w:t>
      </w:r>
      <w:r>
        <w:t xml:space="preserve">蚖</w:t>
      </w:r>
      <w:r>
        <w:t xml:space="preserve">’</w:t>
      </w:r>
      <w:r>
        <w:t xml:space="preserve">;</w:t>
      </w:r>
      <w:r>
        <w:t xml:space="preserve"> </w:t>
      </w:r>
      <w:r>
        <w:rPr>
          <w:rStyle w:val="VerbatimChar"/>
        </w:rPr>
        <w:t xml:space="preserve">一訓コカヒス</w:t>
      </w:r>
      <w:r>
        <w:t xml:space="preserve"> </w:t>
      </w:r>
      <w:r>
        <w:t xml:space="preserve">for</w:t>
      </w:r>
      <w:r>
        <w:t xml:space="preserve"> </w:t>
      </w:r>
      <w:r>
        <w:t xml:space="preserve">‘</w:t>
      </w:r>
      <w:r>
        <w:t xml:space="preserve">蠶</w:t>
      </w:r>
      <w:r>
        <w:t xml:space="preserve">’</w:t>
      </w:r>
      <w:r>
        <w:t xml:space="preserve">; and</w:t>
      </w:r>
      <w:r>
        <w:t xml:space="preserve"> </w:t>
      </w:r>
      <w:r>
        <w:rPr>
          <w:rStyle w:val="VerbatimChar"/>
        </w:rPr>
        <w:t xml:space="preserve">訓イクサ</w:t>
      </w:r>
      <w:r>
        <w:t xml:space="preserve"> </w:t>
      </w:r>
      <w:r>
        <w:t xml:space="preserve">for</w:t>
      </w:r>
      <w:r>
        <w:t xml:space="preserve"> </w:t>
      </w:r>
      <w:r>
        <w:t xml:space="preserve">‘</w:t>
      </w:r>
      <w:r>
        <w:t xml:space="preserve">師</w:t>
      </w:r>
      <w:r>
        <w:t xml:space="preserve">’</w:t>
      </w:r>
      <w:r>
        <w:t xml:space="preserve">.</w:t>
      </w:r>
    </w:p>
    <w:bookmarkEnd w:id="198"/>
    <w:bookmarkStart w:id="199" w:name="Xa831146b76fda37e9a3b9a71057bf2daa579d9d"/>
    <w:p>
      <w:pPr>
        <w:pStyle w:val="Heading3"/>
      </w:pPr>
      <w:r>
        <w:rPr>
          <w:rStyle w:val="SectionNumber"/>
        </w:rPr>
        <w:t xml:space="preserve">18.2.2</w:t>
      </w:r>
      <w:r>
        <w:tab/>
      </w:r>
      <w:r>
        <w:rPr>
          <w:rStyle w:val="VerbatimChar"/>
        </w:rPr>
        <w:t xml:space="preserve">Variant Characters</w:t>
      </w:r>
      <w:r>
        <w:t xml:space="preserve"> </w:t>
      </w:r>
      <w:r>
        <w:t xml:space="preserve">(</w:t>
      </w:r>
      <w:r>
        <w:rPr>
          <w:iCs/>
          <w:i/>
        </w:rPr>
        <w:t xml:space="preserve">itaiji</w:t>
      </w:r>
      <w:r>
        <w:t xml:space="preserve">) (異体字)</w:t>
      </w:r>
    </w:p>
    <w:p>
      <w:pPr>
        <w:pStyle w:val="FirstParagraph"/>
      </w:pPr>
      <w:r>
        <w:t xml:space="preserve">While care has been taken to input</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used as</w:t>
      </w:r>
      <w:r>
        <w:t xml:space="preserve"> </w:t>
      </w:r>
      <w:r>
        <w:rPr>
          <w:rStyle w:val="VerbatimChar"/>
          <w:bCs/>
          <w:b/>
        </w:rPr>
        <w:t xml:space="preserve">Headwords</w:t>
      </w:r>
      <w:r>
        <w:t xml:space="preserve"> </w:t>
      </w:r>
      <w:r>
        <w:t xml:space="preserve">in a form that is faithful to, or closely approximates, their appearance in the original manuscript, the basic policy for</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appearing within the</w:t>
      </w:r>
      <w:r>
        <w:t xml:space="preserve"> </w:t>
      </w:r>
      <w:r>
        <w:rPr>
          <w:rStyle w:val="VerbatimChar"/>
          <w:bCs/>
          <w:b/>
        </w:rPr>
        <w:t xml:space="preserve">Original Glosses</w:t>
      </w:r>
      <w:r>
        <w:t xml:space="preserve"> </w:t>
      </w:r>
      <w:r>
        <w:t xml:space="preserve">is to normalize them to their common or standard forms.</w:t>
      </w:r>
    </w:p>
    <w:p>
      <w:pPr>
        <w:pStyle w:val="BodyText"/>
      </w:pPr>
      <w:r>
        <w:rPr>
          <w:bCs/>
          <w:b/>
        </w:rPr>
        <w:t xml:space="preserve">Examples (Original form → Normalized form):</w:t>
      </w:r>
      <w:r>
        <w:t xml:space="preserve"> </w:t>
      </w:r>
      <w:r>
        <w:t xml:space="preserve">* 𡰱 → 尼</w:t>
      </w:r>
      <w:r>
        <w:t xml:space="preserve"> </w:t>
      </w:r>
      <w:r>
        <w:t xml:space="preserve">* 凢 → 凡</w:t>
      </w:r>
      <w:r>
        <w:t xml:space="preserve"> </w:t>
      </w:r>
      <w:r>
        <w:t xml:space="preserve">* 𠩄 → 所</w:t>
      </w:r>
      <w:r>
        <w:t xml:space="preserve"> </w:t>
      </w:r>
      <w:r>
        <w:t xml:space="preserve">* 𢘻 → 悉</w:t>
      </w:r>
      <w:r>
        <w:t xml:space="preserve"> </w:t>
      </w:r>
      <w:r>
        <w:t xml:space="preserve">* 俻 → 備</w:t>
      </w:r>
    </w:p>
    <w:bookmarkEnd w:id="199"/>
    <w:bookmarkStart w:id="200" w:name="X9ab285c23798c407e9eb556b26fa618ad315249"/>
    <w:p>
      <w:pPr>
        <w:pStyle w:val="Heading3"/>
      </w:pPr>
      <w:r>
        <w:rPr>
          <w:rStyle w:val="SectionNumber"/>
        </w:rPr>
        <w:t xml:space="preserve">18.2.3</w:t>
      </w:r>
      <w:r>
        <w:tab/>
      </w:r>
      <w:r>
        <w:rPr>
          <w:rStyle w:val="VerbatimChar"/>
        </w:rPr>
        <w:t xml:space="preserve">Iteration Marks</w:t>
      </w:r>
      <w:r>
        <w:t xml:space="preserve"> </w:t>
      </w:r>
      <w:r>
        <w:t xml:space="preserve">(踊り字,</w:t>
      </w:r>
      <w:r>
        <w:t xml:space="preserve"> </w:t>
      </w:r>
      <w:r>
        <w:rPr>
          <w:iCs/>
          <w:i/>
        </w:rPr>
        <w:t xml:space="preserve">odoriji</w:t>
      </w:r>
      <w:r>
        <w:t xml:space="preserve">)</w:t>
      </w:r>
    </w:p>
    <w:p>
      <w:pPr>
        <w:pStyle w:val="FirstParagraph"/>
      </w:pPr>
      <w:r>
        <w:t xml:space="preserve">For Kanji</w:t>
      </w:r>
      <w:r>
        <w:t xml:space="preserve"> </w:t>
      </w:r>
      <w:r>
        <w:rPr>
          <w:rStyle w:val="VerbatimChar"/>
          <w:bCs/>
          <w:b/>
        </w:rPr>
        <w:t xml:space="preserve">Iteration Marks</w:t>
      </w:r>
      <w:r>
        <w:t xml:space="preserve"> </w:t>
      </w:r>
      <w:r>
        <w:t xml:space="preserve">(踊り字,</w:t>
      </w:r>
      <w:r>
        <w:t xml:space="preserve"> </w:t>
      </w:r>
      <w:r>
        <w:rPr>
          <w:iCs/>
          <w:i/>
        </w:rPr>
        <w:t xml:space="preserve">odoriji</w:t>
      </w:r>
      <w:r>
        <w:t xml:space="preserve">; also known as 疊字符,</w:t>
      </w:r>
      <w:r>
        <w:t xml:space="preserve"> </w:t>
      </w:r>
      <w:r>
        <w:rPr>
          <w:iCs/>
          <w:i/>
        </w:rPr>
        <w:t xml:space="preserve">diézìfú</w:t>
      </w:r>
      <w:r>
        <w:t xml:space="preserve"> </w:t>
      </w:r>
      <w:r>
        <w:t xml:space="preserve">in Chinese), the mark</w:t>
      </w:r>
      <w:r>
        <w:t xml:space="preserve"> </w:t>
      </w:r>
      <w:r>
        <w:t xml:space="preserve">“</w:t>
      </w:r>
      <w:r>
        <w:t xml:space="preserve">〻</w:t>
      </w:r>
      <w:r>
        <w:t xml:space="preserve">”</w:t>
      </w:r>
      <w:r>
        <w:t xml:space="preserve"> </w:t>
      </w:r>
      <w:r>
        <w:t xml:space="preserve">(NINOMAETEN, U+303B) is used, while</w:t>
      </w:r>
      <w:r>
        <w:t xml:space="preserve"> </w:t>
      </w:r>
      <w:r>
        <w:t xml:space="preserve">“</w:t>
      </w:r>
      <w:r>
        <w:t xml:space="preserve">々</w:t>
      </w:r>
      <w:r>
        <w:t xml:space="preserve">”</w:t>
      </w:r>
      <w:r>
        <w:t xml:space="preserve"> </w:t>
      </w:r>
      <w:r>
        <w:t xml:space="preserve">(DITTO MARK, U+3005) is not.</w:t>
      </w:r>
    </w:p>
    <w:p>
      <w:pPr>
        <w:pStyle w:val="BodyText"/>
      </w:pPr>
      <w:r>
        <w:t xml:space="preserve">For iteration marks in Katakana used for</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the mark</w:t>
      </w:r>
      <w:r>
        <w:t xml:space="preserve"> </w:t>
      </w:r>
      <w:r>
        <w:t xml:space="preserve">“</w:t>
      </w:r>
      <w:r>
        <w:t xml:space="preserve">ヽ</w:t>
      </w:r>
      <w:r>
        <w:t xml:space="preserve">”</w:t>
      </w:r>
      <w:r>
        <w:t xml:space="preserve"> </w:t>
      </w:r>
      <w:r>
        <w:t xml:space="preserve">(KATAKANA ITERATION MARK, U+30FD) is used.</w:t>
      </w:r>
    </w:p>
    <w:p>
      <w:pPr>
        <w:pStyle w:val="BodyText"/>
      </w:pPr>
      <w:r>
        <w:t xml:space="preserve">The marks</w:t>
      </w:r>
      <w:r>
        <w:t xml:space="preserve"> </w:t>
      </w:r>
      <w:r>
        <w:t xml:space="preserve">“</w:t>
      </w:r>
      <w:r>
        <w:t xml:space="preserve">〱</w:t>
      </w:r>
      <w:r>
        <w:t xml:space="preserve">”</w:t>
      </w:r>
      <w:r>
        <w:t xml:space="preserve"> </w:t>
      </w:r>
      <w:r>
        <w:t xml:space="preserve">(KUNOJITEN, U+3031),</w:t>
      </w:r>
      <w:r>
        <w:t xml:space="preserve"> </w:t>
      </w:r>
      <w:r>
        <w:t xml:space="preserve">“</w:t>
      </w:r>
      <w:r>
        <w:t xml:space="preserve">〳</w:t>
      </w:r>
      <w:r>
        <w:t xml:space="preserve">”</w:t>
      </w:r>
      <w:r>
        <w:t xml:space="preserve"> </w:t>
      </w:r>
      <w:r>
        <w:t xml:space="preserve">(KUNOJITEN WITH VOICED SOUND MARK, U+3033), and</w:t>
      </w:r>
      <w:r>
        <w:t xml:space="preserve"> </w:t>
      </w:r>
      <w:r>
        <w:t xml:space="preserve">“</w:t>
      </w:r>
      <w:r>
        <w:t xml:space="preserve">〵</w:t>
      </w:r>
      <w:r>
        <w:t xml:space="preserve">”</w:t>
      </w:r>
      <w:r>
        <w:t xml:space="preserve"> </w:t>
      </w:r>
      <w:r>
        <w:t xml:space="preserve">(KUNOJITEN WITH SEMI-VOICED SOUND MARK, U+3035) are not used; instead, the KATAKANA ITERATION MARK is repeated, such as</w:t>
      </w:r>
      <w:r>
        <w:t xml:space="preserve"> </w:t>
      </w:r>
      <w:r>
        <w:t xml:space="preserve">“</w:t>
      </w:r>
      <w:r>
        <w:t xml:space="preserve">ヽヽ</w:t>
      </w:r>
      <w:r>
        <w:t xml:space="preserve">”</w:t>
      </w:r>
      <w:r>
        <w:t xml:space="preserve">.</w:t>
      </w:r>
    </w:p>
    <w:p>
      <w:pPr>
        <w:pStyle w:val="BodyText"/>
      </w:pPr>
      <w:r>
        <w:rPr>
          <w:bCs/>
          <w:b/>
        </w:rPr>
        <w:t xml:space="preserve">Examples:</w:t>
      </w:r>
      <w:r>
        <w:t xml:space="preserve"> </w:t>
      </w:r>
      <w:r>
        <w:t xml:space="preserve">* Example in a</w:t>
      </w:r>
      <w:r>
        <w:t xml:space="preserve"> </w:t>
      </w:r>
      <w:r>
        <w:rPr>
          <w:rStyle w:val="VerbatimChar"/>
          <w:bCs/>
          <w:b/>
        </w:rPr>
        <w:t xml:space="preserve">Headword</w:t>
      </w:r>
      <w:r>
        <w:t xml:space="preserve">: 曽／ー（祖）／〻（母）</w:t>
      </w:r>
      <w:r>
        <w:t xml:space="preserve"> </w:t>
      </w:r>
      <w:r>
        <w:t xml:space="preserve">* Example in a</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陽　アタヽカナリ</w:t>
      </w:r>
      <w:r>
        <w:t xml:space="preserve"> </w:t>
      </w:r>
      <w:r>
        <w:t xml:space="preserve">* Example in a</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倍　マスヽヽ</w:t>
      </w:r>
    </w:p>
    <w:bookmarkEnd w:id="200"/>
    <w:bookmarkStart w:id="201" w:name="X5f70079eb0b8c319197f982756ba540964af419"/>
    <w:p>
      <w:pPr>
        <w:pStyle w:val="Heading3"/>
      </w:pPr>
      <w:r>
        <w:rPr>
          <w:rStyle w:val="SectionNumber"/>
        </w:rPr>
        <w:t xml:space="preserve">18.2.4</w:t>
      </w:r>
      <w:r>
        <w:tab/>
      </w:r>
      <w:r>
        <w:rPr>
          <w:rStyle w:val="VerbatimChar"/>
        </w:rPr>
        <w:t xml:space="preserve">Substitution Marks</w:t>
      </w:r>
      <w:r>
        <w:t xml:space="preserve"> </w:t>
      </w:r>
      <w:r>
        <w:t xml:space="preserve">(代用符号,</w:t>
      </w:r>
      <w:r>
        <w:t xml:space="preserve"> </w:t>
      </w:r>
      <w:r>
        <w:rPr>
          <w:iCs/>
          <w:i/>
        </w:rPr>
        <w:t xml:space="preserve">daiyō fugō</w:t>
      </w:r>
      <w:r>
        <w:t xml:space="preserve">)</w:t>
      </w:r>
    </w:p>
    <w:p>
      <w:pPr>
        <w:pStyle w:val="FirstParagraph"/>
      </w:pPr>
      <w:r>
        <w:t xml:space="preserve">The</w:t>
      </w:r>
      <w:r>
        <w:t xml:space="preserve"> </w:t>
      </w:r>
      <w:r>
        <w:rPr>
          <w:rStyle w:val="VerbatimChar"/>
          <w:bCs/>
          <w:b/>
        </w:rPr>
        <w:t xml:space="preserve">Substitution Marks</w:t>
      </w:r>
      <w:r>
        <w:t xml:space="preserve"> </w:t>
      </w:r>
      <w:r>
        <w:t xml:space="preserve">(代用符号,</w:t>
      </w:r>
      <w:r>
        <w:t xml:space="preserve"> </w:t>
      </w:r>
      <w:r>
        <w:rPr>
          <w:iCs/>
          <w:i/>
        </w:rPr>
        <w:t xml:space="preserve">daiyō fugō</w:t>
      </w:r>
      <w:r>
        <w:t xml:space="preserve">), appearing as</w:t>
      </w:r>
      <w:r>
        <w:t xml:space="preserve"> </w:t>
      </w:r>
      <w:r>
        <w:t xml:space="preserve">‘</w:t>
      </w:r>
      <w:r>
        <w:t xml:space="preserve">｜</w:t>
      </w:r>
      <w:r>
        <w:t xml:space="preserve">’</w:t>
      </w:r>
      <w:r>
        <w:t xml:space="preserve"> </w:t>
      </w:r>
      <w:r>
        <w:t xml:space="preserve">in</w:t>
      </w:r>
      <w:r>
        <w:t xml:space="preserve"> </w:t>
      </w:r>
      <w:r>
        <w:rPr>
          <w:rStyle w:val="VerbatimChar"/>
          <w:bCs/>
          <w:b/>
        </w:rPr>
        <w:t xml:space="preserve">Headwords</w:t>
      </w:r>
      <w:r>
        <w:t xml:space="preserve"> </w:t>
      </w:r>
      <w:r>
        <w:t xml:space="preserve">that are compound words (熟語,</w:t>
      </w:r>
      <w:r>
        <w:t xml:space="preserve"> </w:t>
      </w:r>
      <w:r>
        <w:rPr>
          <w:iCs/>
          <w:i/>
        </w:rPr>
        <w:t xml:space="preserve">jukugo</w:t>
      </w:r>
      <w:r>
        <w:t xml:space="preserve">), is a symbol used when substituting for an annotated character (被注字,</w:t>
      </w:r>
      <w:r>
        <w:t xml:space="preserve"> </w:t>
      </w:r>
      <w:r>
        <w:rPr>
          <w:iCs/>
          <w:i/>
        </w:rPr>
        <w:t xml:space="preserve">hichūji</w:t>
      </w:r>
      <w:r>
        <w:t xml:space="preserve">; also 被釋字,</w:t>
      </w:r>
      <w:r>
        <w:t xml:space="preserve"> </w:t>
      </w:r>
      <w:r>
        <w:rPr>
          <w:iCs/>
          <w:i/>
        </w:rPr>
        <w:t xml:space="preserve">hishakuji</w:t>
      </w:r>
      <w:r>
        <w:t xml:space="preserve">; i.e., the target character of an annotation) or a previously listed</w:t>
      </w:r>
      <w:r>
        <w:t xml:space="preserve"> </w:t>
      </w:r>
      <w:r>
        <w:rPr>
          <w:rStyle w:val="VerbatimChar"/>
          <w:bCs/>
          <w:b/>
        </w:rPr>
        <w:t xml:space="preserve">Headword</w:t>
      </w:r>
      <w:r>
        <w:t xml:space="preserve">. In the data, this</w:t>
      </w:r>
      <w:r>
        <w:t xml:space="preserve"> </w:t>
      </w:r>
      <w:r>
        <w:t xml:space="preserve">‘</w:t>
      </w:r>
      <w:r>
        <w:t xml:space="preserve">｜</w:t>
      </w:r>
      <w:r>
        <w:t xml:space="preserve">’</w:t>
      </w:r>
      <w:r>
        <w:t xml:space="preserve"> </w:t>
      </w:r>
      <w:r>
        <w:t xml:space="preserve">mark is input using</w:t>
      </w:r>
      <w:r>
        <w:t xml:space="preserve"> </w:t>
      </w:r>
      <w:r>
        <w:t xml:space="preserve">‘</w:t>
      </w:r>
      <w:r>
        <w:t xml:space="preserve">ー</w:t>
      </w:r>
      <w:r>
        <w:t xml:space="preserve">’</w:t>
      </w:r>
      <w:r>
        <w:t xml:space="preserve"> </w:t>
      </w:r>
      <w:r>
        <w:t xml:space="preserve">(CHOONPU - long vowel mark, U+30FC), and the actual character it represents is then input within full-width parentheses</w:t>
      </w:r>
      <w:r>
        <w:t xml:space="preserve"> </w:t>
      </w:r>
      <w:r>
        <w:t xml:space="preserve">‘</w:t>
      </w:r>
      <w:r>
        <w:t xml:space="preserve">（）</w:t>
      </w:r>
      <w:r>
        <w:t xml:space="preserve">’</w:t>
      </w:r>
      <w:r>
        <w:t xml:space="preserve">.</w:t>
      </w:r>
    </w:p>
    <w:p>
      <w:pPr>
        <w:pStyle w:val="BodyText"/>
      </w:pPr>
      <w:r>
        <w:t xml:space="preserve">When the symbol</w:t>
      </w:r>
      <w:r>
        <w:t xml:space="preserve"> </w:t>
      </w:r>
      <w:r>
        <w:t xml:space="preserve">‘</w:t>
      </w:r>
      <w:r>
        <w:t xml:space="preserve">｜</w:t>
      </w:r>
      <w:r>
        <w:t xml:space="preserve">’</w:t>
      </w:r>
      <w:r>
        <w:t xml:space="preserve"> </w:t>
      </w:r>
      <w:r>
        <w:t xml:space="preserve">is used within the</w:t>
      </w:r>
      <w:r>
        <w:t xml:space="preserve"> </w:t>
      </w:r>
      <w:r>
        <w:rPr>
          <w:rStyle w:val="VerbatimChar"/>
          <w:bCs/>
          <w:b/>
        </w:rPr>
        <w:t xml:space="preserve">Original Glosses</w:t>
      </w:r>
      <w:r>
        <w:t xml:space="preserve"> </w:t>
      </w:r>
      <w:r>
        <w:t xml:space="preserve">to indicate the same character as the</w:t>
      </w:r>
      <w:r>
        <w:t xml:space="preserve"> </w:t>
      </w:r>
      <w:r>
        <w:rPr>
          <w:rStyle w:val="VerbatimChar"/>
          <w:bCs/>
          <w:b/>
        </w:rPr>
        <w:t xml:space="preserve">Headword</w:t>
      </w:r>
      <w:r>
        <w:t xml:space="preserve">, it is simply input as</w:t>
      </w:r>
      <w:r>
        <w:t xml:space="preserve"> </w:t>
      </w:r>
      <w:r>
        <w:t xml:space="preserve">‘</w:t>
      </w:r>
      <w:r>
        <w:t xml:space="preserve">ー</w:t>
      </w:r>
      <w:r>
        <w:t xml:space="preserve">’</w:t>
      </w:r>
      <w:r>
        <w:t xml:space="preserve"> </w:t>
      </w:r>
      <w:r>
        <w:t xml:space="preserve">(CHOONPU - long vowel mark, U+30FC), without an accompanying indication of the character it represents.</w:t>
      </w:r>
    </w:p>
    <w:p>
      <w:pPr>
        <w:pStyle w:val="BodyText"/>
      </w:pPr>
      <w:r>
        <w:rPr>
          <w:bCs/>
          <w:b/>
        </w:rPr>
        <w:t xml:space="preserve">Examples:</w:t>
      </w:r>
      <w:r>
        <w:t xml:space="preserve"> </w:t>
      </w:r>
      <w:r>
        <w:t xml:space="preserve">* Examples in</w:t>
      </w:r>
      <w:r>
        <w:t xml:space="preserve"> </w:t>
      </w:r>
      <w:r>
        <w:rPr>
          <w:rStyle w:val="VerbatimChar"/>
          <w:bCs/>
          <w:b/>
        </w:rPr>
        <w:t xml:space="preserve">Headwords</w:t>
      </w:r>
      <w:r>
        <w:t xml:space="preserve">: 五／ー（人） (here</w:t>
      </w:r>
      <w:r>
        <w:t xml:space="preserve"> </w:t>
      </w:r>
      <w:r>
        <w:t xml:space="preserve">‘</w:t>
      </w:r>
      <w:r>
        <w:t xml:space="preserve">ー</w:t>
      </w:r>
      <w:r>
        <w:t xml:space="preserve">’</w:t>
      </w:r>
      <w:r>
        <w:t xml:space="preserve"> </w:t>
      </w:r>
      <w:r>
        <w:t xml:space="preserve">substitutes for</w:t>
      </w:r>
      <w:r>
        <w:t xml:space="preserve"> </w:t>
      </w:r>
      <w:r>
        <w:t xml:space="preserve">‘</w:t>
      </w:r>
      <w:r>
        <w:t xml:space="preserve">人</w:t>
      </w:r>
      <w:r>
        <w:t xml:space="preserve">’</w:t>
      </w:r>
      <w:r>
        <w:t xml:space="preserve">), …, 真／人, 漁／ー（人）, 海／ー（人）</w:t>
      </w:r>
      <w:r>
        <w:t xml:space="preserve"> </w:t>
      </w:r>
      <w:r>
        <w:t xml:space="preserve">* Example in</w:t>
      </w:r>
      <w:r>
        <w:t xml:space="preserve"> </w:t>
      </w:r>
      <w:r>
        <w:rPr>
          <w:rStyle w:val="VerbatimChar"/>
          <w:bCs/>
          <w:b/>
        </w:rPr>
        <w:t xml:space="preserve">Original Glosses</w:t>
      </w:r>
      <w:r>
        <w:t xml:space="preserve">: 鄲 邯ー縣名 (For the</w:t>
      </w:r>
      <w:r>
        <w:t xml:space="preserve"> </w:t>
      </w:r>
      <w:r>
        <w:rPr>
          <w:rStyle w:val="VerbatimChar"/>
          <w:bCs/>
          <w:b/>
        </w:rPr>
        <w:t xml:space="preserve">Headword</w:t>
      </w:r>
      <w:r>
        <w:t xml:space="preserve"> </w:t>
      </w:r>
      <w:r>
        <w:t xml:space="preserve">‘</w:t>
      </w:r>
      <w:r>
        <w:t xml:space="preserve">鄲</w:t>
      </w:r>
      <w:r>
        <w:t xml:space="preserve">’</w:t>
      </w:r>
      <w:r>
        <w:t xml:space="preserve">, the gloss</w:t>
      </w:r>
      <w:r>
        <w:t xml:space="preserve"> </w:t>
      </w:r>
      <w:r>
        <w:t xml:space="preserve">“</w:t>
      </w:r>
      <w:r>
        <w:t xml:space="preserve">邯ー縣名</w:t>
      </w:r>
      <w:r>
        <w:t xml:space="preserve">”</w:t>
      </w:r>
      <w:r>
        <w:t xml:space="preserve"> </w:t>
      </w:r>
      <w:r>
        <w:t xml:space="preserve">indicates that</w:t>
      </w:r>
      <w:r>
        <w:t xml:space="preserve"> </w:t>
      </w:r>
      <w:r>
        <w:t xml:space="preserve">“</w:t>
      </w:r>
      <w:r>
        <w:t xml:space="preserve">邯ー</w:t>
      </w:r>
      <w:r>
        <w:t xml:space="preserve">”</w:t>
      </w:r>
      <w:r>
        <w:t xml:space="preserve"> </w:t>
      </w:r>
      <w:r>
        <w:t xml:space="preserve">refers to</w:t>
      </w:r>
      <w:r>
        <w:t xml:space="preserve"> </w:t>
      </w:r>
      <w:r>
        <w:t xml:space="preserve">“</w:t>
      </w:r>
      <w:r>
        <w:t xml:space="preserve">邯鄲</w:t>
      </w:r>
      <w:r>
        <w:t xml:space="preserve">”</w:t>
      </w:r>
      <w:r>
        <w:t xml:space="preserve">, which is a county name.)</w:t>
      </w:r>
    </w:p>
    <w:bookmarkEnd w:id="201"/>
    <w:bookmarkStart w:id="202" w:name="X122f20ce0e20082083e634847a992162755cd22"/>
    <w:p>
      <w:pPr>
        <w:pStyle w:val="Heading3"/>
      </w:pPr>
      <w:r>
        <w:rPr>
          <w:rStyle w:val="SectionNumber"/>
        </w:rPr>
        <w:t xml:space="preserve">18.2.5</w:t>
      </w:r>
      <w:r>
        <w:tab/>
      </w:r>
      <w:r>
        <w:rPr>
          <w:rStyle w:val="VerbatimChar"/>
        </w:rPr>
        <w:t xml:space="preserve">Compound Marks</w:t>
      </w:r>
      <w:r>
        <w:t xml:space="preserve"> </w:t>
      </w:r>
      <w:r>
        <w:t xml:space="preserve">(合符,</w:t>
      </w:r>
      <w:r>
        <w:t xml:space="preserve"> </w:t>
      </w:r>
      <w:r>
        <w:rPr>
          <w:iCs/>
          <w:i/>
        </w:rPr>
        <w:t xml:space="preserve">gōfu</w:t>
      </w:r>
      <w:r>
        <w:t xml:space="preserve">)</w:t>
      </w:r>
    </w:p>
    <w:p>
      <w:pPr>
        <w:pStyle w:val="FirstParagraph"/>
      </w:pPr>
      <w:r>
        <w:t xml:space="preserve">A</w:t>
      </w:r>
      <w:r>
        <w:t xml:space="preserve"> </w:t>
      </w:r>
      <w:r>
        <w:rPr>
          <w:rStyle w:val="VerbatimChar"/>
          <w:bCs/>
          <w:b/>
        </w:rPr>
        <w:t xml:space="preserve">Compound Mark</w:t>
      </w:r>
      <w:r>
        <w:t xml:space="preserve"> </w:t>
      </w:r>
      <w:r>
        <w:t xml:space="preserve">(合符,</w:t>
      </w:r>
      <w:r>
        <w:t xml:space="preserve"> </w:t>
      </w:r>
      <w:r>
        <w:rPr>
          <w:iCs/>
          <w:i/>
        </w:rPr>
        <w:t xml:space="preserve">gōfu</w:t>
      </w:r>
      <w:r>
        <w:t xml:space="preserve">; also known as 連字符,</w:t>
      </w:r>
      <w:r>
        <w:t xml:space="preserve"> </w:t>
      </w:r>
      <w:r>
        <w:rPr>
          <w:iCs/>
          <w:i/>
        </w:rPr>
        <w:t xml:space="preserve">liánzìfú</w:t>
      </w:r>
      <w:r>
        <w:t xml:space="preserve"> </w:t>
      </w:r>
      <w:r>
        <w:t xml:space="preserve">in some contexts, though originally a vertical linking line in the manuscript) is represented in this dataset by a hyphen-minus (</w:t>
      </w:r>
      <w:r>
        <w:t xml:space="preserve">‘</w:t>
      </w:r>
      <w:r>
        <w:t xml:space="preserve">-</w:t>
      </w:r>
      <w:r>
        <w:t xml:space="preserve">’</w:t>
      </w:r>
      <w:r>
        <w:t xml:space="preserve">, U+002D). Examples of its use are relatively rare.</w:t>
      </w:r>
    </w:p>
    <w:p>
      <w:pPr>
        <w:pStyle w:val="BodyText"/>
      </w:pPr>
      <w:r>
        <w:rPr>
          <w:bCs/>
          <w:b/>
        </w:rPr>
        <w:t xml:space="preserve">Example:</w:t>
      </w:r>
      <w:r>
        <w:t xml:space="preserve"> </w:t>
      </w:r>
      <w:r>
        <w:t xml:space="preserve">*</w:t>
      </w:r>
      <w:r>
        <w:t xml:space="preserve"> </w:t>
      </w:r>
      <w:r>
        <w:rPr>
          <w:rStyle w:val="VerbatimChar"/>
          <w:bCs/>
          <w:b/>
        </w:rPr>
        <w:t xml:space="preserve">Headword</w:t>
      </w:r>
      <w:r>
        <w:t xml:space="preserve">: 媊</w:t>
      </w:r>
      <w:r>
        <w:t xml:space="preserve"> </w:t>
      </w:r>
      <w:r>
        <w:rPr>
          <w:rStyle w:val="VerbatimChar"/>
          <w:bCs/>
          <w:b/>
        </w:rPr>
        <w:t xml:space="preserve">Original Glosses</w:t>
      </w:r>
      <w:r>
        <w:t xml:space="preserve"> </w:t>
      </w:r>
      <w:r>
        <w:t xml:space="preserve">(excerpt): 箭(R)貲二音　又煎(L)音　太-白-星</w:t>
      </w:r>
    </w:p>
    <w:p>
      <w:pPr>
        <w:pStyle w:val="BodyText"/>
      </w:pPr>
      <w:r>
        <w:t xml:space="preserve">In the</w:t>
      </w:r>
      <w:r>
        <w:t xml:space="preserve"> </w:t>
      </w:r>
      <w:r>
        <w:rPr>
          <w:rStyle w:val="VerbatimChar"/>
          <w:bCs/>
          <w:b/>
        </w:rPr>
        <w:t xml:space="preserve">Original Glosses</w:t>
      </w:r>
      <w:r>
        <w:t xml:space="preserve"> </w:t>
      </w:r>
      <w:r>
        <w:t xml:space="preserve">for the</w:t>
      </w:r>
      <w:r>
        <w:t xml:space="preserve"> </w:t>
      </w:r>
      <w:r>
        <w:rPr>
          <w:rStyle w:val="VerbatimChar"/>
          <w:bCs/>
          <w:b/>
        </w:rPr>
        <w:t xml:space="preserve">Headword</w:t>
      </w:r>
      <w:r>
        <w:t xml:space="preserve"> </w:t>
      </w:r>
      <w:r>
        <w:t xml:space="preserve">‘</w:t>
      </w:r>
      <w:r>
        <w:t xml:space="preserve">媊</w:t>
      </w:r>
      <w:r>
        <w:t xml:space="preserve">’</w:t>
      </w:r>
      <w:r>
        <w:t xml:space="preserve">, the notation</w:t>
      </w:r>
      <w:r>
        <w:t xml:space="preserve"> </w:t>
      </w:r>
      <w:r>
        <w:t xml:space="preserve">“</w:t>
      </w:r>
      <w:r>
        <w:t xml:space="preserve">太-白-星</w:t>
      </w:r>
      <w:r>
        <w:t xml:space="preserve">”</w:t>
      </w:r>
      <w:r>
        <w:t xml:space="preserve"> </w:t>
      </w:r>
      <w:r>
        <w:t xml:space="preserve">appears at the end. In this context, the hyphens function as</w:t>
      </w:r>
      <w:r>
        <w:t xml:space="preserve"> </w:t>
      </w:r>
      <w:r>
        <w:rPr>
          <w:rStyle w:val="VerbatimChar"/>
          <w:bCs/>
          <w:b/>
        </w:rPr>
        <w:t xml:space="preserve">Compound Marks</w:t>
      </w:r>
      <w:r>
        <w:t xml:space="preserve">, linking the characters</w:t>
      </w:r>
      <w:r>
        <w:t xml:space="preserve"> </w:t>
      </w:r>
      <w:r>
        <w:t xml:space="preserve">‘</w:t>
      </w:r>
      <w:r>
        <w:t xml:space="preserve">太</w:t>
      </w:r>
      <w:r>
        <w:t xml:space="preserve">’</w:t>
      </w:r>
      <w:r>
        <w:t xml:space="preserve">,</w:t>
      </w:r>
      <w:r>
        <w:t xml:space="preserve"> </w:t>
      </w:r>
      <w:r>
        <w:t xml:space="preserve">‘</w:t>
      </w:r>
      <w:r>
        <w:t xml:space="preserve">白</w:t>
      </w:r>
      <w:r>
        <w:t xml:space="preserve">’</w:t>
      </w:r>
      <w:r>
        <w:t xml:space="preserve">, and</w:t>
      </w:r>
      <w:r>
        <w:t xml:space="preserve"> </w:t>
      </w:r>
      <w:r>
        <w:t xml:space="preserve">‘</w:t>
      </w:r>
      <w:r>
        <w:t xml:space="preserve">星</w:t>
      </w:r>
      <w:r>
        <w:t xml:space="preserve">’</w:t>
      </w:r>
      <w:r>
        <w:t xml:space="preserve"> </w:t>
      </w:r>
      <w:r>
        <w:t xml:space="preserve">to form the term</w:t>
      </w:r>
      <w:r>
        <w:t xml:space="preserve"> </w:t>
      </w:r>
      <w:r>
        <w:t xml:space="preserve">“</w:t>
      </w:r>
      <w:r>
        <w:t xml:space="preserve">太白星</w:t>
      </w:r>
      <w:r>
        <w:t xml:space="preserve">”</w:t>
      </w:r>
      <w:r>
        <w:t xml:space="preserve"> </w:t>
      </w:r>
      <w:r>
        <w:t xml:space="preserve">(</w:t>
      </w:r>
      <w:r>
        <w:rPr>
          <w:iCs/>
          <w:i/>
        </w:rPr>
        <w:t xml:space="preserve">Tàibáixīng</w:t>
      </w:r>
      <w:r>
        <w:t xml:space="preserve">), which refers to the planet Venus.</w:t>
      </w:r>
    </w:p>
    <w:bookmarkEnd w:id="202"/>
    <w:bookmarkEnd w:id="203"/>
    <w:bookmarkStart w:id="217" w:name="X9cb534afcf237761f5b0ce10230510f9462533f"/>
    <w:p>
      <w:pPr>
        <w:pStyle w:val="Heading2"/>
      </w:pPr>
      <w:r>
        <w:rPr>
          <w:rStyle w:val="SectionNumber"/>
        </w:rPr>
        <w:t xml:space="preserve">18.3</w:t>
      </w:r>
      <w:r>
        <w:tab/>
      </w:r>
      <w:r>
        <w:rPr>
          <w:rStyle w:val="VerbatimChar"/>
        </w:rPr>
        <w:t xml:space="preserve">Additional Notations and Layout Features</w:t>
      </w:r>
    </w:p>
    <w:p>
      <w:pPr>
        <w:pStyle w:val="FirstParagraph"/>
      </w:pPr>
      <w:r>
        <w:t xml:space="preserve">Finally, this section addresses various issues related to additional notations and layout features found in the</w:t>
      </w:r>
      <w:r>
        <w:t xml:space="preserve"> </w:t>
      </w:r>
      <w:r>
        <w:rPr>
          <w:iCs/>
          <w:i/>
        </w:rPr>
        <w:t xml:space="preserve">Myōgishō</w:t>
      </w:r>
      <w:r>
        <w:t xml:space="preserve">.</w:t>
      </w:r>
      <w:r>
        <w:t xml:space="preserve"> </w:t>
      </w:r>
      <w:r>
        <w:t xml:space="preserve">If using the</w:t>
      </w:r>
      <w:r>
        <w:t xml:space="preserve"> </w:t>
      </w:r>
      <w:r>
        <w:rPr>
          <w:iCs/>
          <w:i/>
        </w:rPr>
        <w:t xml:space="preserve">Myōgishō</w:t>
      </w:r>
      <w:r>
        <w:t xml:space="preserve"> </w:t>
      </w:r>
      <w:r>
        <w:t xml:space="preserve">as a resource for the historical phonology or lexicology of Japanese, it is particularly important to carefully read the explanations regarding</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voiced sound marks (濁点,</w:t>
      </w:r>
      <w:r>
        <w:t xml:space="preserve"> </w:t>
      </w:r>
      <w:r>
        <w:rPr>
          <w:iCs/>
          <w:i/>
        </w:rPr>
        <w:t xml:space="preserve">dakuten</w:t>
      </w:r>
      <w:r>
        <w:t xml:space="preserve">), and nasal sound symbols.</w:t>
      </w:r>
    </w:p>
    <w:bookmarkStart w:id="204" w:name="X406537d0f2d5c3159a3ed6360aa88adde69c818"/>
    <w:p>
      <w:pPr>
        <w:pStyle w:val="Heading3"/>
      </w:pPr>
      <w:r>
        <w:rPr>
          <w:rStyle w:val="SectionNumber"/>
        </w:rPr>
        <w:t xml:space="preserve">18.3.1</w:t>
      </w:r>
      <w:r>
        <w:tab/>
      </w:r>
      <w:r>
        <w:rPr>
          <w:rStyle w:val="VerbatimChar"/>
          <w:bCs/>
          <w:b/>
        </w:rPr>
        <w:t xml:space="preserve">Interlinear Notes</w:t>
      </w:r>
      <w:r>
        <w:t xml:space="preserve"> </w:t>
      </w:r>
      <w:r>
        <w:t xml:space="preserve">(割注,</w:t>
      </w:r>
      <w:r>
        <w:t xml:space="preserve"> </w:t>
      </w:r>
      <w:r>
        <w:rPr>
          <w:iCs/>
          <w:i/>
        </w:rPr>
        <w:t xml:space="preserve">warichū</w:t>
      </w:r>
      <w:r>
        <w:t xml:space="preserve">)</w:t>
      </w:r>
    </w:p>
    <w:p>
      <w:pPr>
        <w:pStyle w:val="FirstParagraph"/>
      </w:pPr>
      <w:r>
        <w:t xml:space="preserve">The basic form is</w:t>
      </w:r>
      <w:r>
        <w:t xml:space="preserve"> </w:t>
      </w:r>
      <w:r>
        <w:rPr>
          <w:iCs/>
          <w:i/>
        </w:rPr>
        <w:t xml:space="preserve">warichū sōgyō</w:t>
      </w:r>
      <w:r>
        <w:t xml:space="preserve"> </w:t>
      </w:r>
      <w:r>
        <w:t xml:space="preserve">(割注双行; meaning</w:t>
      </w:r>
      <w:r>
        <w:t xml:space="preserve"> </w:t>
      </w:r>
      <w:r>
        <w:t xml:space="preserve">“</w:t>
      </w:r>
      <w:r>
        <w:t xml:space="preserve">small character definition in two lines,</w:t>
      </w:r>
      <w:r>
        <w:t xml:space="preserve">”</w:t>
      </w:r>
      <w:r>
        <w:t xml:space="preserve"> </w:t>
      </w:r>
      <w:r>
        <w:t xml:space="preserve">comparable to 雙行夾注,</w:t>
      </w:r>
      <w:r>
        <w:t xml:space="preserve"> </w:t>
      </w:r>
      <w:r>
        <w:rPr>
          <w:iCs/>
          <w:i/>
        </w:rPr>
        <w:t xml:space="preserve">shuāngháng jiāzhù</w:t>
      </w:r>
      <w:r>
        <w:t xml:space="preserve"> </w:t>
      </w:r>
      <w:r>
        <w:t xml:space="preserve">in Chinese contexts), which are transcribed from right to left according to their original appearance.</w:t>
      </w:r>
      <w:r>
        <w:t xml:space="preserve"> </w:t>
      </w:r>
      <w:r>
        <w:t xml:space="preserve">If an interlinear note extends to three lines, the part judged to be an addition is transcribed last.</w:t>
      </w:r>
    </w:p>
    <w:bookmarkEnd w:id="204"/>
    <w:bookmarkStart w:id="205" w:name="X2b0b0cb02cdf917b84439022ae7b4c03a70d7d2"/>
    <w:p>
      <w:pPr>
        <w:pStyle w:val="Heading3"/>
      </w:pPr>
      <w:r>
        <w:rPr>
          <w:rStyle w:val="SectionNumber"/>
        </w:rPr>
        <w:t xml:space="preserve">18.3.2</w:t>
      </w:r>
      <w:r>
        <w:tab/>
      </w:r>
      <w:r>
        <w:t xml:space="preserve">Variations in the Size of Characters within</w:t>
      </w:r>
      <w:r>
        <w:t xml:space="preserve"> </w:t>
      </w:r>
      <w:r>
        <w:rPr>
          <w:rStyle w:val="VerbatimChar"/>
        </w:rPr>
        <w:t xml:space="preserve">Original Glosses</w:t>
      </w:r>
    </w:p>
    <w:p>
      <w:pPr>
        <w:pStyle w:val="FirstParagraph"/>
      </w:pPr>
      <w:r>
        <w:t xml:space="preserve">There are rare instances where a character within the</w:t>
      </w:r>
      <w:r>
        <w:t xml:space="preserve"> </w:t>
      </w:r>
      <w:r>
        <w:rPr>
          <w:rStyle w:val="VerbatimChar"/>
          <w:bCs/>
          <w:b/>
        </w:rPr>
        <w:t xml:space="preserve">Original Glosses</w:t>
      </w:r>
      <w:r>
        <w:t xml:space="preserve"> </w:t>
      </w:r>
      <w:r>
        <w:t xml:space="preserve">is mistakenly written in a large size, leading to potential confusion with a</w:t>
      </w:r>
      <w:r>
        <w:t xml:space="preserve"> </w:t>
      </w:r>
      <w:r>
        <w:rPr>
          <w:rStyle w:val="VerbatimChar"/>
          <w:bCs/>
          <w:b/>
        </w:rPr>
        <w:t xml:space="preserve">Headword</w:t>
      </w:r>
      <w:r>
        <w:t xml:space="preserve">.</w:t>
      </w:r>
    </w:p>
    <w:p>
      <w:pPr>
        <w:pStyle w:val="BodyText"/>
      </w:pPr>
      <w:r>
        <w:rPr>
          <w:bCs/>
          <w:b/>
        </w:rPr>
        <w:t xml:space="preserve">Example:</w:t>
      </w:r>
      <w:r>
        <w:t xml:space="preserve"> </w:t>
      </w:r>
      <w:r>
        <w:t xml:space="preserve">*</w:t>
      </w:r>
      <w:r>
        <w:t xml:space="preserve"> </w:t>
      </w:r>
      <w:r>
        <w:rPr>
          <w:rStyle w:val="VerbatimChar"/>
        </w:rPr>
        <w:t xml:space="preserve">hanzi_entry</w:t>
      </w:r>
      <w:r>
        <w:t xml:space="preserve">: 憙</w:t>
      </w:r>
      <w:r>
        <w:t xml:space="preserve"> </w:t>
      </w:r>
      <w:r>
        <w:t xml:space="preserve">*</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音喜（L-H）　又嬉　コノム（LLH）　喜「注也」　ネカフ (further glosses omitted)</w:t>
      </w:r>
    </w:p>
    <w:p>
      <w:pPr>
        <w:pStyle w:val="BodyText"/>
      </w:pPr>
      <w:r>
        <w:t xml:space="preserve">In this example, following the</w:t>
      </w:r>
      <w:r>
        <w:t xml:space="preserve"> </w:t>
      </w:r>
      <w:r>
        <w:rPr>
          <w:rStyle w:val="VerbatimChar"/>
          <w:bCs/>
          <w:b/>
        </w:rPr>
        <w:t xml:space="preserve">Headword</w:t>
      </w:r>
      <w:r>
        <w:t xml:space="preserve"> </w:t>
      </w:r>
      <w:r>
        <w:t xml:space="preserve">‘</w:t>
      </w:r>
      <w:r>
        <w:t xml:space="preserve">憙</w:t>
      </w:r>
      <w:r>
        <w:t xml:space="preserve">’</w:t>
      </w:r>
      <w:r>
        <w:t xml:space="preserve">, the</w:t>
      </w:r>
      <w:r>
        <w:t xml:space="preserve"> </w:t>
      </w:r>
      <w:r>
        <w:rPr>
          <w:rStyle w:val="VerbatimChar"/>
          <w:bCs/>
          <w:b/>
        </w:rPr>
        <w:t xml:space="preserve">Original Glosses</w:t>
      </w:r>
      <w:r>
        <w:t xml:space="preserve"> </w:t>
      </w:r>
      <w:r>
        <w:t xml:space="preserve">provide a</w:t>
      </w:r>
      <w:r>
        <w:t xml:space="preserve"> </w:t>
      </w:r>
      <w:r>
        <w:rPr>
          <w:rStyle w:val="VerbatimChar"/>
          <w:bCs/>
          <w:b/>
        </w:rPr>
        <w:t xml:space="preserve">Phonetic Gloss</w:t>
      </w:r>
      <w:r>
        <w:t xml:space="preserve">, a</w:t>
      </w:r>
      <w:r>
        <w:t xml:space="preserve"> </w:t>
      </w:r>
      <w:r>
        <w:rPr>
          <w:rStyle w:val="VerbatimChar"/>
          <w:bCs/>
          <w:b/>
        </w:rPr>
        <w:t xml:space="preserve">Note on Character Form</w:t>
      </w:r>
      <w:r>
        <w:t xml:space="preserve"> </w:t>
      </w:r>
      <w:r>
        <w:t xml:space="preserve">(implicitly,</w:t>
      </w:r>
      <w:r>
        <w:t xml:space="preserve"> </w:t>
      </w:r>
      <w:r>
        <w:t xml:space="preserve">“</w:t>
      </w:r>
      <w:r>
        <w:t xml:space="preserve">又嬉</w:t>
      </w:r>
      <w:r>
        <w:t xml:space="preserve">”</w:t>
      </w:r>
      <w:r>
        <w:t xml:space="preserve"> </w:t>
      </w:r>
      <w:r>
        <w:t xml:space="preserve">suggesting a variant or related form), and a</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After these, the character</w:t>
      </w:r>
      <w:r>
        <w:t xml:space="preserve"> </w:t>
      </w:r>
      <w:r>
        <w:t xml:space="preserve">‘</w:t>
      </w:r>
      <w:r>
        <w:t xml:space="preserve">喜</w:t>
      </w:r>
      <w:r>
        <w:t xml:space="preserve">’</w:t>
      </w:r>
      <w:r>
        <w:t xml:space="preserve"> </w:t>
      </w:r>
      <w:r>
        <w:t xml:space="preserve">is written in a large size, followed by other</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such as</w:t>
      </w:r>
      <w:r>
        <w:t xml:space="preserve"> </w:t>
      </w:r>
      <w:r>
        <w:t xml:space="preserve">‘</w:t>
      </w:r>
      <w:r>
        <w:t xml:space="preserve">ネカフ</w:t>
      </w:r>
      <w:r>
        <w:t xml:space="preserve">’</w:t>
      </w:r>
      <w:r>
        <w:t xml:space="preserve">. To the right of the large character</w:t>
      </w:r>
      <w:r>
        <w:t xml:space="preserve"> </w:t>
      </w:r>
      <w:r>
        <w:t xml:space="preserve">‘</w:t>
      </w:r>
      <w:r>
        <w:t xml:space="preserve">喜</w:t>
      </w:r>
      <w:r>
        <w:t xml:space="preserve">’</w:t>
      </w:r>
      <w:r>
        <w:t xml:space="preserve">, there is a note</w:t>
      </w:r>
      <w:r>
        <w:t xml:space="preserve"> </w:t>
      </w:r>
      <w:r>
        <w:t xml:space="preserve">“</w:t>
      </w:r>
      <w:r>
        <w:t xml:space="preserve">注也</w:t>
      </w:r>
      <w:r>
        <w:t xml:space="preserve">”</w:t>
      </w:r>
      <w:r>
        <w:t xml:space="preserve"> </w:t>
      </w:r>
      <w:r>
        <w:t xml:space="preserve">(</w:t>
      </w:r>
      <w:r>
        <w:rPr>
          <w:iCs/>
          <w:i/>
        </w:rPr>
        <w:t xml:space="preserve">chū nari</w:t>
      </w:r>
      <w:r>
        <w:t xml:space="preserve">;</w:t>
      </w:r>
      <w:r>
        <w:t xml:space="preserve"> </w:t>
      </w:r>
      <w:r>
        <w:t xml:space="preserve">“</w:t>
      </w:r>
      <w:r>
        <w:t xml:space="preserve">this is a gloss/annotation</w:t>
      </w:r>
      <w:r>
        <w:t xml:space="preserve">”</w:t>
      </w:r>
      <w:r>
        <w:t xml:space="preserve">), indicating that</w:t>
      </w:r>
      <w:r>
        <w:t xml:space="preserve"> </w:t>
      </w:r>
      <w:r>
        <w:t xml:space="preserve">‘</w:t>
      </w:r>
      <w:r>
        <w:t xml:space="preserve">喜</w:t>
      </w:r>
      <w:r>
        <w:t xml:space="preserve">’</w:t>
      </w:r>
      <w:r>
        <w:t xml:space="preserve"> </w:t>
      </w:r>
      <w:r>
        <w:t xml:space="preserve">itself functions as a</w:t>
      </w:r>
      <w:r>
        <w:t xml:space="preserve"> </w:t>
      </w:r>
      <w:r>
        <w:rPr>
          <w:rStyle w:val="VerbatimChar"/>
          <w:bCs/>
          <w:b/>
        </w:rPr>
        <w:t xml:space="preserve">Semantic Gloss in Chinese</w:t>
      </w:r>
      <w:r>
        <w:t xml:space="preserve"> </w:t>
      </w:r>
      <w:r>
        <w:t xml:space="preserve">for the</w:t>
      </w:r>
      <w:r>
        <w:t xml:space="preserve"> </w:t>
      </w:r>
      <w:r>
        <w:rPr>
          <w:rStyle w:val="VerbatimChar"/>
          <w:bCs/>
          <w:b/>
        </w:rPr>
        <w:t xml:space="preserve">Headword</w:t>
      </w:r>
      <w:r>
        <w:t xml:space="preserve"> </w:t>
      </w:r>
      <w:r>
        <w:t xml:space="preserve">‘</w:t>
      </w:r>
      <w:r>
        <w:t xml:space="preserve">憙</w:t>
      </w:r>
      <w:r>
        <w:t xml:space="preserve">’</w:t>
      </w:r>
      <w:r>
        <w:t xml:space="preserve">.</w:t>
      </w:r>
    </w:p>
    <w:bookmarkEnd w:id="205"/>
    <w:bookmarkStart w:id="207" w:name="X0269eea6949afb16faf59739e3c97ca7c98ab7f"/>
    <w:p>
      <w:pPr>
        <w:pStyle w:val="Heading3"/>
      </w:pPr>
      <w:r>
        <w:rPr>
          <w:rStyle w:val="SectionNumber"/>
        </w:rPr>
        <w:t xml:space="preserve">18.3.3</w:t>
      </w:r>
      <w:r>
        <w:tab/>
      </w:r>
      <w:r>
        <w:rPr>
          <w:rStyle w:val="VerbatimChar"/>
        </w:rPr>
        <w:t xml:space="preserve">Small Character Annotations</w:t>
      </w:r>
      <w:r>
        <w:t xml:space="preserve"> </w:t>
      </w:r>
      <w:r>
        <w:t xml:space="preserve">(小字注記,</w:t>
      </w:r>
      <w:r>
        <w:t xml:space="preserve"> </w:t>
      </w:r>
      <w:r>
        <w:rPr>
          <w:iCs/>
          <w:i/>
        </w:rPr>
        <w:t xml:space="preserve">shōji chūki</w:t>
      </w:r>
      <w:r>
        <w:t xml:space="preserve">)</w:t>
      </w:r>
    </w:p>
    <w:p>
      <w:pPr>
        <w:pStyle w:val="FirstParagraph"/>
      </w:pPr>
      <w:r>
        <w:t xml:space="preserve">Annotations made using small characters are referred to as</w:t>
      </w:r>
      <w:r>
        <w:t xml:space="preserve"> </w:t>
      </w:r>
      <w:r>
        <w:rPr>
          <w:rStyle w:val="VerbatimChar"/>
          <w:bCs/>
          <w:b/>
        </w:rPr>
        <w:t xml:space="preserve">Small Character Annotations</w:t>
      </w:r>
      <w:r>
        <w:t xml:space="preserve"> </w:t>
      </w:r>
      <w:r>
        <w:t xml:space="preserve">(小字注記,</w:t>
      </w:r>
      <w:r>
        <w:t xml:space="preserve"> </w:t>
      </w:r>
      <w:r>
        <w:rPr>
          <w:iCs/>
          <w:i/>
        </w:rPr>
        <w:t xml:space="preserve">shōji chūki</w:t>
      </w:r>
      <w:r>
        <w:t xml:space="preserve">).</w:t>
      </w:r>
      <w:r>
        <w:t xml:space="preserve"> </w:t>
      </w:r>
      <w:r>
        <w:rPr>
          <w:rStyle w:val="VerbatimChar"/>
          <w:bCs/>
          <w:b/>
        </w:rPr>
        <w:t xml:space="preserve">Small Character Annotations</w:t>
      </w:r>
      <w:r>
        <w:t xml:space="preserve"> </w:t>
      </w:r>
      <w:r>
        <w:t xml:space="preserve">are frequently found in</w:t>
      </w:r>
      <w:r>
        <w:t xml:space="preserve"> </w:t>
      </w:r>
      <w:r>
        <w:rPr>
          <w:rStyle w:val="VerbatimChar"/>
          <w:bCs/>
          <w:b/>
        </w:rPr>
        <w:t xml:space="preserve">Notes on Character Form</w:t>
      </w:r>
      <w:r>
        <w:t xml:space="preserve"> </w:t>
      </w:r>
      <w:r>
        <w:t xml:space="preserve">(字体注,</w:t>
      </w:r>
      <w:r>
        <w:t xml:space="preserve"> </w:t>
      </w:r>
      <w:r>
        <w:rPr>
          <w:iCs/>
          <w:i/>
        </w:rPr>
        <w:t xml:space="preserve">jitaichū</w:t>
      </w:r>
      <w:r>
        <w:t xml:space="preserve">); these are specifically termed</w:t>
      </w:r>
      <w:r>
        <w:t xml:space="preserve"> </w:t>
      </w:r>
      <w:r>
        <w:rPr>
          <w:rStyle w:val="VerbatimChar"/>
          <w:bCs/>
          <w:b/>
        </w:rPr>
        <w:t xml:space="preserve">Small Character Notes on Character Form</w:t>
      </w:r>
      <w:r>
        <w:t xml:space="preserve"> </w:t>
      </w:r>
      <w:r>
        <w:t xml:space="preserve">(小字字体注記,</w:t>
      </w:r>
      <w:r>
        <w:t xml:space="preserve"> </w:t>
      </w:r>
      <w:r>
        <w:rPr>
          <w:iCs/>
          <w:i/>
        </w:rPr>
        <w:t xml:space="preserve">shōji jitaichūki</w:t>
      </w:r>
      <w:r>
        <w:t xml:space="preserve">).</w:t>
      </w:r>
    </w:p>
    <w:p>
      <w:pPr>
        <w:pStyle w:val="BodyText"/>
      </w:pPr>
      <w:r>
        <w:t xml:space="preserve">There are instances where a</w:t>
      </w:r>
      <w:r>
        <w:t xml:space="preserve"> </w:t>
      </w:r>
      <w:r>
        <w:rPr>
          <w:rStyle w:val="VerbatimChar"/>
          <w:bCs/>
          <w:b/>
        </w:rPr>
        <w:t xml:space="preserve">Phonetic Gloss</w:t>
      </w:r>
      <w:r>
        <w:t xml:space="preserve"> </w:t>
      </w:r>
      <w:r>
        <w:t xml:space="preserve">for a</w:t>
      </w:r>
      <w:r>
        <w:t xml:space="preserve"> </w:t>
      </w:r>
      <w:r>
        <w:rPr>
          <w:rStyle w:val="VerbatimChar"/>
          <w:bCs/>
          <w:b/>
        </w:rPr>
        <w:t xml:space="preserve">Hanzi (Chinese character)</w:t>
      </w:r>
      <w:r>
        <w:t xml:space="preserve"> </w:t>
      </w:r>
      <w:r>
        <w:t xml:space="preserve">used within an</w:t>
      </w:r>
      <w:r>
        <w:t xml:space="preserve"> </w:t>
      </w:r>
      <w:r>
        <w:rPr>
          <w:rStyle w:val="VerbatimChar"/>
          <w:bCs/>
          <w:b/>
        </w:rPr>
        <w:t xml:space="preserve">Original Gloss</w:t>
      </w:r>
      <w:r>
        <w:t xml:space="preserve"> </w:t>
      </w:r>
      <w:r>
        <w:t xml:space="preserve">is itself annotated in an interlinear style (割注形式,</w:t>
      </w:r>
      <w:r>
        <w:t xml:space="preserve"> </w:t>
      </w:r>
      <w:r>
        <w:rPr>
          <w:iCs/>
          <w:i/>
        </w:rPr>
        <w:t xml:space="preserve">warichū keishiki</w:t>
      </w:r>
      <w:r>
        <w:t xml:space="preserve">); this is termed a</w:t>
      </w:r>
      <w:r>
        <w:t xml:space="preserve"> </w:t>
      </w:r>
      <w:r>
        <w:rPr>
          <w:rStyle w:val="VerbatimChar"/>
          <w:bCs/>
          <w:b/>
        </w:rPr>
        <w:t xml:space="preserve">Nested Interlinear Note</w:t>
      </w:r>
      <w:r>
        <w:t xml:space="preserve"> </w:t>
      </w:r>
      <w:r>
        <w:t xml:space="preserve">(再割注,</w:t>
      </w:r>
      <w:r>
        <w:t xml:space="preserve"> </w:t>
      </w:r>
      <w:r>
        <w:rPr>
          <w:iCs/>
          <w:i/>
        </w:rPr>
        <w:t xml:space="preserve">saiwarichū</w:t>
      </w:r>
      <w:r>
        <w:t xml:space="preserve">; or 再夾注,</w:t>
      </w:r>
      <w:r>
        <w:t xml:space="preserve"> </w:t>
      </w:r>
      <w:r>
        <w:rPr>
          <w:iCs/>
          <w:i/>
        </w:rPr>
        <w:t xml:space="preserve">zàijiāzhù</w:t>
      </w:r>
      <w:r>
        <w:t xml:space="preserve"> </w:t>
      </w:r>
      <w:r>
        <w:t xml:space="preserve">in Chinese; meaning</w:t>
      </w:r>
      <w:r>
        <w:t xml:space="preserve"> </w:t>
      </w:r>
      <w:r>
        <w:t xml:space="preserve">“</w:t>
      </w:r>
      <w:r>
        <w:t xml:space="preserve">smaller character definition in two lines, reapplied</w:t>
      </w:r>
      <w:r>
        <w:t xml:space="preserve">”</w:t>
      </w:r>
      <w:r>
        <w:t xml:space="preserve">).</w:t>
      </w:r>
      <w:r>
        <w:rPr>
          <w:rStyle w:val="FootnoteReference"/>
        </w:rPr>
        <w:footnoteReference w:id="206"/>
      </w:r>
    </w:p>
    <w:p>
      <w:pPr>
        <w:pStyle w:val="BodyText"/>
      </w:pPr>
      <w:r>
        <w:t xml:space="preserve">Additionally, there are cases where a</w:t>
      </w:r>
      <w:r>
        <w:t xml:space="preserve"> </w:t>
      </w:r>
      <w:r>
        <w:rPr>
          <w:rStyle w:val="VerbatimChar"/>
          <w:bCs/>
          <w:b/>
        </w:rPr>
        <w:t xml:space="preserve">Semantic Gloss in Chinese</w:t>
      </w:r>
      <w:r>
        <w:t xml:space="preserve"> </w:t>
      </w:r>
      <w:r>
        <w:t xml:space="preserve">is added in small characters directly below a</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this is termed a</w:t>
      </w:r>
      <w:r>
        <w:t xml:space="preserve"> </w:t>
      </w:r>
      <w:r>
        <w:rPr>
          <w:rStyle w:val="VerbatimChar"/>
          <w:bCs/>
          <w:b/>
        </w:rPr>
        <w:t xml:space="preserve">Small Character Semantic Gloss for Wakun</w:t>
      </w:r>
      <w:r>
        <w:t xml:space="preserve"> </w:t>
      </w:r>
      <w:r>
        <w:t xml:space="preserve">(小字和訓義注,</w:t>
      </w:r>
      <w:r>
        <w:t xml:space="preserve"> </w:t>
      </w:r>
      <w:r>
        <w:rPr>
          <w:iCs/>
          <w:i/>
        </w:rPr>
        <w:t xml:space="preserve">shōji wakun gichū</w:t>
      </w:r>
      <w:r>
        <w:t xml:space="preserve">).</w:t>
      </w:r>
    </w:p>
    <w:p>
      <w:pPr>
        <w:pStyle w:val="BodyText"/>
      </w:pPr>
      <w:r>
        <w:rPr>
          <w:rStyle w:val="VerbatimChar"/>
          <w:bCs/>
          <w:b/>
        </w:rPr>
        <w:t xml:space="preserve">Small Character Annotations</w:t>
      </w:r>
      <w:r>
        <w:t xml:space="preserve"> </w:t>
      </w:r>
      <w:r>
        <w:t xml:space="preserve">are transcribed by enclosing the relevant portion in full-width angle brackets (〈〉, U+3008 and U+3009).</w:t>
      </w:r>
    </w:p>
    <w:p>
      <w:pPr>
        <w:pStyle w:val="BodyText"/>
      </w:pPr>
      <w:r>
        <w:rPr>
          <w:bCs/>
          <w:b/>
        </w:rPr>
        <w:t xml:space="preserve">Examples:</w:t>
      </w:r>
      <w:r>
        <w:t xml:space="preserve"> </w:t>
      </w:r>
      <w:r>
        <w:t xml:space="preserve">* Example of</w:t>
      </w:r>
      <w:r>
        <w:t xml:space="preserve"> </w:t>
      </w:r>
      <w:r>
        <w:rPr>
          <w:rStyle w:val="VerbatimChar"/>
          <w:bCs/>
          <w:b/>
        </w:rPr>
        <w:t xml:space="preserve">Small Character Notes on Character Form</w:t>
      </w:r>
      <w:r>
        <w:t xml:space="preserve">: 又鞘〈正〉 (Found in the</w:t>
      </w:r>
      <w:r>
        <w:t xml:space="preserve"> </w:t>
      </w:r>
      <w:r>
        <w:rPr>
          <w:rStyle w:val="VerbatimChar"/>
          <w:bCs/>
          <w:b/>
        </w:rPr>
        <w:t xml:space="preserve">Notes on Character Form</w:t>
      </w:r>
      <w:r>
        <w:t xml:space="preserve"> </w:t>
      </w:r>
      <w:r>
        <w:t xml:space="preserve">for the</w:t>
      </w:r>
      <w:r>
        <w:t xml:space="preserve"> </w:t>
      </w:r>
      <w:r>
        <w:rPr>
          <w:rStyle w:val="VerbatimChar"/>
          <w:bCs/>
          <w:b/>
        </w:rPr>
        <w:t xml:space="preserve">Headword</w:t>
      </w:r>
      <w:r>
        <w:t xml:space="preserve"> </w:t>
      </w:r>
      <w:r>
        <w:t xml:space="preserve">‘</w:t>
      </w:r>
      <w:r>
        <w:t xml:space="preserve">削</w:t>
      </w:r>
      <w:r>
        <w:t xml:space="preserve">’</w:t>
      </w:r>
      <w:r>
        <w:t xml:space="preserve">).</w:t>
      </w:r>
      <w:r>
        <w:t xml:space="preserve"> </w:t>
      </w:r>
      <w:r>
        <w:t xml:space="preserve">* Example of</w:t>
      </w:r>
      <w:r>
        <w:t xml:space="preserve"> </w:t>
      </w:r>
      <w:r>
        <w:rPr>
          <w:rStyle w:val="VerbatimChar"/>
          <w:bCs/>
          <w:b/>
        </w:rPr>
        <w:t xml:space="preserve">Nested Interlinear Note</w:t>
      </w:r>
      <w:r>
        <w:t xml:space="preserve">: 従夾〈公合〉成恰反 (For the</w:t>
      </w:r>
      <w:r>
        <w:t xml:space="preserve"> </w:t>
      </w:r>
      <w:r>
        <w:rPr>
          <w:rStyle w:val="VerbatimChar"/>
          <w:bCs/>
          <w:b/>
        </w:rPr>
        <w:t xml:space="preserve">Headword</w:t>
      </w:r>
      <w:r>
        <w:t xml:space="preserve"> </w:t>
      </w:r>
      <w:r>
        <w:t xml:space="preserve">‘</w:t>
      </w:r>
      <w:r>
        <w:t xml:space="preserve">陜</w:t>
      </w:r>
      <w:r>
        <w:t xml:space="preserve">’</w:t>
      </w:r>
      <w:r>
        <w:t xml:space="preserve">, the second character</w:t>
      </w:r>
      <w:r>
        <w:t xml:space="preserve"> </w:t>
      </w:r>
      <w:r>
        <w:t xml:space="preserve">‘</w:t>
      </w:r>
      <w:r>
        <w:t xml:space="preserve">夾</w:t>
      </w:r>
      <w:r>
        <w:t xml:space="preserve">’</w:t>
      </w:r>
      <w:r>
        <w:t xml:space="preserve"> </w:t>
      </w:r>
      <w:r>
        <w:t xml:space="preserve">of the</w:t>
      </w:r>
      <w:r>
        <w:t xml:space="preserve"> </w:t>
      </w:r>
      <w:r>
        <w:rPr>
          <w:iCs/>
          <w:i/>
        </w:rPr>
        <w:t xml:space="preserve">fanqie</w:t>
      </w:r>
      <w:r>
        <w:t xml:space="preserve"> </w:t>
      </w:r>
      <w:r>
        <w:t xml:space="preserve">spelling is further glossed with another</w:t>
      </w:r>
      <w:r>
        <w:t xml:space="preserve"> </w:t>
      </w:r>
      <w:r>
        <w:rPr>
          <w:iCs/>
          <w:i/>
        </w:rPr>
        <w:t xml:space="preserve">fanqie</w:t>
      </w:r>
      <w:r>
        <w:t xml:space="preserve"> </w:t>
      </w:r>
      <w:r>
        <w:t xml:space="preserve">spelling in small characters).</w:t>
      </w:r>
      <w:r>
        <w:t xml:space="preserve"> </w:t>
      </w:r>
      <w:r>
        <w:t xml:space="preserve">* Example of</w:t>
      </w:r>
      <w:r>
        <w:t xml:space="preserve"> </w:t>
      </w:r>
      <w:r>
        <w:rPr>
          <w:rStyle w:val="VerbatimChar"/>
          <w:bCs/>
          <w:b/>
        </w:rPr>
        <w:t xml:space="preserve">Small Character Semantic Gloss for Wakun</w:t>
      </w:r>
      <w:r>
        <w:t xml:space="preserve">: アク〈髪〉 (For the</w:t>
      </w:r>
      <w:r>
        <w:t xml:space="preserve"> </w:t>
      </w:r>
      <w:r>
        <w:rPr>
          <w:rStyle w:val="VerbatimChar"/>
          <w:bCs/>
          <w:b/>
        </w:rPr>
        <w:t xml:space="preserve">Headword</w:t>
      </w:r>
      <w:r>
        <w:t xml:space="preserve"> </w:t>
      </w:r>
      <w:r>
        <w:t xml:space="preserve">‘</w:t>
      </w:r>
      <w:r>
        <w:t xml:space="preserve">結</w:t>
      </w:r>
      <w:r>
        <w:t xml:space="preserve">’</w:t>
      </w:r>
      <w:r>
        <w:t xml:space="preserve">, this note is attached to the</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w:t>
      </w:r>
      <w:r>
        <w:t xml:space="preserve">アク</w:t>
      </w:r>
      <w:r>
        <w:t xml:space="preserve">’</w:t>
      </w:r>
      <w:r>
        <w:t xml:space="preserve"> </w:t>
      </w:r>
      <w:r>
        <w:t xml:space="preserve">to distinguish it from homonyms (開く, 厭く, 挙ぐ) and to indicate the meaning of tying up</w:t>
      </w:r>
      <w:r>
        <w:t xml:space="preserve"> </w:t>
      </w:r>
      <w:r>
        <w:t xml:space="preserve">‘</w:t>
      </w:r>
      <w:r>
        <w:t xml:space="preserve">hair</w:t>
      </w:r>
      <w:r>
        <w:t xml:space="preserve">’</w:t>
      </w:r>
      <w:r>
        <w:t xml:space="preserve"> </w:t>
      </w:r>
      <w:r>
        <w:t xml:space="preserve">(髪)).</w:t>
      </w:r>
    </w:p>
    <w:p>
      <w:pPr>
        <w:pStyle w:val="BodyText"/>
      </w:pPr>
      <w:r>
        <w:t xml:space="preserve">Cases where what should have been a</w:t>
      </w:r>
      <w:r>
        <w:t xml:space="preserve"> </w:t>
      </w:r>
      <w:r>
        <w:rPr>
          <w:rStyle w:val="VerbatimChar"/>
          <w:bCs/>
          <w:b/>
        </w:rPr>
        <w:t xml:space="preserve">Small Character Semantic Gloss for Wakun</w:t>
      </w:r>
      <w:r>
        <w:t xml:space="preserve"> </w:t>
      </w:r>
      <w:r>
        <w:t xml:space="preserve">was mistakenly written in the same large size as the main</w:t>
      </w:r>
      <w:r>
        <w:t xml:space="preserve"> </w:t>
      </w:r>
      <w:r>
        <w:rPr>
          <w:rStyle w:val="VerbatimChar"/>
          <w:bCs/>
          <w:b/>
        </w:rPr>
        <w:t xml:space="preserve">Original Glosses</w:t>
      </w:r>
      <w:r>
        <w:t xml:space="preserve"> </w:t>
      </w:r>
      <w:r>
        <w:t xml:space="preserve">are transcribed using 〈〉, and a note to this effect is made in the</w:t>
      </w:r>
      <w:r>
        <w:t xml:space="preserve"> </w:t>
      </w:r>
      <w:r>
        <w:rPr>
          <w:rStyle w:val="VerbatimChar"/>
        </w:rPr>
        <w:t xml:space="preserve">remarks</w:t>
      </w:r>
      <w:r>
        <w:t xml:space="preserve"> </w:t>
      </w:r>
      <w:r>
        <w:t xml:space="preserve">column (as a</w:t>
      </w:r>
      <w:r>
        <w:t xml:space="preserve"> </w:t>
      </w:r>
      <w:r>
        <w:rPr>
          <w:rStyle w:val="VerbatimChar"/>
          <w:bCs/>
          <w:b/>
        </w:rPr>
        <w:t xml:space="preserve">Compiler's Remark</w:t>
      </w:r>
      <w:r>
        <w:t xml:space="preserve">).</w:t>
      </w:r>
    </w:p>
    <w:p>
      <w:pPr>
        <w:pStyle w:val="BodyText"/>
      </w:pPr>
      <w:r>
        <w:t xml:space="preserve">The following examples are shown in the order of</w:t>
      </w:r>
      <w:r>
        <w:t xml:space="preserve"> </w:t>
      </w:r>
      <w:r>
        <w:rPr>
          <w:rStyle w:val="VerbatimChar"/>
          <w:bCs/>
          <w:b/>
        </w:rPr>
        <w:t xml:space="preserve">Headword</w:t>
      </w:r>
      <w:r>
        <w:t xml:space="preserve">,</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(including the erroneously large annotation transcribed within 〈〉), and</w:t>
      </w:r>
      <w:r>
        <w:t xml:space="preserve"> </w:t>
      </w:r>
      <w:r>
        <w:rPr>
          <w:rStyle w:val="VerbatimChar"/>
          <w:bCs/>
          <w:b/>
        </w:rPr>
        <w:t xml:space="preserve">Compiler's Remarks</w:t>
      </w:r>
      <w:r>
        <w:t xml:space="preserve">.</w:t>
      </w:r>
    </w:p>
    <w:p>
      <w:pPr>
        <w:pStyle w:val="BodyText"/>
      </w:pPr>
      <w:r>
        <w:rPr>
          <w:bCs/>
          <w:b/>
        </w:rPr>
        <w:t xml:space="preserve">Examples:</w:t>
      </w:r>
      <w:r>
        <w:t xml:space="preserve"> </w:t>
      </w:r>
      <w:r>
        <w:t xml:space="preserve">*</w:t>
      </w:r>
      <w:r>
        <w:t xml:space="preserve"> </w:t>
      </w:r>
      <w:r>
        <w:rPr>
          <w:rStyle w:val="VerbatimChar"/>
          <w:bCs/>
          <w:b/>
        </w:rPr>
        <w:t xml:space="preserve">Headword</w:t>
      </w:r>
      <w:r>
        <w:t xml:space="preserve">: 展</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ヒロク〈眉〉</w:t>
      </w:r>
      <w:r>
        <w:t xml:space="preserve"> </w:t>
      </w:r>
      <w:r>
        <w:rPr>
          <w:rStyle w:val="VerbatimChar"/>
          <w:bCs/>
          <w:b/>
        </w:rPr>
        <w:t xml:space="preserve">Compiler's Remarks</w:t>
      </w:r>
      <w:r>
        <w:t xml:space="preserve">: The annotation 〈眉〉 is written in a large size.</w:t>
      </w:r>
      <w:r>
        <w:t xml:space="preserve"> </w:t>
      </w:r>
      <w:r>
        <w:t xml:space="preserve">*</w:t>
      </w:r>
      <w:r>
        <w:t xml:space="preserve"> </w:t>
      </w:r>
      <w:r>
        <w:rPr>
          <w:rStyle w:val="VerbatimChar"/>
          <w:bCs/>
          <w:b/>
        </w:rPr>
        <w:t xml:space="preserve">Headword</w:t>
      </w:r>
      <w:r>
        <w:t xml:space="preserve">: 度</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トコ〈床〉</w:t>
      </w:r>
      <w:r>
        <w:t xml:space="preserve"> </w:t>
      </w:r>
      <w:r>
        <w:rPr>
          <w:rStyle w:val="VerbatimChar"/>
          <w:bCs/>
          <w:b/>
        </w:rPr>
        <w:t xml:space="preserve">Compiler's Remarks</w:t>
      </w:r>
      <w:r>
        <w:t xml:space="preserve">: The semantic gloss is written in a large size.</w:t>
      </w:r>
    </w:p>
    <w:bookmarkEnd w:id="207"/>
    <w:bookmarkStart w:id="208" w:name="X8cafad7b67051ca04bc6744c82fe9858fa3bffd"/>
    <w:p>
      <w:pPr>
        <w:pStyle w:val="Heading3"/>
      </w:pPr>
      <w:r>
        <w:rPr>
          <w:rStyle w:val="SectionNumber"/>
        </w:rPr>
        <w:t xml:space="preserve">18.3.4</w:t>
      </w:r>
      <w:r>
        <w:tab/>
      </w:r>
      <w:r>
        <w:rPr>
          <w:rStyle w:val="VerbatimChar"/>
        </w:rPr>
        <w:t xml:space="preserve">Annotations from Variant Manuscripts</w:t>
      </w:r>
      <w:r>
        <w:t xml:space="preserve"> </w:t>
      </w:r>
      <w:r>
        <w:t xml:space="preserve">(異本注記,</w:t>
      </w:r>
      <w:r>
        <w:t xml:space="preserve"> </w:t>
      </w:r>
      <w:r>
        <w:rPr>
          <w:iCs/>
          <w:i/>
        </w:rPr>
        <w:t xml:space="preserve">ihon chūki</w:t>
      </w:r>
      <w:r>
        <w:t xml:space="preserve">)</w:t>
      </w:r>
    </w:p>
    <w:p>
      <w:pPr>
        <w:pStyle w:val="FirstParagraph"/>
      </w:pPr>
      <w:r>
        <w:rPr>
          <w:rStyle w:val="VerbatimChar"/>
          <w:bCs/>
          <w:b/>
        </w:rPr>
        <w:t xml:space="preserve">Annotations from Variant Manuscripts</w:t>
      </w:r>
      <w:r>
        <w:t xml:space="preserve"> </w:t>
      </w:r>
      <w:r>
        <w:t xml:space="preserve">(異本注記,</w:t>
      </w:r>
      <w:r>
        <w:t xml:space="preserve"> </w:t>
      </w:r>
      <w:r>
        <w:rPr>
          <w:iCs/>
          <w:i/>
        </w:rPr>
        <w:t xml:space="preserve">ihon chūki</w:t>
      </w:r>
      <w:r>
        <w:t xml:space="preserve">) can pertain to either the</w:t>
      </w:r>
      <w:r>
        <w:t xml:space="preserve"> </w:t>
      </w:r>
      <w:r>
        <w:rPr>
          <w:rStyle w:val="VerbatimChar"/>
          <w:bCs/>
          <w:b/>
        </w:rPr>
        <w:t xml:space="preserve">Headword</w:t>
      </w:r>
      <w:r>
        <w:t xml:space="preserve"> </w:t>
      </w:r>
      <w:r>
        <w:t xml:space="preserve">or the</w:t>
      </w:r>
      <w:r>
        <w:t xml:space="preserve"> </w:t>
      </w:r>
      <w:r>
        <w:rPr>
          <w:rStyle w:val="VerbatimChar"/>
          <w:bCs/>
          <w:b/>
        </w:rPr>
        <w:t xml:space="preserve">Original Glosses</w:t>
      </w:r>
      <w:r>
        <w:t xml:space="preserve">.</w:t>
      </w:r>
    </w:p>
    <w:p>
      <w:pPr>
        <w:pStyle w:val="BodyText"/>
      </w:pPr>
      <w:r>
        <w:rPr>
          <w:rStyle w:val="VerbatimChar"/>
          <w:bCs/>
          <w:b/>
        </w:rPr>
        <w:t xml:space="preserve">Annotations from Variant Manuscripts</w:t>
      </w:r>
      <w:r>
        <w:t xml:space="preserve"> </w:t>
      </w:r>
      <w:r>
        <w:t xml:space="preserve">pertaining to a</w:t>
      </w:r>
      <w:r>
        <w:t xml:space="preserve"> </w:t>
      </w:r>
      <w:r>
        <w:rPr>
          <w:rStyle w:val="VerbatimChar"/>
          <w:bCs/>
          <w:b/>
        </w:rPr>
        <w:t xml:space="preserve">Headword</w:t>
      </w:r>
      <w:r>
        <w:t xml:space="preserve"> </w:t>
      </w:r>
      <w:r>
        <w:t xml:space="preserve">are indicated by a preceding</w:t>
      </w:r>
      <w:r>
        <w:t xml:space="preserve"> </w:t>
      </w:r>
      <w:r>
        <w:t xml:space="preserve">‘</w:t>
      </w:r>
      <w:r>
        <w:t xml:space="preserve">▲</w:t>
      </w:r>
      <w:r>
        <w:t xml:space="preserve">’</w:t>
      </w:r>
      <w:r>
        <w:t xml:space="preserve"> </w:t>
      </w:r>
      <w:r>
        <w:t xml:space="preserve">(U+25B2 BLACK UP-POINTING TRIANGLE) followed by the content of the annotation enclosed in Japanese quotation marks 「」.</w:t>
      </w:r>
    </w:p>
    <w:p>
      <w:pPr>
        <w:pStyle w:val="BodyText"/>
      </w:pPr>
      <w:r>
        <w:rPr>
          <w:rStyle w:val="VerbatimChar"/>
          <w:bCs/>
          <w:b/>
        </w:rPr>
        <w:t xml:space="preserve">Annotations from Variant Manuscripts</w:t>
      </w:r>
      <w:r>
        <w:t xml:space="preserve"> </w:t>
      </w:r>
      <w:r>
        <w:t xml:space="preserve">pertaining to the</w:t>
      </w:r>
      <w:r>
        <w:t xml:space="preserve"> </w:t>
      </w:r>
      <w:r>
        <w:rPr>
          <w:rStyle w:val="VerbatimChar"/>
          <w:bCs/>
          <w:b/>
        </w:rPr>
        <w:t xml:space="preserve">Original Glosses</w:t>
      </w:r>
      <w:r>
        <w:t xml:space="preserve"> </w:t>
      </w:r>
      <w:r>
        <w:t xml:space="preserve">are enclosed in full-width parentheses（）, U+FF08 and U+FF09. They are shown in the format:</w:t>
      </w:r>
      <w:r>
        <w:t xml:space="preserve"> </w:t>
      </w:r>
      <w:r>
        <w:rPr>
          <w:iCs/>
          <w:i/>
        </w:rPr>
        <w:t xml:space="preserve">original character(s) in the gloss</w:t>
      </w:r>
      <w:r>
        <w:t xml:space="preserve"> </w:t>
      </w:r>
      <w:r>
        <w:t xml:space="preserve">-</w:t>
      </w:r>
      <w:r>
        <w:t xml:space="preserve"> </w:t>
      </w:r>
      <w:r>
        <w:rPr>
          <w:iCs/>
          <w:i/>
        </w:rPr>
        <w:t xml:space="preserve">annotation from the variant manuscript</w:t>
      </w:r>
      <w:r>
        <w:t xml:space="preserve">.</w:t>
      </w:r>
    </w:p>
    <w:p>
      <w:pPr>
        <w:pStyle w:val="BodyText"/>
      </w:pPr>
      <w:r>
        <w:t xml:space="preserve">The symbol representing an</w:t>
      </w:r>
      <w:r>
        <w:t xml:space="preserve"> </w:t>
      </w:r>
      <w:r>
        <w:t xml:space="preserve">“</w:t>
      </w:r>
      <w:r>
        <w:t xml:space="preserve">annotation from a variant manuscript</w:t>
      </w:r>
      <w:r>
        <w:t xml:space="preserve">”</w:t>
      </w:r>
      <w:r>
        <w:t xml:space="preserve"> </w:t>
      </w:r>
      <w:r>
        <w:t xml:space="preserve">itself (異本注記) is often the Katakana character</w:t>
      </w:r>
      <w:r>
        <w:t xml:space="preserve"> </w:t>
      </w:r>
      <w:r>
        <w:t xml:space="preserve">‘</w:t>
      </w:r>
      <w:r>
        <w:t xml:space="preserve">イ</w:t>
      </w:r>
      <w:r>
        <w:t xml:space="preserve">’</w:t>
      </w:r>
      <w:r>
        <w:t xml:space="preserve"> </w:t>
      </w:r>
      <w:r>
        <w:t xml:space="preserve">(which might be a part of the</w:t>
      </w:r>
      <w:r>
        <w:t xml:space="preserve"> </w:t>
      </w:r>
      <w:r>
        <w:t xml:space="preserve">‘</w:t>
      </w:r>
      <w:r>
        <w:t xml:space="preserve">他</w:t>
      </w:r>
      <w:r>
        <w:t xml:space="preserve">’</w:t>
      </w:r>
      <w:r>
        <w:t xml:space="preserve"> </w:t>
      </w:r>
      <w:r>
        <w:t xml:space="preserve">character in</w:t>
      </w:r>
      <w:r>
        <w:t xml:space="preserve"> </w:t>
      </w:r>
      <w:r>
        <w:t xml:space="preserve">‘</w:t>
      </w:r>
      <w:r>
        <w:t xml:space="preserve">他本</w:t>
      </w:r>
      <w:r>
        <w:t xml:space="preserve">’</w:t>
      </w:r>
      <w:r>
        <w:t xml:space="preserve">,</w:t>
      </w:r>
      <w:r>
        <w:t xml:space="preserve"> </w:t>
      </w:r>
      <w:r>
        <w:rPr>
          <w:iCs/>
          <w:i/>
        </w:rPr>
        <w:t xml:space="preserve">tahon</w:t>
      </w:r>
      <w:r>
        <w:t xml:space="preserve">, meaning</w:t>
      </w:r>
      <w:r>
        <w:t xml:space="preserve"> </w:t>
      </w:r>
      <w:r>
        <w:t xml:space="preserve">“</w:t>
      </w:r>
      <w:r>
        <w:t xml:space="preserve">other manuscript,</w:t>
      </w:r>
      <w:r>
        <w:t xml:space="preserve">”</w:t>
      </w:r>
      <w:r>
        <w:t xml:space="preserve"> </w:t>
      </w:r>
      <w:r>
        <w:t xml:space="preserve">or simply represent</w:t>
      </w:r>
      <w:r>
        <w:t xml:space="preserve"> </w:t>
      </w:r>
      <w:r>
        <w:t xml:space="preserve">‘</w:t>
      </w:r>
      <w:r>
        <w:t xml:space="preserve">異</w:t>
      </w:r>
      <w:r>
        <w:t xml:space="preserve">’</w:t>
      </w:r>
      <w:r>
        <w:t xml:space="preserve">).</w:t>
      </w:r>
    </w:p>
    <w:p>
      <w:pPr>
        <w:pStyle w:val="BodyText"/>
      </w:pPr>
      <w:r>
        <w:rPr>
          <w:bCs/>
          <w:b/>
        </w:rPr>
        <w:t xml:space="preserve">Examples:</w:t>
      </w:r>
      <w:r>
        <w:t xml:space="preserve"> </w:t>
      </w:r>
      <w:r>
        <w:t xml:space="preserve">*</w:t>
      </w:r>
      <w:r>
        <w:t xml:space="preserve"> </w:t>
      </w:r>
      <w:r>
        <w:rPr>
          <w:rStyle w:val="VerbatimChar"/>
          <w:bCs/>
          <w:b/>
        </w:rPr>
        <w:t xml:space="preserve">Annotation from Variant Manuscripts</w:t>
      </w:r>
      <w:r>
        <w:t xml:space="preserve"> </w:t>
      </w:r>
      <w:r>
        <w:t xml:space="preserve">(for a</w:t>
      </w:r>
      <w:r>
        <w:t xml:space="preserve"> </w:t>
      </w:r>
      <w:r>
        <w:rPr>
          <w:rStyle w:val="VerbatimChar"/>
          <w:bCs/>
          <w:b/>
        </w:rPr>
        <w:t xml:space="preserve">Headword</w:t>
      </w:r>
      <w:r>
        <w:t xml:space="preserve">): ▲𦫿「艾」</w:t>
      </w:r>
      <w:r>
        <w:t xml:space="preserve"> </w:t>
      </w:r>
      <w:r>
        <w:t xml:space="preserve">*</w:t>
      </w:r>
      <w:r>
        <w:t xml:space="preserve"> </w:t>
      </w:r>
      <w:r>
        <w:rPr>
          <w:rStyle w:val="VerbatimChar"/>
          <w:bCs/>
          <w:b/>
        </w:rPr>
        <w:t xml:space="preserve">Annotation from Variant Manuscripts</w:t>
      </w:r>
      <w:r>
        <w:t xml:space="preserve"> </w:t>
      </w:r>
      <w:r>
        <w:t xml:space="preserve">(for a</w:t>
      </w:r>
      <w:r>
        <w:t xml:space="preserve"> </w:t>
      </w:r>
      <w:r>
        <w:rPr>
          <w:rStyle w:val="VerbatimChar"/>
          <w:bCs/>
          <w:b/>
        </w:rPr>
        <w:t xml:space="preserve">Headword</w:t>
      </w:r>
      <w:r>
        <w:t xml:space="preserve">): ▲捺「⿰扌柰イ」</w:t>
      </w:r>
      <w:r>
        <w:t xml:space="preserve"> </w:t>
      </w:r>
      <w:r>
        <w:t xml:space="preserve">*</w:t>
      </w:r>
      <w:r>
        <w:t xml:space="preserve"> </w:t>
      </w:r>
      <w:r>
        <w:rPr>
          <w:rStyle w:val="VerbatimChar"/>
          <w:bCs/>
          <w:b/>
        </w:rPr>
        <w:t xml:space="preserve">Annotation from Variant Manuscripts</w:t>
      </w:r>
      <w:r>
        <w:t xml:space="preserve"> </w:t>
      </w:r>
      <w:r>
        <w:t xml:space="preserve">(for</w:t>
      </w:r>
      <w:r>
        <w:t xml:space="preserve"> </w:t>
      </w:r>
      <w:r>
        <w:rPr>
          <w:rStyle w:val="VerbatimChar"/>
          <w:bCs/>
          <w:b/>
        </w:rPr>
        <w:t xml:space="preserve">Original Glosses</w:t>
      </w:r>
      <w:r>
        <w:t xml:space="preserve">): 責猛（猛-⿰亻孟イ）二音</w:t>
      </w:r>
    </w:p>
    <w:bookmarkEnd w:id="208"/>
    <w:bookmarkStart w:id="209" w:name="X58f5294939cb2d6ba03ec92f92cdda730213bfb"/>
    <w:p>
      <w:pPr>
        <w:pStyle w:val="Heading3"/>
      </w:pPr>
      <w:r>
        <w:rPr>
          <w:rStyle w:val="SectionNumber"/>
        </w:rPr>
        <w:t xml:space="preserve">18.3.5</w:t>
      </w:r>
      <w:r>
        <w:tab/>
      </w:r>
      <w:r>
        <w:rPr>
          <w:rStyle w:val="VerbatimChar"/>
        </w:rPr>
        <w:t xml:space="preserve">Source Attributions</w:t>
      </w:r>
      <w:r>
        <w:t xml:space="preserve"> </w:t>
      </w:r>
      <w:r>
        <w:t xml:space="preserve">(出典注記,</w:t>
      </w:r>
      <w:r>
        <w:t xml:space="preserve"> </w:t>
      </w:r>
      <w:r>
        <w:rPr>
          <w:iCs/>
          <w:i/>
        </w:rPr>
        <w:t xml:space="preserve">shutten chūki</w:t>
      </w:r>
      <w:r>
        <w:t xml:space="preserve">)</w:t>
      </w:r>
    </w:p>
    <w:p>
      <w:pPr>
        <w:pStyle w:val="FirstParagraph"/>
      </w:pPr>
      <w:r>
        <w:t xml:space="preserve">Book titles or personal names indicating a source are enclosed in double angle brackets (《》, U+300A and U+300B).</w:t>
      </w:r>
    </w:p>
    <w:p>
      <w:pPr>
        <w:pStyle w:val="BodyText"/>
      </w:pPr>
      <w:r>
        <w:rPr>
          <w:bCs/>
          <w:b/>
        </w:rPr>
        <w:t xml:space="preserve">Examples:</w:t>
      </w:r>
      <w:r>
        <w:t xml:space="preserve"> </w:t>
      </w:r>
      <w:r>
        <w:t xml:space="preserve">1. Example of a personal name: 齔 《王右軍》作 (Here, 《王右軍》</w:t>
      </w:r>
      <w:r>
        <w:t xml:space="preserve"> </w:t>
      </w:r>
      <w:r>
        <w:rPr>
          <w:iCs/>
          <w:i/>
        </w:rPr>
        <w:t xml:space="preserve">Ō Ugun</w:t>
      </w:r>
      <w:r>
        <w:t xml:space="preserve"> </w:t>
      </w:r>
      <w:r>
        <w:t xml:space="preserve">[Wang Youjun] indicates the person who created or used this form/reading).</w:t>
      </w:r>
      <w:r>
        <w:t xml:space="preserve"> </w:t>
      </w:r>
      <w:r>
        <w:t xml:space="preserve">2. Example of a personal name: 𡫸 ◇《弘法大師》又云 (Here, ◇ indicates a note in literary Chinese placed to the right of the</w:t>
      </w:r>
      <w:r>
        <w:t xml:space="preserve"> </w:t>
      </w:r>
      <w:r>
        <w:rPr>
          <w:rStyle w:val="VerbatimChar"/>
          <w:bCs/>
          <w:b/>
        </w:rPr>
        <w:t xml:space="preserve">Headword</w:t>
      </w:r>
      <w:r>
        <w:t xml:space="preserve">, and 《弘法大師》</w:t>
      </w:r>
      <w:r>
        <w:t xml:space="preserve"> </w:t>
      </w:r>
      <w:r>
        <w:rPr>
          <w:iCs/>
          <w:i/>
        </w:rPr>
        <w:t xml:space="preserve">Kōbō Daishi</w:t>
      </w:r>
      <w:r>
        <w:t xml:space="preserve"> </w:t>
      </w:r>
      <w:r>
        <w:t xml:space="preserve">is the cited person).</w:t>
      </w:r>
      <w:r>
        <w:t xml:space="preserve"> </w:t>
      </w:r>
      <w:r>
        <w:t xml:space="preserve">3. Example of a book title: 它 可見《類音决》 (Here, 《類音决》</w:t>
      </w:r>
      <w:r>
        <w:t xml:space="preserve"> </w:t>
      </w:r>
      <w:r>
        <w:rPr>
          <w:iCs/>
          <w:i/>
        </w:rPr>
        <w:t xml:space="preserve">Ruionketsu</w:t>
      </w:r>
      <w:r>
        <w:t xml:space="preserve"> </w:t>
      </w:r>
      <w:r>
        <w:t xml:space="preserve">is the cited book title, meaning</w:t>
      </w:r>
      <w:r>
        <w:t xml:space="preserve"> </w:t>
      </w:r>
      <w:r>
        <w:t xml:space="preserve">“</w:t>
      </w:r>
      <w:r>
        <w:t xml:space="preserve">can be seen in the</w:t>
      </w:r>
      <w:r>
        <w:t xml:space="preserve"> </w:t>
      </w:r>
      <w:r>
        <w:rPr>
          <w:iCs/>
          <w:i/>
        </w:rPr>
        <w:t xml:space="preserve">Ruionketsu</w:t>
      </w:r>
      <w:r>
        <w:t xml:space="preserve">”</w:t>
      </w:r>
      <w:r>
        <w:t xml:space="preserve">).</w:t>
      </w:r>
      <w:r>
        <w:t xml:space="preserve"> </w:t>
      </w:r>
      <w:r>
        <w:t xml:space="preserve">4. Example of a book title: 𭘬 《大日經疏》云丁也反 (Here, 《大日經疏》</w:t>
      </w:r>
      <w:r>
        <w:t xml:space="preserve"> </w:t>
      </w:r>
      <w:r>
        <w:rPr>
          <w:iCs/>
          <w:i/>
        </w:rPr>
        <w:t xml:space="preserve">Dainichikyōsho</w:t>
      </w:r>
      <w:r>
        <w:t xml:space="preserve"> </w:t>
      </w:r>
      <w:r>
        <w:t xml:space="preserve">is the cited book title, followed by a</w:t>
      </w:r>
      <w:r>
        <w:t xml:space="preserve"> </w:t>
      </w:r>
      <w:r>
        <w:rPr>
          <w:iCs/>
          <w:i/>
        </w:rPr>
        <w:t xml:space="preserve">fanqie</w:t>
      </w:r>
      <w:r>
        <w:t xml:space="preserve"> </w:t>
      </w:r>
      <w:r>
        <w:t xml:space="preserve">spelling).</w:t>
      </w:r>
    </w:p>
    <w:p>
      <w:pPr>
        <w:pStyle w:val="BodyText"/>
      </w:pPr>
      <w:r>
        <w:t xml:space="preserve">In example 2, the</w:t>
      </w:r>
      <w:r>
        <w:t xml:space="preserve"> </w:t>
      </w:r>
      <w:r>
        <w:t xml:space="preserve">‘</w:t>
      </w:r>
      <w:r>
        <w:t xml:space="preserve">◇</w:t>
      </w:r>
      <w:r>
        <w:t xml:space="preserve">’</w:t>
      </w:r>
      <w:r>
        <w:t xml:space="preserve"> </w:t>
      </w:r>
      <w:r>
        <w:t xml:space="preserve">mark indicates that this is an annotation in literary Chinese placed to the right of the</w:t>
      </w:r>
      <w:r>
        <w:t xml:space="preserve"> </w:t>
      </w:r>
      <w:r>
        <w:rPr>
          <w:rStyle w:val="VerbatimChar"/>
          <w:bCs/>
          <w:b/>
        </w:rPr>
        <w:t xml:space="preserve">Headword</w:t>
      </w:r>
      <w:r>
        <w:t xml:space="preserve">.</w:t>
      </w:r>
    </w:p>
    <w:bookmarkEnd w:id="209"/>
    <w:bookmarkStart w:id="210" w:name="X3fc8cac178a1caea02969e5422b93708089a7d1"/>
    <w:p>
      <w:pPr>
        <w:pStyle w:val="Heading3"/>
      </w:pPr>
      <w:r>
        <w:rPr>
          <w:rStyle w:val="SectionNumber"/>
        </w:rPr>
        <w:t xml:space="preserve">18.3.6</w:t>
      </w:r>
      <w:r>
        <w:tab/>
      </w:r>
      <w:r>
        <w:rPr>
          <w:rStyle w:val="VerbatimChar"/>
        </w:rPr>
        <w:t xml:space="preserve">Tone Marks</w:t>
      </w:r>
      <w:r>
        <w:t xml:space="preserve"> </w:t>
      </w:r>
      <w:r>
        <w:t xml:space="preserve">(</w:t>
      </w:r>
      <w:r>
        <w:rPr>
          <w:iCs/>
          <w:i/>
        </w:rPr>
        <w:t xml:space="preserve">shōten</w:t>
      </w:r>
      <w:r>
        <w:t xml:space="preserve">) (声点)</w:t>
      </w:r>
    </w:p>
    <w:p>
      <w:pPr>
        <w:pStyle w:val="FirstParagraph"/>
      </w:pPr>
      <w:r>
        <w:t xml:space="preserve">Since</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are a feature of great interest to users of the</w:t>
      </w:r>
      <w:r>
        <w:t xml:space="preserve"> </w:t>
      </w:r>
      <w:r>
        <w:rPr>
          <w:iCs/>
          <w:i/>
        </w:rPr>
        <w:t xml:space="preserve">Myōgishō</w:t>
      </w:r>
      <w:r>
        <w:t xml:space="preserve"> </w:t>
      </w:r>
      <w:r>
        <w:t xml:space="preserve">data, they are explained in detail here.</w:t>
      </w:r>
    </w:p>
    <w:p>
      <w:pPr>
        <w:pStyle w:val="BodyText"/>
      </w:pPr>
      <w:r>
        <w:t xml:space="preserve">In the published data, the transcription of the</w:t>
      </w:r>
      <w:r>
        <w:t xml:space="preserve"> </w:t>
      </w:r>
      <w:r>
        <w:rPr>
          <w:rStyle w:val="VerbatimChar"/>
          <w:bCs/>
          <w:b/>
        </w:rPr>
        <w:t xml:space="preserve">Original Glosses</w:t>
      </w:r>
      <w:r>
        <w:t xml:space="preserve"> </w:t>
      </w:r>
      <w:r>
        <w:t xml:space="preserve">is recorded in the</w:t>
      </w:r>
      <w:r>
        <w:t xml:space="preserve"> </w:t>
      </w:r>
      <w:r>
        <w:rPr>
          <w:rStyle w:val="VerbatimChar"/>
        </w:rPr>
        <w:t xml:space="preserve">definition_elements</w:t>
      </w:r>
      <w:r>
        <w:t xml:space="preserve"> </w:t>
      </w:r>
      <w:r>
        <w:t xml:space="preserve">column of the</w:t>
      </w:r>
      <w:r>
        <w:t xml:space="preserve"> </w:t>
      </w:r>
      <w:r>
        <w:rPr>
          <w:rStyle w:val="VerbatimChar"/>
        </w:rPr>
        <w:t xml:space="preserve">krm_notes</w:t>
      </w:r>
      <w:r>
        <w:t xml:space="preserve"> </w:t>
      </w:r>
      <w:r>
        <w:t xml:space="preserve">file. By loading</w:t>
      </w:r>
      <w:r>
        <w:t xml:space="preserve"> </w:t>
      </w:r>
      <w:r>
        <w:rPr>
          <w:rStyle w:val="VerbatimChar"/>
        </w:rPr>
        <w:t xml:space="preserve">krm_notes.tsv</w:t>
      </w:r>
      <w:r>
        <w:t xml:space="preserve"> </w:t>
      </w:r>
      <w:r>
        <w:t xml:space="preserve">into a spreadsheet program like Excel and filtering the</w:t>
      </w:r>
      <w:r>
        <w:t xml:space="preserve"> </w:t>
      </w:r>
      <w:r>
        <w:rPr>
          <w:rStyle w:val="VerbatimChar"/>
        </w:rPr>
        <w:t xml:space="preserve">definition_type_name</w:t>
      </w:r>
      <w:r>
        <w:t xml:space="preserve"> </w:t>
      </w:r>
      <w:r>
        <w:t xml:space="preserve">column for</w:t>
      </w:r>
      <w:r>
        <w:t xml:space="preserve"> </w:t>
      </w:r>
      <w:r>
        <w:t xml:space="preserve">“</w:t>
      </w:r>
      <w:r>
        <w:rPr>
          <w:rStyle w:val="VerbatimChar"/>
          <w:bCs/>
          <w:b/>
        </w:rPr>
        <w:t xml:space="preserve">Phonetic Gloss</w:t>
      </w:r>
      <w:r>
        <w:t xml:space="preserve">”</w:t>
      </w:r>
      <w:r>
        <w:t xml:space="preserve"> </w:t>
      </w:r>
      <w:r>
        <w:t xml:space="preserve">or</w:t>
      </w:r>
      <w:r>
        <w:t xml:space="preserve"> </w:t>
      </w:r>
      <w:r>
        <w:t xml:space="preserve">“</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w:t>
      </w:r>
      <w:r>
        <w:t xml:space="preserve">, users can extract the relevant information.</w:t>
      </w:r>
    </w:p>
    <w:p>
      <w:pPr>
        <w:pStyle w:val="BodyText"/>
      </w:pPr>
      <w:r>
        <w:rPr>
          <w:bCs/>
          <w:b/>
        </w:rPr>
        <w:t xml:space="preserve">Types of</w:t>
      </w:r>
      <w:r>
        <w:rPr>
          <w:bCs/>
          <w:b/>
        </w:rP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p>
    <w:p>
      <w:pPr>
        <w:pStyle w:val="BodyText"/>
      </w:pP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are indicated by the abbreviations shown in parentheses: Ping/Even (L), Shang/Rising (H), Qu/Departing (R), Ru/Entering (S), Ping-Qing/Even-Light (F), and Ru-Qing/Entering-Light (T). The identification of light tones (軽声,</w:t>
      </w:r>
      <w:r>
        <w:t xml:space="preserve"> </w:t>
      </w:r>
      <w:r>
        <w:rPr>
          <w:iCs/>
          <w:i/>
        </w:rPr>
        <w:t xml:space="preserve">keishō</w:t>
      </w:r>
      <w:r>
        <w:t xml:space="preserve">) is provisional.</w:t>
      </w:r>
    </w:p>
    <w:p>
      <w:pPr>
        <w:pStyle w:val="BodyText"/>
      </w:pPr>
      <w:r>
        <w:t xml:space="preserve">If the position of a</w:t>
      </w:r>
      <w:r>
        <w:t xml:space="preserve"> </w:t>
      </w:r>
      <w:r>
        <w:rPr>
          <w:rStyle w:val="VerbatimChar"/>
          <w:bCs/>
          <w:b/>
        </w:rPr>
        <w:t xml:space="preserve">Tone Mark</w:t>
      </w:r>
      <w:r>
        <w:rPr>
          <w:bCs/>
          <w:b/>
        </w:rPr>
        <w:t xml:space="preserve"> </w:t>
      </w:r>
      <w:r>
        <w:rPr>
          <w:bCs/>
          <w:b/>
        </w:rPr>
        <w:t xml:space="preserve">(</w:t>
      </w:r>
      <w:r>
        <w:rPr>
          <w:iCs/>
          <w:i/>
          <w:bCs/>
          <w:b/>
        </w:rPr>
        <w:t xml:space="preserve">shōten</w:t>
      </w:r>
      <w:r>
        <w:rPr>
          <w:bCs/>
          <w:b/>
        </w:rPr>
        <w:t xml:space="preserve">)</w:t>
      </w:r>
      <w:r>
        <w:t xml:space="preserve"> </w:t>
      </w:r>
      <w:r>
        <w:t xml:space="preserve">is difficult to determine, a question mark</w:t>
      </w:r>
      <w:r>
        <w:t xml:space="preserve"> </w:t>
      </w:r>
      <w:r>
        <w:t xml:space="preserve">“</w:t>
      </w:r>
      <w:r>
        <w:t xml:space="preserve">?</w:t>
      </w:r>
      <w:r>
        <w:t xml:space="preserve">”</w:t>
      </w:r>
      <w:r>
        <w:t xml:space="preserve"> </w:t>
      </w:r>
      <w:r>
        <w:t xml:space="preserve">is added to indicate this uncertainty.</w:t>
      </w:r>
    </w:p>
    <w:p>
      <w:pPr>
        <w:pStyle w:val="BodyText"/>
      </w:pPr>
      <w:r>
        <w:t xml:space="preserve">Voiced sound marks and nasal sound symbols are often displayed concurrently with</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so they are explained next.</w:t>
      </w:r>
    </w:p>
    <w:p>
      <w:pPr>
        <w:pStyle w:val="BodyText"/>
      </w:pPr>
      <w:r>
        <w:rPr>
          <w:bCs/>
          <w:b/>
        </w:rPr>
        <w:t xml:space="preserve">Voiced Sounds (濁音,</w:t>
      </w:r>
      <w:r>
        <w:rPr>
          <w:bCs/>
          <w:b/>
        </w:rPr>
        <w:t xml:space="preserve"> </w:t>
      </w:r>
      <w:r>
        <w:rPr>
          <w:iCs/>
          <w:i/>
          <w:bCs/>
          <w:b/>
        </w:rPr>
        <w:t xml:space="preserve">dakuon</w:t>
      </w:r>
      <w:r>
        <w:rPr>
          <w:bCs/>
          <w:b/>
        </w:rPr>
        <w:t xml:space="preserve">)</w:t>
      </w:r>
    </w:p>
    <w:p>
      <w:pPr>
        <w:pStyle w:val="BodyText"/>
      </w:pPr>
      <w:r>
        <w:t xml:space="preserve">The voiced sound mark (濁音符号,</w:t>
      </w:r>
      <w:r>
        <w:t xml:space="preserve"> </w:t>
      </w:r>
      <w:r>
        <w:rPr>
          <w:iCs/>
          <w:i/>
        </w:rPr>
        <w:t xml:space="preserve">dakuon fugō</w:t>
      </w:r>
      <w:r>
        <w:t xml:space="preserve">), indicated by double dots (゛) in the original, is represented by the English letter</w:t>
      </w:r>
      <w:r>
        <w:t xml:space="preserve"> </w:t>
      </w:r>
      <w:r>
        <w:t xml:space="preserve">‘</w:t>
      </w:r>
      <w:r>
        <w:t xml:space="preserve">V</w:t>
      </w:r>
      <w:r>
        <w:t xml:space="preserve">’</w:t>
      </w:r>
      <w:r>
        <w:t xml:space="preserve"> </w:t>
      </w:r>
      <w:r>
        <w:t xml:space="preserve">(U+0056) in the data.</w:t>
      </w:r>
    </w:p>
    <w:p>
      <w:pPr>
        <w:pStyle w:val="BodyText"/>
      </w:pPr>
      <w:r>
        <w:rPr>
          <w:bCs/>
          <w:b/>
        </w:rPr>
        <w:t xml:space="preserve">Nasal Sound Symbols (鼻音符号,</w:t>
      </w:r>
      <w:r>
        <w:rPr>
          <w:bCs/>
          <w:b/>
        </w:rPr>
        <w:t xml:space="preserve"> </w:t>
      </w:r>
      <w:r>
        <w:rPr>
          <w:iCs/>
          <w:i/>
          <w:bCs/>
          <w:b/>
        </w:rPr>
        <w:t xml:space="preserve">bion fugō</w:t>
      </w:r>
      <w:r>
        <w:rPr>
          <w:bCs/>
          <w:b/>
        </w:rPr>
        <w:t xml:space="preserve">)</w:t>
      </w:r>
    </w:p>
    <w:p>
      <w:pPr>
        <w:pStyle w:val="BodyText"/>
      </w:pPr>
      <w:r>
        <w:t xml:space="preserve">The nasal sound symbol (鼻音符号,</w:t>
      </w:r>
      <w:r>
        <w:t xml:space="preserve"> </w:t>
      </w:r>
      <w:r>
        <w:rPr>
          <w:iCs/>
          <w:i/>
        </w:rPr>
        <w:t xml:space="preserve">bion fugō</w:t>
      </w:r>
      <w:r>
        <w:t xml:space="preserve">; also 鼻音符,</w:t>
      </w:r>
      <w:r>
        <w:t xml:space="preserve"> </w:t>
      </w:r>
      <w:r>
        <w:rPr>
          <w:iCs/>
          <w:i/>
        </w:rPr>
        <w:t xml:space="preserve">bíyīnfú</w:t>
      </w:r>
      <w:r>
        <w:t xml:space="preserve"> </w:t>
      </w:r>
      <w:r>
        <w:t xml:space="preserve">in Chinese) is represented by the English letter</w:t>
      </w:r>
      <w:r>
        <w:t xml:space="preserve"> </w:t>
      </w:r>
      <w:r>
        <w:t xml:space="preserve">‘</w:t>
      </w:r>
      <w:r>
        <w:t xml:space="preserve">N</w:t>
      </w:r>
      <w:r>
        <w:t xml:space="preserve">’</w:t>
      </w:r>
      <w:r>
        <w:t xml:space="preserve"> </w:t>
      </w:r>
      <w:r>
        <w:t xml:space="preserve">(U+004E) in the data. In the manuscript, nasal sound symbols appear in forms such as ✓, v, レ, or 」. If it is necessary to refer to the specific shape of a nasal sound symbol, the check mark</w:t>
      </w:r>
      <w:r>
        <w:t xml:space="preserve"> </w:t>
      </w:r>
      <w:r>
        <w:t xml:space="preserve">‘</w:t>
      </w:r>
      <w:r>
        <w:t xml:space="preserve">✓</w:t>
      </w:r>
      <w:r>
        <w:t xml:space="preserve">’</w:t>
      </w:r>
      <w:r>
        <w:t xml:space="preserve"> </w:t>
      </w:r>
      <w:r>
        <w:t xml:space="preserve">(U+2713) is used for explanatory purposes.</w:t>
      </w:r>
    </w:p>
    <w:p>
      <w:pPr>
        <w:pStyle w:val="BodyText"/>
      </w:pPr>
      <w:r>
        <w:rPr>
          <w:bCs/>
          <w:b/>
        </w:rPr>
        <w:t xml:space="preserve">Multiple</w:t>
      </w:r>
      <w:r>
        <w:rPr>
          <w:bCs/>
          <w:b/>
        </w:rP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p>
    <w:p>
      <w:pPr>
        <w:pStyle w:val="BodyText"/>
      </w:pPr>
      <w:r>
        <w:t xml:space="preserve">When multiple</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are present, they are listed in the following order: Ping/Even (L) → Ping-Qing/Even-Light (F) → Shang/Rising (H) → Qu/Departing (R) → Ru-Qing/Entering-Light (T) → Ru/Entering (S). They are separated by a hyphen-minus (</w:t>
      </w:r>
      <w:r>
        <w:t xml:space="preserve">‘</w:t>
      </w:r>
      <w:r>
        <w:t xml:space="preserve">-</w:t>
      </w:r>
      <w:r>
        <w:t xml:space="preserve">’</w:t>
      </w:r>
      <w:r>
        <w:t xml:space="preserve">, U+002D).</w:t>
      </w:r>
    </w:p>
    <w:p>
      <w:pPr>
        <w:pStyle w:val="BodyText"/>
      </w:pPr>
      <w:r>
        <w:rPr>
          <w:bCs/>
          <w:b/>
        </w:rPr>
        <w:t xml:space="preserve">Types of</w:t>
      </w:r>
      <w:r>
        <w:rPr>
          <w:bCs/>
          <w:b/>
        </w:rPr>
        <w:t xml:space="preserve"> </w:t>
      </w:r>
      <w:r>
        <w:rPr>
          <w:rStyle w:val="VerbatimChar"/>
          <w:bCs/>
          <w:b/>
        </w:rPr>
        <w:t xml:space="preserve">Phonetic Glosses</w:t>
      </w:r>
    </w:p>
    <w:p>
      <w:pPr>
        <w:pStyle w:val="BodyText"/>
      </w:pPr>
      <w:r>
        <w:t xml:space="preserve">There are three types of</w:t>
      </w:r>
      <w:r>
        <w:t xml:space="preserve"> </w:t>
      </w:r>
      <w:r>
        <w:rPr>
          <w:rStyle w:val="VerbatimChar"/>
          <w:bCs/>
          <w:b/>
        </w:rPr>
        <w:t xml:space="preserve">Phonetic Glosses</w:t>
      </w:r>
      <w:r>
        <w:t xml:space="preserve">:</w:t>
      </w:r>
      <w:r>
        <w:t xml:space="preserve"> </w:t>
      </w:r>
      <w:r>
        <w:t xml:space="preserve">*</w:t>
      </w:r>
      <w:r>
        <w:t xml:space="preserve"> </w:t>
      </w:r>
      <w:r>
        <w:rPr>
          <w:rStyle w:val="VerbatimChar"/>
          <w:bCs/>
          <w:b/>
        </w:rPr>
        <w:t xml:space="preserve">Fanqie spellings</w:t>
      </w:r>
      <w:r>
        <w:t xml:space="preserve"> </w:t>
      </w:r>
      <w:r>
        <w:t xml:space="preserve">(反切,</w:t>
      </w:r>
      <w:r>
        <w:t xml:space="preserve"> </w:t>
      </w:r>
      <w:r>
        <w:rPr>
          <w:iCs/>
          <w:i/>
        </w:rPr>
        <w:t xml:space="preserve">hansetsu</w:t>
      </w:r>
      <w:r>
        <w:t xml:space="preserve"> </w:t>
      </w:r>
      <w:r>
        <w:t xml:space="preserve">or</w:t>
      </w:r>
      <w:r>
        <w:t xml:space="preserve"> </w:t>
      </w:r>
      <w:r>
        <w:rPr>
          <w:iCs/>
          <w:i/>
        </w:rPr>
        <w:t xml:space="preserve">fanqie</w:t>
      </w:r>
      <w:r>
        <w:t xml:space="preserve">),</w:t>
      </w:r>
      <w:r>
        <w:t xml:space="preserve"> </w:t>
      </w:r>
      <w:r>
        <w:t xml:space="preserve">*</w:t>
      </w:r>
      <w:r>
        <w:t xml:space="preserve"> </w:t>
      </w:r>
      <w:r>
        <w:rPr>
          <w:rStyle w:val="VerbatimChar"/>
          <w:bCs/>
          <w:b/>
        </w:rPr>
        <w:t xml:space="preserve">Similar sound notes</w:t>
      </w:r>
      <w:r>
        <w:t xml:space="preserve"> </w:t>
      </w:r>
      <w:r>
        <w:t xml:space="preserve">(類音注,</w:t>
      </w:r>
      <w:r>
        <w:t xml:space="preserve"> </w:t>
      </w:r>
      <w:r>
        <w:rPr>
          <w:iCs/>
          <w:i/>
        </w:rPr>
        <w:t xml:space="preserve">ruion-chū</w:t>
      </w:r>
      <w:r>
        <w:t xml:space="preserve">; annotations indicating similar pronunciations by character), and</w:t>
      </w:r>
      <w:r>
        <w:t xml:space="preserve"> </w:t>
      </w:r>
      <w:r>
        <w:t xml:space="preserve">*</w:t>
      </w:r>
      <w:r>
        <w:t xml:space="preserve"> </w:t>
      </w:r>
      <w:r>
        <w:rPr>
          <w:rStyle w:val="VerbatimChar"/>
          <w:bCs/>
          <w:b/>
        </w:rPr>
        <w:t xml:space="preserve">Kana glosses</w:t>
      </w:r>
      <w:r>
        <w:t xml:space="preserve"> </w:t>
      </w:r>
      <w:r>
        <w:t xml:space="preserve">(仮名音注,</w:t>
      </w:r>
      <w:r>
        <w:t xml:space="preserve"> </w:t>
      </w:r>
      <w:r>
        <w:rPr>
          <w:iCs/>
          <w:i/>
        </w:rPr>
        <w:t xml:space="preserve">kana-onchū</w:t>
      </w:r>
      <w:r>
        <w:t xml:space="preserve">; phonetic annotations in kana).</w:t>
      </w:r>
    </w:p>
    <w:p>
      <w:pPr>
        <w:pStyle w:val="BodyText"/>
      </w:pP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and voiced sound indications using double-dot</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(i.e.,</w:t>
      </w:r>
      <w:r>
        <w:t xml:space="preserve"> </w:t>
      </w:r>
      <w:r>
        <w:rPr>
          <w:iCs/>
          <w:i/>
        </w:rPr>
        <w:t xml:space="preserve">dakuten</w:t>
      </w:r>
      <w:r>
        <w:t xml:space="preserve"> </w:t>
      </w:r>
      <w:r>
        <w:t xml:space="preserve">represented via</w:t>
      </w:r>
      <w:r>
        <w:t xml:space="preserve"> </w:t>
      </w:r>
      <w:r>
        <w:rPr>
          <w:iCs/>
          <w:i/>
        </w:rPr>
        <w:t xml:space="preserve">shōten</w:t>
      </w:r>
      <w:r>
        <w:t xml:space="preserve"> </w:t>
      </w:r>
      <w:r>
        <w:t xml:space="preserve">placement) can be applied to</w:t>
      </w:r>
      <w:r>
        <w:t xml:space="preserve"> </w:t>
      </w:r>
      <w:r>
        <w:rPr>
          <w:rStyle w:val="VerbatimChar"/>
          <w:bCs/>
          <w:b/>
        </w:rPr>
        <w:t xml:space="preserve">Fanqie spellings</w:t>
      </w:r>
      <w:r>
        <w:t xml:space="preserve">,</w:t>
      </w:r>
      <w:r>
        <w:t xml:space="preserve"> </w:t>
      </w:r>
      <w:r>
        <w:rPr>
          <w:rStyle w:val="VerbatimChar"/>
          <w:bCs/>
          <w:b/>
        </w:rPr>
        <w:t xml:space="preserve">Similar sound notes</w:t>
      </w:r>
      <w:r>
        <w:t xml:space="preserve">, and</w:t>
      </w:r>
      <w:r>
        <w:t xml:space="preserve"> </w:t>
      </w:r>
      <w:r>
        <w:rPr>
          <w:rStyle w:val="VerbatimChar"/>
          <w:bCs/>
          <w:b/>
        </w:rPr>
        <w:t xml:space="preserve">Kana glosses</w:t>
      </w:r>
      <w:r>
        <w:t xml:space="preserve">.</w:t>
      </w:r>
      <w:r>
        <w:t xml:space="preserve"> </w:t>
      </w:r>
      <w:r>
        <w:t xml:space="preserve">Nasal sound symbols are applied to</w:t>
      </w:r>
      <w:r>
        <w:t xml:space="preserve"> </w:t>
      </w:r>
      <w:r>
        <w:rPr>
          <w:rStyle w:val="VerbatimChar"/>
          <w:bCs/>
          <w:b/>
        </w:rPr>
        <w:t xml:space="preserve">Kana glosses</w:t>
      </w:r>
      <w:r>
        <w:t xml:space="preserve">.</w:t>
      </w:r>
    </w:p>
    <w:p>
      <w:pPr>
        <w:pStyle w:val="BodyText"/>
      </w:pPr>
      <w:r>
        <w:rPr>
          <w:bCs/>
          <w:b/>
        </w:rPr>
        <w:t xml:space="preserve">Types of</w:t>
      </w:r>
      <w:r>
        <w:rPr>
          <w:bCs/>
          <w:b/>
        </w:rP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p>
    <w:p>
      <w:pPr>
        <w:pStyle w:val="BodyText"/>
      </w:pP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are generally written in Katakana.</w:t>
      </w:r>
    </w:p>
    <w:p>
      <w:pPr>
        <w:pStyle w:val="BodyText"/>
      </w:pPr>
      <w:r>
        <w:t xml:space="preserve">The only exception is for</w:t>
      </w:r>
      <w:r>
        <w:t xml:space="preserve"> </w:t>
      </w:r>
      <w:r>
        <w:t xml:space="preserve">‘</w:t>
      </w:r>
      <w:r>
        <w:t xml:space="preserve">木賊</w:t>
      </w:r>
      <w:r>
        <w:t xml:space="preserve">’</w:t>
      </w:r>
      <w:r>
        <w:t xml:space="preserve"> </w:t>
      </w:r>
      <w:r>
        <w:t xml:space="preserve">(</w:t>
      </w:r>
      <w:r>
        <w:rPr>
          <w:iCs/>
          <w:i/>
        </w:rPr>
        <w:t xml:space="preserve">tokusa</w:t>
      </w:r>
      <w:r>
        <w:t xml:space="preserve">), where the</w:t>
      </w:r>
      <w:r>
        <w:t xml:space="preserve"> </w:t>
      </w:r>
      <w:r>
        <w:rPr>
          <w:iCs/>
          <w:i/>
        </w:rPr>
        <w:t xml:space="preserve">Man’yōgana</w:t>
      </w:r>
      <w:r>
        <w:t xml:space="preserve"> </w:t>
      </w:r>
      <w:r>
        <w:t xml:space="preserve">‘</w:t>
      </w:r>
      <w:r>
        <w:t xml:space="preserve">度久佐</w:t>
      </w:r>
      <w:r>
        <w:t xml:space="preserve">’</w:t>
      </w:r>
      <w:r>
        <w:t xml:space="preserve"> </w:t>
      </w:r>
      <w:r>
        <w:t xml:space="preserve">(</w:t>
      </w:r>
      <w:r>
        <w:rPr>
          <w:iCs/>
          <w:i/>
        </w:rPr>
        <w:t xml:space="preserve">tokusa</w:t>
      </w:r>
      <w:r>
        <w:t xml:space="preserve">) is used; this instance does not have</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applied.</w:t>
      </w:r>
    </w:p>
    <w:p>
      <w:pPr>
        <w:pStyle w:val="BodyText"/>
      </w:pP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can have</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and voiced sound indications (using double-dot</w:t>
      </w:r>
      <w:r>
        <w:t xml:space="preserve"> </w:t>
      </w:r>
      <w:r>
        <w:rPr>
          <w:iCs/>
          <w:i/>
        </w:rPr>
        <w:t xml:space="preserve">shōten</w:t>
      </w:r>
      <w:r>
        <w:t xml:space="preserve">) applied.</w:t>
      </w:r>
      <w:r>
        <w:t xml:space="preserve"> </w:t>
      </w:r>
      <w:r>
        <w:t xml:space="preserve">There is one recognized, though not entirely certain, instance of a nasal sound symbol being applied to a</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(a nasal sound symbol on</w:t>
      </w:r>
      <w:r>
        <w:t xml:space="preserve"> </w:t>
      </w:r>
      <w:r>
        <w:t xml:space="preserve">‘</w:t>
      </w:r>
      <w:r>
        <w:t xml:space="preserve">ナ</w:t>
      </w:r>
      <w:r>
        <w:t xml:space="preserve">’</w:t>
      </w:r>
      <w:r>
        <w:t xml:space="preserve"> </w:t>
      </w:r>
      <w:r>
        <w:t xml:space="preserve">in the</w:t>
      </w:r>
      <w:r>
        <w:t xml:space="preserve"> </w:t>
      </w:r>
      <w:r>
        <w:rPr>
          <w:iCs/>
          <w:i/>
        </w:rPr>
        <w:t xml:space="preserve">wakun</w:t>
      </w:r>
      <w:r>
        <w:t xml:space="preserve"> </w:t>
      </w:r>
      <w:r>
        <w:t xml:space="preserve">‘</w:t>
      </w:r>
      <w:r>
        <w:t xml:space="preserve">ナラフ</w:t>
      </w:r>
      <w:r>
        <w:t xml:space="preserve">’</w:t>
      </w:r>
      <w:r>
        <w:t xml:space="preserve"> </w:t>
      </w:r>
      <w:r>
        <w:t xml:space="preserve">for the character</w:t>
      </w:r>
      <w:r>
        <w:t xml:space="preserve"> </w:t>
      </w:r>
      <w:r>
        <w:t xml:space="preserve">‘</w:t>
      </w:r>
      <w:r>
        <w:t xml:space="preserve">儔</w:t>
      </w:r>
      <w:r>
        <w:t xml:space="preserve">’</w:t>
      </w:r>
      <w:r>
        <w:t xml:space="preserve">).</w:t>
      </w:r>
    </w:p>
    <w:p>
      <w:pPr>
        <w:pStyle w:val="BodyText"/>
      </w:pPr>
      <w:r>
        <w:rPr>
          <w:bCs/>
          <w:b/>
        </w:rPr>
        <w:t xml:space="preserve">Input and Processing Methods for</w:t>
      </w:r>
      <w:r>
        <w:rPr>
          <w:bCs/>
          <w:b/>
        </w:rP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 Voiced Sound Marks, and Nasal Sound Symbols</w:t>
      </w:r>
    </w:p>
    <w:p>
      <w:pPr>
        <w:pStyle w:val="BodyText"/>
      </w:pP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and voiced sound indications (using double-dot</w:t>
      </w:r>
      <w:r>
        <w:t xml:space="preserve"> </w:t>
      </w:r>
      <w:r>
        <w:rPr>
          <w:iCs/>
          <w:i/>
        </w:rPr>
        <w:t xml:space="preserve">shōten</w:t>
      </w:r>
      <w:r>
        <w:t xml:space="preserve">) are applied to</w:t>
      </w:r>
      <w:r>
        <w:t xml:space="preserve"> </w:t>
      </w:r>
      <w:r>
        <w:rPr>
          <w:rStyle w:val="VerbatimChar"/>
          <w:bCs/>
          <w:b/>
        </w:rPr>
        <w:t xml:space="preserve">Hanzi (Chinese characters)</w:t>
      </w:r>
      <w:r>
        <w:t xml:space="preserve"> </w:t>
      </w:r>
      <w:r>
        <w:t xml:space="preserve">or to</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written in Katakana.</w:t>
      </w:r>
      <w:r>
        <w:t xml:space="preserve"> </w:t>
      </w:r>
      <w:r>
        <w:t xml:space="preserve">Nasal sound symbols are applied to</w:t>
      </w:r>
      <w:r>
        <w:t xml:space="preserve"> </w:t>
      </w:r>
      <w:r>
        <w:rPr>
          <w:rStyle w:val="VerbatimChar"/>
          <w:bCs/>
          <w:b/>
        </w:rPr>
        <w:t xml:space="preserve">Phonetic Glosses</w:t>
      </w:r>
      <w:r>
        <w:t xml:space="preserve"> </w:t>
      </w:r>
      <w:r>
        <w:t xml:space="preserve">in Katakana (i.e.,</w:t>
      </w:r>
      <w:r>
        <w:t xml:space="preserve"> </w:t>
      </w:r>
      <w:r>
        <w:rPr>
          <w:rStyle w:val="VerbatimChar"/>
          <w:bCs/>
          <w:b/>
        </w:rPr>
        <w:t xml:space="preserve">Kana glosses</w:t>
      </w:r>
      <w:r>
        <w:t xml:space="preserve">) or to</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in Katakana.</w:t>
      </w:r>
    </w:p>
    <w:p>
      <w:pPr>
        <w:pStyle w:val="BodyText"/>
      </w:pPr>
      <w:r>
        <w:t xml:space="preserve">For</w:t>
      </w:r>
      <w:r>
        <w:t xml:space="preserve"> </w:t>
      </w:r>
      <w:r>
        <w:rPr>
          <w:rStyle w:val="VerbatimChar"/>
          <w:bCs/>
          <w:b/>
        </w:rPr>
        <w:t xml:space="preserve">Fanqie spellings</w:t>
      </w:r>
      <w:r>
        <w:t xml:space="preserve"> </w:t>
      </w:r>
      <w:r>
        <w:t xml:space="preserve">(反切,</w:t>
      </w:r>
      <w:r>
        <w:t xml:space="preserve"> </w:t>
      </w:r>
      <w:r>
        <w:rPr>
          <w:iCs/>
          <w:i/>
        </w:rPr>
        <w:t xml:space="preserve">hansetsu</w:t>
      </w:r>
      <w:r>
        <w:t xml:space="preserve">), which consist of an initial character (反切上字,</w:t>
      </w:r>
      <w:r>
        <w:t xml:space="preserve"> </w:t>
      </w:r>
      <w:r>
        <w:rPr>
          <w:iCs/>
          <w:i/>
        </w:rPr>
        <w:t xml:space="preserve">hansetsu jōji</w:t>
      </w:r>
      <w:r>
        <w:t xml:space="preserve">) and a final character (反切下字,</w:t>
      </w:r>
      <w:r>
        <w:t xml:space="preserve"> </w:t>
      </w:r>
      <w:r>
        <w:rPr>
          <w:iCs/>
          <w:i/>
        </w:rPr>
        <w:t xml:space="preserve">hansetsu kaji</w:t>
      </w:r>
      <w:r>
        <w:t xml:space="preserve">), any applied</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are converted to their corresponding symbols (e.g., L, H) and enclosed in full-width parentheses（）.</w:t>
      </w:r>
    </w:p>
    <w:p>
      <w:pPr>
        <w:pStyle w:val="BodyText"/>
      </w:pPr>
      <w:r>
        <w:rPr>
          <w:rStyle w:val="VerbatimChar"/>
          <w:bCs/>
          <w:b/>
        </w:rPr>
        <w:t xml:space="preserve">Similar sound notes</w:t>
      </w:r>
      <w:r>
        <w:t xml:space="preserve"> </w:t>
      </w:r>
      <w:r>
        <w:t xml:space="preserve">(類音注,</w:t>
      </w:r>
      <w:r>
        <w:t xml:space="preserve"> </w:t>
      </w:r>
      <w:r>
        <w:rPr>
          <w:iCs/>
          <w:i/>
        </w:rPr>
        <w:t xml:space="preserve">ruion-chū</w:t>
      </w:r>
      <w:r>
        <w:t xml:space="preserve">) are also enclosed in full-width parentheses（）.</w:t>
      </w:r>
    </w:p>
    <w:p>
      <w:pPr>
        <w:pStyle w:val="BodyText"/>
      </w:pPr>
      <w:r>
        <w:rPr>
          <w:rStyle w:val="VerbatimChar"/>
          <w:bCs/>
          <w:b/>
        </w:rPr>
        <w:t xml:space="preserve">Kana glosses</w:t>
      </w:r>
      <w:r>
        <w:t xml:space="preserve"> </w:t>
      </w:r>
      <w:r>
        <w:t xml:space="preserve">(仮名音注,</w:t>
      </w:r>
      <w:r>
        <w:t xml:space="preserve"> </w:t>
      </w:r>
      <w:r>
        <w:rPr>
          <w:iCs/>
          <w:i/>
        </w:rPr>
        <w:t xml:space="preserve">kana-onchū</w:t>
      </w:r>
      <w:r>
        <w:t xml:space="preserve">), when written in small characters around</w:t>
      </w:r>
      <w:r>
        <w:t xml:space="preserve"> </w:t>
      </w:r>
      <w:r>
        <w:rPr>
          <w:iCs/>
          <w:i/>
        </w:rPr>
        <w:t xml:space="preserve">fanqie</w:t>
      </w:r>
      <w:r>
        <w:t xml:space="preserve"> </w:t>
      </w:r>
      <w:r>
        <w:t xml:space="preserve">spellings or similar sound notes, are enclosed in Japanese quotation marks 「」. However, if a</w:t>
      </w:r>
      <w:r>
        <w:t xml:space="preserve"> </w:t>
      </w:r>
      <w:r>
        <w:rPr>
          <w:rStyle w:val="VerbatimChar"/>
          <w:bCs/>
          <w:b/>
        </w:rPr>
        <w:t xml:space="preserve">Kana gloss</w:t>
      </w:r>
      <w:r>
        <w:t xml:space="preserve"> </w:t>
      </w:r>
      <w:r>
        <w:t xml:space="preserve">is explicitly prefixed with</w:t>
      </w:r>
      <w:r>
        <w:t xml:space="preserve"> </w:t>
      </w:r>
      <w:r>
        <w:t xml:space="preserve">“</w:t>
      </w:r>
      <w:r>
        <w:t xml:space="preserve">呉</w:t>
      </w:r>
      <w:r>
        <w:t xml:space="preserve">”</w:t>
      </w:r>
      <w:r>
        <w:t xml:space="preserve"> </w:t>
      </w:r>
      <w:r>
        <w:t xml:space="preserve">(</w:t>
      </w:r>
      <w:r>
        <w:rPr>
          <w:iCs/>
          <w:i/>
        </w:rPr>
        <w:t xml:space="preserve">Go</w:t>
      </w:r>
      <w:r>
        <w:t xml:space="preserve">, for Go-on) or</w:t>
      </w:r>
      <w:r>
        <w:t xml:space="preserve"> </w:t>
      </w:r>
      <w:r>
        <w:t xml:space="preserve">“</w:t>
      </w:r>
      <w:r>
        <w:t xml:space="preserve">和</w:t>
      </w:r>
      <w:r>
        <w:t xml:space="preserve">”</w:t>
      </w:r>
      <w:r>
        <w:t xml:space="preserve"> </w:t>
      </w:r>
      <w:r>
        <w:t xml:space="preserve">(</w:t>
      </w:r>
      <w:r>
        <w:rPr>
          <w:iCs/>
          <w:i/>
        </w:rPr>
        <w:t xml:space="preserve">Wa</w:t>
      </w:r>
      <w:r>
        <w:t xml:space="preserve">, for Wa-on) within the main text of the</w:t>
      </w:r>
      <w:r>
        <w:t xml:space="preserve"> </w:t>
      </w:r>
      <w:r>
        <w:rPr>
          <w:rStyle w:val="VerbatimChar"/>
          <w:bCs/>
          <w:b/>
        </w:rPr>
        <w:t xml:space="preserve">Original Glosses</w:t>
      </w:r>
      <w:r>
        <w:t xml:space="preserve">, the quotation marks 「」 are omitted.</w:t>
      </w:r>
    </w:p>
    <w:p>
      <w:pPr>
        <w:pStyle w:val="BodyText"/>
      </w:pPr>
      <w:r>
        <w:t xml:space="preserve">For</w:t>
      </w:r>
      <w:r>
        <w:t xml:space="preserve"> </w:t>
      </w:r>
      <w:r>
        <w:rPr>
          <w:rStyle w:val="VerbatimChar"/>
          <w:bCs/>
          <w:b/>
        </w:rPr>
        <w:t xml:space="preserve">Phonetic Glosses</w:t>
      </w:r>
      <w:r>
        <w:t xml:space="preserve">,</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voiced sound marks, and nasal sound symbols are recorded on a per-</w:t>
      </w:r>
      <w:r>
        <w:rPr>
          <w:rStyle w:val="VerbatimChar"/>
          <w:bCs/>
          <w:b/>
        </w:rPr>
        <w:t xml:space="preserve">Hanzi (Chinese character)</w:t>
      </w:r>
      <w:r>
        <w:t xml:space="preserve"> </w:t>
      </w:r>
      <w:r>
        <w:t xml:space="preserve">basis (i.e., for each single character). For</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these marks are recorded for the entire word or phrase.</w:t>
      </w:r>
    </w:p>
    <w:p>
      <w:pPr>
        <w:pStyle w:val="BodyText"/>
      </w:pPr>
      <w:r>
        <w:rPr>
          <w:bCs/>
          <w:b/>
        </w:rPr>
        <w:t xml:space="preserve">Partial Application of</w:t>
      </w:r>
      <w:r>
        <w:rPr>
          <w:bCs/>
          <w:b/>
        </w:rP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p>
    <w:p>
      <w:pPr>
        <w:pStyle w:val="BodyText"/>
      </w:pPr>
      <w:r>
        <w:t xml:space="preserve">If</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are applied to only a part of a</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the parts without</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are indicated by a half-width underscore (’_’, U+005F). (This typically means</w:t>
      </w:r>
      <w:r>
        <w:t xml:space="preserve"> </w:t>
      </w:r>
      <w:r>
        <w:rPr>
          <w:rStyle w:val="VerbatimChar"/>
          <w:bCs/>
          <w:b/>
        </w:rPr>
        <w:t xml:space="preserve">Hanzi (Chinese characters)</w:t>
      </w:r>
      <w:r>
        <w:t xml:space="preserve"> </w:t>
      </w:r>
      <w:r>
        <w:t xml:space="preserve">are treated one by one, while a</w:t>
      </w:r>
      <w:r>
        <w:t xml:space="preserve"> </w:t>
      </w:r>
      <w:r>
        <w:rPr>
          <w:iCs/>
          <w:i/>
        </w:rPr>
        <w:t xml:space="preserve">wakun</w:t>
      </w:r>
      <w:r>
        <w:t xml:space="preserve"> </w:t>
      </w:r>
      <w:r>
        <w:t xml:space="preserve">is treated as a whole unit for tone marking, with underscores for unmarked morae/syllables if only part of it is marked).</w:t>
      </w:r>
    </w:p>
    <w:p>
      <w:pPr>
        <w:pStyle w:val="BodyText"/>
      </w:pPr>
      <w:r>
        <w:rPr>
          <w:bCs/>
          <w:b/>
        </w:rPr>
        <w:t xml:space="preserve">Examples:</w:t>
      </w:r>
      <w:r>
        <w:t xml:space="preserve"> </w:t>
      </w:r>
      <w:r>
        <w:t xml:space="preserve">1. 偵 勅令（R）反</w:t>
      </w:r>
      <w:r>
        <w:t xml:space="preserve"> </w:t>
      </w:r>
      <w:r>
        <w:t xml:space="preserve">2. 使 所里（H）所使（H）二反</w:t>
      </w:r>
      <w:r>
        <w:t xml:space="preserve"> </w:t>
      </w:r>
      <w:r>
        <w:t xml:space="preserve">3. 㒓 達（S）音</w:t>
      </w:r>
      <w:r>
        <w:t xml:space="preserve"> </w:t>
      </w:r>
      <w:r>
        <w:t xml:space="preserve">4. 僆 輦（H）練（R）二音</w:t>
      </w:r>
      <w:r>
        <w:t xml:space="preserve"> </w:t>
      </w:r>
      <w:r>
        <w:t xml:space="preserve">5. 偶 音藕（HV）「コウ」</w:t>
      </w:r>
      <w:r>
        <w:t xml:space="preserve"> </w:t>
      </w:r>
      <w:r>
        <w:t xml:space="preserve">6. 侮 音武（L-HV）「フ」「ム（H）」</w:t>
      </w:r>
      <w:r>
        <w:t xml:space="preserve"> </w:t>
      </w:r>
      <w:r>
        <w:t xml:space="preserve">7. 拱 呉音恐（L）</w:t>
      </w:r>
      <w:r>
        <w:t xml:space="preserve"> </w:t>
      </w:r>
      <w:r>
        <w:t xml:space="preserve">8. 捉 呉冊（S） サク（_L）</w:t>
      </w:r>
      <w:r>
        <w:t xml:space="preserve"> </w:t>
      </w:r>
      <w:r>
        <w:t xml:space="preserve">9. 類 和ルイ（_L）</w:t>
      </w:r>
      <w:r>
        <w:t xml:space="preserve"> </w:t>
      </w:r>
      <w:r>
        <w:t xml:space="preserve">10. 形 和キヤウ（N_H-N）</w:t>
      </w:r>
    </w:p>
    <w:p>
      <w:pPr>
        <w:pStyle w:val="BodyText"/>
      </w:pPr>
      <w:r>
        <w:t xml:space="preserve">Examples 1 and 2 are</w:t>
      </w:r>
      <w:r>
        <w:t xml:space="preserve"> </w:t>
      </w:r>
      <w:r>
        <w:rPr>
          <w:rStyle w:val="VerbatimChar"/>
          <w:bCs/>
          <w:b/>
        </w:rPr>
        <w:t xml:space="preserve">Fanqie spellings</w:t>
      </w:r>
      <w:r>
        <w:t xml:space="preserve">. Examples 3 and 4 are</w:t>
      </w:r>
      <w:r>
        <w:t xml:space="preserve"> </w:t>
      </w:r>
      <w:r>
        <w:rPr>
          <w:rStyle w:val="VerbatimChar"/>
          <w:bCs/>
          <w:b/>
        </w:rPr>
        <w:t xml:space="preserve">Similar sound notes</w:t>
      </w:r>
      <w:r>
        <w:t xml:space="preserve">. Examples 5 and 6 are</w:t>
      </w:r>
      <w:r>
        <w:t xml:space="preserve"> </w:t>
      </w:r>
      <w:r>
        <w:rPr>
          <w:rStyle w:val="VerbatimChar"/>
          <w:bCs/>
          <w:b/>
        </w:rPr>
        <w:t xml:space="preserve">Similar sound notes</w:t>
      </w:r>
      <w:r>
        <w:t xml:space="preserve"> </w:t>
      </w:r>
      <w:r>
        <w:t xml:space="preserve">accompanied by</w:t>
      </w:r>
      <w:r>
        <w:t xml:space="preserve"> </w:t>
      </w:r>
      <w:r>
        <w:rPr>
          <w:rStyle w:val="VerbatimChar"/>
          <w:bCs/>
          <w:b/>
        </w:rPr>
        <w:t xml:space="preserve">Kana glosses</w:t>
      </w:r>
      <w:r>
        <w:t xml:space="preserve">.</w:t>
      </w:r>
    </w:p>
    <w:p>
      <w:pPr>
        <w:pStyle w:val="BodyText"/>
      </w:pPr>
      <w:r>
        <w:t xml:space="preserve">Examples 7 and 8 are</w:t>
      </w:r>
      <w:r>
        <w:t xml:space="preserve"> </w:t>
      </w:r>
      <w:r>
        <w:rPr>
          <w:iCs/>
          <w:i/>
        </w:rPr>
        <w:t xml:space="preserve">Go-on</w:t>
      </w:r>
      <w:r>
        <w:t xml:space="preserve"> </w:t>
      </w:r>
      <w:r>
        <w:t xml:space="preserve">(呉音) readings; example 7 is a</w:t>
      </w:r>
      <w:r>
        <w:t xml:space="preserve"> </w:t>
      </w:r>
      <w:r>
        <w:rPr>
          <w:rStyle w:val="VerbatimChar"/>
          <w:bCs/>
          <w:b/>
        </w:rPr>
        <w:t xml:space="preserve">Similar sound note</w:t>
      </w:r>
      <w:r>
        <w:t xml:space="preserve">, while example 8 is a</w:t>
      </w:r>
      <w:r>
        <w:t xml:space="preserve"> </w:t>
      </w:r>
      <w:r>
        <w:rPr>
          <w:rStyle w:val="VerbatimChar"/>
          <w:bCs/>
          <w:b/>
        </w:rPr>
        <w:t xml:space="preserve">Similar sound note</w:t>
      </w:r>
      <w:r>
        <w:t xml:space="preserve"> </w:t>
      </w:r>
      <w:r>
        <w:t xml:space="preserve">accompanied by a</w:t>
      </w:r>
      <w:r>
        <w:t xml:space="preserve"> </w:t>
      </w:r>
      <w:r>
        <w:rPr>
          <w:rStyle w:val="VerbatimChar"/>
          <w:bCs/>
          <w:b/>
        </w:rPr>
        <w:t xml:space="preserve">Kana gloss</w:t>
      </w:r>
      <w:r>
        <w:t xml:space="preserve">.</w:t>
      </w:r>
    </w:p>
    <w:p>
      <w:pPr>
        <w:pStyle w:val="BodyText"/>
      </w:pPr>
      <w:r>
        <w:t xml:space="preserve">Examples 9 and 10 are</w:t>
      </w:r>
      <w:r>
        <w:t xml:space="preserve"> </w:t>
      </w:r>
      <w:r>
        <w:rPr>
          <w:iCs/>
          <w:i/>
        </w:rPr>
        <w:t xml:space="preserve">Wa-on</w:t>
      </w:r>
      <w:r>
        <w:t xml:space="preserve"> </w:t>
      </w:r>
      <w:r>
        <w:t xml:space="preserve">(和音) readings; example 9 has</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recorded, while example 10 has both</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and nasal sound symbols.</w:t>
      </w:r>
    </w:p>
    <w:p>
      <w:pPr>
        <w:pStyle w:val="BodyText"/>
      </w:pPr>
      <w:r>
        <w:t xml:space="preserve">“</w:t>
      </w:r>
      <w:r>
        <w:t xml:space="preserve">Regarding</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while distinguishing between those written in red ink (朱点,</w:t>
      </w:r>
      <w:r>
        <w:t xml:space="preserve"> </w:t>
      </w:r>
      <w:r>
        <w:rPr>
          <w:iCs/>
          <w:i/>
        </w:rPr>
        <w:t xml:space="preserve">shuten</w:t>
      </w:r>
      <w:r>
        <w:t xml:space="preserve"> </w:t>
      </w:r>
      <w:r>
        <w:t xml:space="preserve">– also referred to by some specialists as</w:t>
      </w:r>
      <w:r>
        <w:t xml:space="preserve"> </w:t>
      </w:r>
      <w:r>
        <w:rPr>
          <w:rStyle w:val="VerbatimChar"/>
          <w:bCs/>
          <w:b/>
        </w:rPr>
        <w:t xml:space="preserve">Vermilion Glosses</w:t>
      </w:r>
      <w:r>
        <w:t xml:space="preserve">) and those written in black ink (墨点,</w:t>
      </w:r>
      <w:r>
        <w:t xml:space="preserve"> </w:t>
      </w:r>
      <w:r>
        <w:rPr>
          <w:iCs/>
          <w:i/>
        </w:rPr>
        <w:t xml:space="preserve">bokuten</w:t>
      </w:r>
      <w:r>
        <w:t xml:space="preserve">) is important, this distinction has not been made in the current data input. We anticipate detailed verification by specialists in historical Japanese phonology.</w:t>
      </w:r>
      <w:r>
        <w:t xml:space="preserve">”</w:t>
      </w:r>
    </w:p>
    <w:bookmarkEnd w:id="210"/>
    <w:bookmarkStart w:id="211" w:name="X0432dbc406e8212bcda3a156ecffd9b5ea1f26d"/>
    <w:p>
      <w:pPr>
        <w:pStyle w:val="Heading3"/>
      </w:pPr>
      <w:r>
        <w:rPr>
          <w:rStyle w:val="SectionNumber"/>
        </w:rPr>
        <w:t xml:space="preserve">18.3.7</w:t>
      </w:r>
      <w:r>
        <w:tab/>
      </w:r>
      <w:r>
        <w:rPr>
          <w:rStyle w:val="VerbatimChar"/>
        </w:rPr>
        <w:t xml:space="preserve">Morphosyntactic Glosses</w:t>
      </w:r>
      <w:r>
        <w:t xml:space="preserve"> </w:t>
      </w:r>
      <w:r>
        <w:t xml:space="preserve">(</w:t>
      </w:r>
      <w:r>
        <w:rPr>
          <w:iCs/>
          <w:i/>
        </w:rPr>
        <w:t xml:space="preserve">wokototen</w:t>
      </w:r>
      <w:r>
        <w:t xml:space="preserve">) (ヲコト点)</w:t>
      </w:r>
    </w:p>
    <w:p>
      <w:pPr>
        <w:pStyle w:val="FirstParagraph"/>
      </w:pPr>
      <w:r>
        <w:t xml:space="preserve">No definitive examples of</w:t>
      </w:r>
      <w:r>
        <w:t xml:space="preserve"> </w:t>
      </w:r>
      <w:r>
        <w:rPr>
          <w:rStyle w:val="VerbatimChar"/>
          <w:bCs/>
          <w:b/>
        </w:rPr>
        <w:t xml:space="preserve">Morphosyntactic Glosses</w:t>
      </w:r>
      <w:r>
        <w:rPr>
          <w:bCs/>
          <w:b/>
        </w:rPr>
        <w:t xml:space="preserve"> </w:t>
      </w:r>
      <w:r>
        <w:rPr>
          <w:bCs/>
          <w:b/>
        </w:rPr>
        <w:t xml:space="preserve">(</w:t>
      </w:r>
      <w:r>
        <w:rPr>
          <w:iCs/>
          <w:i/>
          <w:bCs/>
          <w:b/>
        </w:rPr>
        <w:t xml:space="preserve">wokototen</w:t>
      </w:r>
      <w:r>
        <w:rPr>
          <w:bCs/>
          <w:b/>
        </w:rPr>
        <w:t xml:space="preserve">)</w:t>
      </w:r>
      <w:r>
        <w:t xml:space="preserve"> </w:t>
      </w:r>
      <w:r>
        <w:t xml:space="preserve">have been confirmed in the manuscript at this time.</w:t>
      </w:r>
      <w:r>
        <w:t xml:space="preserve"> </w:t>
      </w:r>
      <w:r>
        <w:t xml:space="preserve">Should any definitive examples be identified, they will be transcribed using Hiragana.</w:t>
      </w:r>
    </w:p>
    <w:p>
      <w:pPr>
        <w:pStyle w:val="BodyText"/>
      </w:pPr>
      <w:r>
        <w:t xml:space="preserve">This may be an example of a</w:t>
      </w:r>
      <w:r>
        <w:t xml:space="preserve"> </w:t>
      </w:r>
      <w:r>
        <w:rPr>
          <w:iCs/>
          <w:i/>
        </w:rPr>
        <w:t xml:space="preserve">wokototen</w:t>
      </w:r>
      <w:r>
        <w:t xml:space="preserve">.</w:t>
      </w:r>
    </w:p>
    <w:p>
      <w:pPr>
        <w:numPr>
          <w:ilvl w:val="0"/>
          <w:numId w:val="1144"/>
        </w:numPr>
        <w:pStyle w:val="Compact"/>
      </w:pPr>
      <w:r>
        <w:rPr>
          <w:rStyle w:val="VerbatimChar"/>
        </w:rPr>
        <w:t xml:space="preserve">kazama_location</w:t>
      </w:r>
      <w:r>
        <w:t xml:space="preserve">: K0601343,</w:t>
      </w:r>
      <w:r>
        <w:t xml:space="preserve"> </w:t>
      </w:r>
      <w:r>
        <w:rPr>
          <w:rStyle w:val="VerbatimChar"/>
        </w:rPr>
        <w:t xml:space="preserve">hanzi_entry</w:t>
      </w:r>
      <w:r>
        <w:t xml:space="preserve">: 玊,</w:t>
      </w:r>
      <w:r>
        <w:t xml:space="preserve"> </w:t>
      </w:r>
      <w:r>
        <w:rPr>
          <w:rStyle w:val="VerbatimChar"/>
        </w:rPr>
        <w:t xml:space="preserve">definition</w:t>
      </w:r>
      <w:r>
        <w:t xml:space="preserve">: 音夙（T）「シク」　又栗（T）「リク」　又欣救反　琢「ミカク」玉を工也,</w:t>
      </w:r>
      <w:r>
        <w:t xml:space="preserve"> </w:t>
      </w:r>
      <w:r>
        <w:rPr>
          <w:rStyle w:val="VerbatimChar"/>
        </w:rPr>
        <w:t xml:space="preserve">remarks</w:t>
      </w:r>
      <w:r>
        <w:t xml:space="preserve">: Ikeda’s note: The character</w:t>
      </w:r>
      <w:r>
        <w:t xml:space="preserve"> </w:t>
      </w:r>
      <w:r>
        <w:t xml:space="preserve">‘</w:t>
      </w:r>
      <w:r>
        <w:t xml:space="preserve">栗</w:t>
      </w:r>
      <w:r>
        <w:t xml:space="preserve">’</w:t>
      </w:r>
      <w:r>
        <w:t xml:space="preserve"> </w:t>
      </w:r>
      <w:r>
        <w:t xml:space="preserve">is a mistake for</w:t>
      </w:r>
      <w:r>
        <w:t xml:space="preserve"> </w:t>
      </w:r>
      <w:r>
        <w:t xml:space="preserve">‘</w:t>
      </w:r>
      <w:r>
        <w:t xml:space="preserve">粟</w:t>
      </w:r>
      <w:r>
        <w:t xml:space="preserve">’</w:t>
      </w:r>
      <w:r>
        <w:t xml:space="preserve">. The vermilion dot on the character</w:t>
      </w:r>
      <w:r>
        <w:t xml:space="preserve"> </w:t>
      </w:r>
      <w:r>
        <w:t xml:space="preserve">‘</w:t>
      </w:r>
      <w:r>
        <w:t xml:space="preserve">玉</w:t>
      </w:r>
      <w:r>
        <w:t xml:space="preserve">’</w:t>
      </w:r>
      <w:r>
        <w:t xml:space="preserve"> </w:t>
      </w:r>
      <w:r>
        <w:t xml:space="preserve">may be the</w:t>
      </w:r>
      <w:r>
        <w:t xml:space="preserve"> </w:t>
      </w:r>
      <w:r>
        <w:rPr>
          <w:iCs/>
          <w:i/>
        </w:rPr>
        <w:t xml:space="preserve">wokototen</w:t>
      </w:r>
      <w:r>
        <w:t xml:space="preserve"> </w:t>
      </w:r>
      <w:r>
        <w:t xml:space="preserve">mark for</w:t>
      </w:r>
      <w:r>
        <w:t xml:space="preserve"> </w:t>
      </w:r>
      <w:r>
        <w:t xml:space="preserve">‘</w:t>
      </w:r>
      <w:r>
        <w:t xml:space="preserve">wo (を)</w:t>
      </w:r>
      <w:r>
        <w:t xml:space="preserve">’</w:t>
      </w:r>
      <w:r>
        <w:t xml:space="preserve">. Although</w:t>
      </w:r>
      <w:r>
        <w:t xml:space="preserve"> </w:t>
      </w:r>
      <w:r>
        <w:t xml:space="preserve">‘</w:t>
      </w:r>
      <w:r>
        <w:t xml:space="preserve">工也</w:t>
      </w:r>
      <w:r>
        <w:t xml:space="preserve">’</w:t>
      </w:r>
      <w:r>
        <w:t xml:space="preserve"> </w:t>
      </w:r>
      <w:r>
        <w:t xml:space="preserve">is written in small characters, it has been transcribed in large characters because the</w:t>
      </w:r>
      <w:r>
        <w:t xml:space="preserve"> </w:t>
      </w:r>
      <w:r>
        <w:rPr>
          <w:iCs/>
          <w:i/>
        </w:rPr>
        <w:t xml:space="preserve">Guangyun</w:t>
      </w:r>
      <w:r>
        <w:t xml:space="preserve"> </w:t>
      </w:r>
      <w:r>
        <w:t xml:space="preserve">provides an explanatory note for the meaning</w:t>
      </w:r>
      <w:r>
        <w:t xml:space="preserve"> </w:t>
      </w:r>
      <w:r>
        <w:t xml:space="preserve">‘</w:t>
      </w:r>
      <w:r>
        <w:t xml:space="preserve">琢玉工</w:t>
      </w:r>
      <w:r>
        <w:t xml:space="preserve">’</w:t>
      </w:r>
      <w:r>
        <w:t xml:space="preserve"> </w:t>
      </w:r>
      <w:r>
        <w:t xml:space="preserve">(a jade craftsman).</w:t>
      </w:r>
    </w:p>
    <w:bookmarkEnd w:id="211"/>
    <w:bookmarkStart w:id="212" w:name="X6bfa6d496ced3f4740266bbb17dbb2710c92193"/>
    <w:p>
      <w:pPr>
        <w:pStyle w:val="Heading3"/>
      </w:pPr>
      <w:r>
        <w:rPr>
          <w:rStyle w:val="SectionNumber"/>
        </w:rPr>
        <w:t xml:space="preserve">18.3.8</w:t>
      </w:r>
      <w:r>
        <w:tab/>
      </w:r>
      <w:r>
        <w:t xml:space="preserve">Line Breaks and Spacing (改行・空白,</w:t>
      </w:r>
      <w:r>
        <w:t xml:space="preserve"> </w:t>
      </w:r>
      <w:r>
        <w:rPr>
          <w:iCs/>
          <w:i/>
        </w:rPr>
        <w:t xml:space="preserve">kaigyō/kūhaku</w:t>
      </w:r>
      <w:r>
        <w:t xml:space="preserve">)</w:t>
      </w:r>
    </w:p>
    <w:p>
      <w:pPr>
        <w:pStyle w:val="FirstParagraph"/>
      </w:pPr>
      <w:r>
        <w:t xml:space="preserve">Line breaks as they appear in the original manuscript are not explicitly represented in the transcribed data. Spacing in the data reflects the results of interpretation rather than an exact reproduction of the original manuscript’s spacing.</w:t>
      </w:r>
    </w:p>
    <w:bookmarkEnd w:id="212"/>
    <w:bookmarkStart w:id="213" w:name="X4f22a824e01039fabe56ddda054e6b7e7670a43"/>
    <w:p>
      <w:pPr>
        <w:pStyle w:val="Heading3"/>
      </w:pPr>
      <w:r>
        <w:rPr>
          <w:rStyle w:val="SectionNumber"/>
        </w:rPr>
        <w:t xml:space="preserve">18.3.9</w:t>
      </w:r>
      <w:r>
        <w:tab/>
      </w:r>
      <w:r>
        <w:rPr>
          <w:rStyle w:val="VerbatimChar"/>
        </w:rPr>
        <w:t xml:space="preserve">Interpolated Glosses</w:t>
      </w:r>
      <w:r>
        <w:t xml:space="preserve"> </w:t>
      </w:r>
      <w:r>
        <w:t xml:space="preserve">(補入注文,</w:t>
      </w:r>
      <w:r>
        <w:t xml:space="preserve"> </w:t>
      </w:r>
      <w:r>
        <w:rPr>
          <w:iCs/>
          <w:i/>
        </w:rPr>
        <w:t xml:space="preserve">honyū chūmon</w:t>
      </w:r>
      <w:r>
        <w:t xml:space="preserve">)</w:t>
      </w:r>
    </w:p>
    <w:p>
      <w:pPr>
        <w:pStyle w:val="FirstParagraph"/>
      </w:pPr>
      <w:r>
        <w:rPr>
          <w:rStyle w:val="VerbatimChar"/>
          <w:bCs/>
          <w:b/>
        </w:rPr>
        <w:t xml:space="preserve">Interpolated Glosses</w:t>
      </w:r>
      <w:r>
        <w:t xml:space="preserve"> </w:t>
      </w:r>
      <w:r>
        <w:t xml:space="preserve">(補入注文,</w:t>
      </w:r>
      <w:r>
        <w:t xml:space="preserve"> </w:t>
      </w:r>
      <w:r>
        <w:rPr>
          <w:iCs/>
          <w:i/>
        </w:rPr>
        <w:t xml:space="preserve">honyū chūmon</w:t>
      </w:r>
      <w:r>
        <w:t xml:space="preserve">) are inserted at positions deemed appropriate based on textual analysis.</w:t>
      </w:r>
    </w:p>
    <w:bookmarkEnd w:id="213"/>
    <w:bookmarkStart w:id="214" w:name="Xc0f6be55e8872db52a16b99af2bf9182397e619"/>
    <w:p>
      <w:pPr>
        <w:pStyle w:val="Heading3"/>
      </w:pPr>
      <w:r>
        <w:rPr>
          <w:rStyle w:val="SectionNumber"/>
        </w:rPr>
        <w:t xml:space="preserve">18.3.10</w:t>
      </w:r>
      <w:r>
        <w:tab/>
      </w:r>
      <w:r>
        <w:t xml:space="preserve">Unannotated</w:t>
      </w:r>
      <w:r>
        <w:t xml:space="preserve"> </w:t>
      </w:r>
      <w:r>
        <w:rPr>
          <w:rStyle w:val="VerbatimChar"/>
        </w:rPr>
        <w:t xml:space="preserve">Entries</w:t>
      </w:r>
      <w:r>
        <w:t xml:space="preserve"> </w:t>
      </w:r>
      <w:r>
        <w:t xml:space="preserve">(無注記,</w:t>
      </w:r>
      <w:r>
        <w:t xml:space="preserve"> </w:t>
      </w:r>
      <w:r>
        <w:rPr>
          <w:iCs/>
          <w:i/>
        </w:rPr>
        <w:t xml:space="preserve">muchūki</w:t>
      </w:r>
      <w:r>
        <w:t xml:space="preserve">)</w:t>
      </w:r>
    </w:p>
    <w:p>
      <w:pPr>
        <w:pStyle w:val="FirstParagraph"/>
      </w:pPr>
      <w:r>
        <w:t xml:space="preserve">When an</w:t>
      </w:r>
      <w:r>
        <w:t xml:space="preserve"> </w:t>
      </w:r>
      <w:r>
        <w:rPr>
          <w:rStyle w:val="VerbatimChar"/>
          <w:bCs/>
          <w:b/>
        </w:rPr>
        <w:t xml:space="preserve">Entry</w:t>
      </w:r>
      <w:r>
        <w:t xml:space="preserve"> </w:t>
      </w:r>
      <w:r>
        <w:t xml:space="preserve">has no</w:t>
      </w:r>
      <w:r>
        <w:t xml:space="preserve"> </w:t>
      </w:r>
      <w:r>
        <w:rPr>
          <w:rStyle w:val="VerbatimChar"/>
          <w:bCs/>
          <w:b/>
        </w:rPr>
        <w:t xml:space="preserve">Original Glosses</w:t>
      </w:r>
      <w:r>
        <w:t xml:space="preserve">, this is indicated by</w:t>
      </w:r>
      <w:r>
        <w:t xml:space="preserve"> </w:t>
      </w:r>
      <w:r>
        <w:t xml:space="preserve">“</w:t>
      </w:r>
      <w:r>
        <w:t xml:space="preserve">（無）</w:t>
      </w:r>
      <w:r>
        <w:t xml:space="preserve">”</w:t>
      </w:r>
      <w:r>
        <w:t xml:space="preserve"> </w:t>
      </w:r>
      <w:r>
        <w:t xml:space="preserve">(using full-width parentheses).</w:t>
      </w:r>
    </w:p>
    <w:bookmarkEnd w:id="214"/>
    <w:bookmarkStart w:id="215" w:name="Xe4bd0cdf6c2f13ee01e5b5fec888116ec4b0fb1"/>
    <w:p>
      <w:pPr>
        <w:pStyle w:val="Heading3"/>
      </w:pPr>
      <w:r>
        <w:rPr>
          <w:rStyle w:val="SectionNumber"/>
        </w:rPr>
        <w:t xml:space="preserve">18.3.11</w:t>
      </w:r>
      <w:r>
        <w:tab/>
      </w:r>
      <w:r>
        <w:rPr>
          <w:rStyle w:val="VerbatimChar"/>
        </w:rPr>
        <w:t xml:space="preserve">Supplementary Headword Annotations</w:t>
      </w:r>
      <w:r>
        <w:t xml:space="preserve"> </w:t>
      </w:r>
      <w:r>
        <w:t xml:space="preserve">(掲出字補注,</w:t>
      </w:r>
      <w:r>
        <w:t xml:space="preserve"> </w:t>
      </w:r>
      <w:r>
        <w:rPr>
          <w:iCs/>
          <w:i/>
        </w:rPr>
        <w:t xml:space="preserve">keishutsuji hochū</w:t>
      </w:r>
      <w:r>
        <w:t xml:space="preserve">)</w:t>
      </w:r>
    </w:p>
    <w:p>
      <w:pPr>
        <w:pStyle w:val="FirstParagraph"/>
      </w:pPr>
      <w:r>
        <w:t xml:space="preserve">Annotations applied directly to a</w:t>
      </w:r>
      <w:r>
        <w:t xml:space="preserve"> </w:t>
      </w:r>
      <w:r>
        <w:rPr>
          <w:rStyle w:val="VerbatimChar"/>
          <w:bCs/>
          <w:b/>
        </w:rPr>
        <w:t xml:space="preserve">Headword</w:t>
      </w:r>
      <w:r>
        <w:t xml:space="preserve"> </w:t>
      </w:r>
      <w:r>
        <w:t xml:space="preserve">are referred to as</w:t>
      </w:r>
      <w:r>
        <w:t xml:space="preserve"> </w:t>
      </w:r>
      <w:r>
        <w:rPr>
          <w:rStyle w:val="VerbatimChar"/>
          <w:bCs/>
          <w:b/>
        </w:rPr>
        <w:t xml:space="preserve">Supplementary Headword Annotations</w:t>
      </w:r>
      <w:r>
        <w:t xml:space="preserve"> </w:t>
      </w:r>
      <w:r>
        <w:t xml:space="preserve">(掲出字補注,</w:t>
      </w:r>
      <w:r>
        <w:t xml:space="preserve"> </w:t>
      </w:r>
      <w:r>
        <w:rPr>
          <w:iCs/>
          <w:i/>
        </w:rPr>
        <w:t xml:space="preserve">keishutsuji hochū</w:t>
      </w:r>
      <w:r>
        <w:t xml:space="preserve">).</w:t>
      </w:r>
      <w:r>
        <w:t xml:space="preserve"> </w:t>
      </w:r>
      <w:r>
        <w:t xml:space="preserve">These include</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and Katakana phonetic annotations directly applied to the</w:t>
      </w:r>
      <w:r>
        <w:t xml:space="preserve"> </w:t>
      </w:r>
      <w:r>
        <w:rPr>
          <w:rStyle w:val="VerbatimChar"/>
          <w:bCs/>
          <w:b/>
        </w:rPr>
        <w:t xml:space="preserve">Headword</w:t>
      </w:r>
      <w:r>
        <w:t xml:space="preserve"> </w:t>
      </w:r>
      <w:r>
        <w:t xml:space="preserve">to indicate Sino-Japanese readings; side-line</w:t>
      </w:r>
      <w:r>
        <w:t xml:space="preserve"> </w:t>
      </w:r>
      <w:r>
        <w:rPr>
          <w:iCs/>
          <w:i/>
        </w:rPr>
        <w:t xml:space="preserve">kun</w:t>
      </w:r>
      <w:r>
        <w:t xml:space="preserve"> </w:t>
      </w:r>
      <w:r>
        <w:t xml:space="preserve">readings (傍訓,</w:t>
      </w:r>
      <w:r>
        <w:t xml:space="preserve"> </w:t>
      </w:r>
      <w:r>
        <w:rPr>
          <w:iCs/>
          <w:i/>
        </w:rPr>
        <w:t xml:space="preserve">bōkun</w:t>
      </w:r>
      <w:r>
        <w:t xml:space="preserve">) and</w:t>
      </w:r>
      <w:r>
        <w:t xml:space="preserve"> </w:t>
      </w:r>
      <w:r>
        <w:rPr>
          <w:iCs/>
          <w:i/>
        </w:rPr>
        <w:t xml:space="preserve">kaeriten</w:t>
      </w:r>
      <w:r>
        <w:t xml:space="preserve"> </w:t>
      </w:r>
      <w:r>
        <w:t xml:space="preserve">marks (返点,</w:t>
      </w:r>
      <w:r>
        <w:t xml:space="preserve"> </w:t>
      </w:r>
      <w:r>
        <w:rPr>
          <w:iCs/>
          <w:i/>
        </w:rPr>
        <w:t xml:space="preserve">kaeriten</w:t>
      </w:r>
      <w:r>
        <w:t xml:space="preserve">) directly applied to the</w:t>
      </w:r>
      <w:r>
        <w:t xml:space="preserve"> </w:t>
      </w:r>
      <w:r>
        <w:rPr>
          <w:rStyle w:val="VerbatimChar"/>
          <w:bCs/>
          <w:b/>
        </w:rPr>
        <w:t xml:space="preserve">Headword</w:t>
      </w:r>
      <w:r>
        <w:t xml:space="preserve"> </w:t>
      </w:r>
      <w:r>
        <w:t xml:space="preserve">to indicate Japanese native readings and reading order; and annotations from variant manuscripts found at the end of the</w:t>
      </w:r>
      <w:r>
        <w:t xml:space="preserve"> </w:t>
      </w:r>
      <w:r>
        <w:rPr>
          <w:rStyle w:val="VerbatimChar"/>
          <w:bCs/>
          <w:b/>
        </w:rPr>
        <w:t xml:space="preserve">Original Glosses</w:t>
      </w:r>
      <w:r>
        <w:t xml:space="preserve"> </w:t>
      </w:r>
      <w:r>
        <w:t xml:space="preserve">(but pertaining to the</w:t>
      </w:r>
      <w:r>
        <w:t xml:space="preserve"> </w:t>
      </w:r>
      <w:r>
        <w:rPr>
          <w:rStyle w:val="VerbatimChar"/>
          <w:bCs/>
          <w:b/>
        </w:rPr>
        <w:t xml:space="preserve">Headword</w:t>
      </w:r>
      <w:r>
        <w:t xml:space="preserve">).</w:t>
      </w:r>
      <w:r>
        <w:t xml:space="preserve"> </w:t>
      </w:r>
      <w:r>
        <w:t xml:space="preserve">These will be explained together here.</w:t>
      </w:r>
    </w:p>
    <w:p>
      <w:pPr>
        <w:pStyle w:val="BodyText"/>
      </w:pPr>
      <w:r>
        <w:rPr>
          <w:rStyle w:val="VerbatimChar"/>
          <w:bCs/>
          <w:b/>
        </w:rPr>
        <w:t xml:space="preserve">Tone Marks</w:t>
      </w:r>
      <w:r>
        <w:rPr>
          <w:bCs/>
          <w:b/>
        </w:rPr>
        <w:t xml:space="preserve"> </w:t>
      </w:r>
      <w:r>
        <w:rPr>
          <w:bCs/>
          <w:b/>
        </w:rPr>
        <w:t xml:space="preserve">(</w:t>
      </w:r>
      <w:r>
        <w:rPr>
          <w:iCs/>
          <w:i/>
          <w:bCs/>
          <w:b/>
        </w:rPr>
        <w:t xml:space="preserve">shōten</w:t>
      </w:r>
      <w:r>
        <w:rPr>
          <w:bCs/>
          <w:b/>
        </w:rPr>
        <w:t xml:space="preserve">) and Katakana Phonetic Annotations for</w:t>
      </w:r>
      <w:r>
        <w:rPr>
          <w:bCs/>
          <w:b/>
        </w:rPr>
        <w:t xml:space="preserve"> </w:t>
      </w:r>
      <w:r>
        <w:rPr>
          <w:rStyle w:val="VerbatimChar"/>
          <w:bCs/>
          <w:b/>
        </w:rPr>
        <w:t xml:space="preserve">Headwords</w:t>
      </w:r>
    </w:p>
    <w:p>
      <w:pPr>
        <w:pStyle w:val="BodyText"/>
      </w:pP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and Katakana phonetic script applied to a</w:t>
      </w:r>
      <w:r>
        <w:t xml:space="preserve"> </w:t>
      </w:r>
      <w:r>
        <w:rPr>
          <w:rStyle w:val="VerbatimChar"/>
          <w:bCs/>
          <w:b/>
        </w:rPr>
        <w:t xml:space="preserve">Headword</w:t>
      </w:r>
      <w:r>
        <w:t xml:space="preserve"> </w:t>
      </w:r>
      <w:r>
        <w:t xml:space="preserve">to indicate its Sino-Japanese reading are transcribed at the beginning of the</w:t>
      </w:r>
      <w:r>
        <w:t xml:space="preserve"> </w:t>
      </w:r>
      <w:r>
        <w:rPr>
          <w:rStyle w:val="VerbatimChar"/>
          <w:bCs/>
          <w:b/>
        </w:rPr>
        <w:t xml:space="preserve">Original Glosses</w:t>
      </w:r>
      <w:r>
        <w:t xml:space="preserve">. They are preceded by a double circle (◎, U+25CE) and the annotated character (被注字,</w:t>
      </w:r>
      <w:r>
        <w:t xml:space="preserve"> </w:t>
      </w:r>
      <w:r>
        <w:rPr>
          <w:iCs/>
          <w:i/>
        </w:rPr>
        <w:t xml:space="preserve">hichūji</w:t>
      </w:r>
      <w:r>
        <w:t xml:space="preserve">), followed immediately by the annotation.</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are represented by their abbreviations within full-width parentheses （）, and Katakana phonetic script is enclosed in Japanese quotation marks 「」.</w:t>
      </w:r>
    </w:p>
    <w:p>
      <w:pPr>
        <w:pStyle w:val="BodyText"/>
      </w:pPr>
      <w:r>
        <w:rPr>
          <w:bCs/>
          <w:b/>
        </w:rPr>
        <w:t xml:space="preserve">Side-Line</w:t>
      </w:r>
      <w:r>
        <w:rPr>
          <w:bCs/>
          <w:b/>
        </w:rPr>
        <w:t xml:space="preserve"> </w:t>
      </w:r>
      <w:r>
        <w:rPr>
          <w:iCs/>
          <w:i/>
          <w:bCs/>
          <w:b/>
        </w:rPr>
        <w:t xml:space="preserve">Kun</w:t>
      </w:r>
      <w:r>
        <w:rPr>
          <w:bCs/>
          <w:b/>
        </w:rPr>
        <w:t xml:space="preserve"> </w:t>
      </w:r>
      <w:r>
        <w:rPr>
          <w:bCs/>
          <w:b/>
        </w:rPr>
        <w:t xml:space="preserve">Readings,</w:t>
      </w:r>
      <w:r>
        <w:rPr>
          <w:bCs/>
          <w:b/>
        </w:rPr>
        <w:t xml:space="preserve"> </w:t>
      </w:r>
      <w:r>
        <w:rPr>
          <w:iCs/>
          <w:i/>
          <w:bCs/>
          <w:b/>
        </w:rPr>
        <w:t xml:space="preserve">Kaeriten</w:t>
      </w:r>
      <w:r>
        <w:rPr>
          <w:bCs/>
          <w:b/>
        </w:rPr>
        <w:t xml:space="preserve"> </w:t>
      </w:r>
      <w:r>
        <w:rPr>
          <w:bCs/>
          <w:b/>
        </w:rPr>
        <w:t xml:space="preserve">Marks, and Other Annotations for</w:t>
      </w:r>
      <w:r>
        <w:rPr>
          <w:bCs/>
          <w:b/>
        </w:rPr>
        <w:t xml:space="preserve"> </w:t>
      </w:r>
      <w:r>
        <w:rPr>
          <w:rStyle w:val="VerbatimChar"/>
          <w:bCs/>
          <w:b/>
        </w:rPr>
        <w:t xml:space="preserve">Headwords</w:t>
      </w:r>
    </w:p>
    <w:p>
      <w:pPr>
        <w:pStyle w:val="BodyText"/>
      </w:pPr>
      <w:r>
        <w:rPr>
          <w:iCs/>
          <w:i/>
        </w:rPr>
        <w:t xml:space="preserve">Side-line</w:t>
      </w:r>
      <w:r>
        <w:rPr>
          <w:iCs/>
          <w:i/>
        </w:rPr>
        <w:t xml:space="preserve"> </w:t>
      </w:r>
      <w:r>
        <w:t xml:space="preserve">kun* readings* (傍訓,</w:t>
      </w:r>
      <w:r>
        <w:t xml:space="preserve"> </w:t>
      </w:r>
      <w:r>
        <w:rPr>
          <w:iCs/>
          <w:i/>
        </w:rPr>
        <w:t xml:space="preserve">bōkun</w:t>
      </w:r>
      <w:r>
        <w:t xml:space="preserve">) and</w:t>
      </w:r>
      <w:r>
        <w:t xml:space="preserve"> </w:t>
      </w:r>
      <w:r>
        <w:rPr>
          <w:iCs/>
          <w:i/>
        </w:rPr>
        <w:t xml:space="preserve">kaeriten</w:t>
      </w:r>
      <w:r>
        <w:t xml:space="preserve"> </w:t>
      </w:r>
      <w:r>
        <w:t xml:space="preserve">marks applied to a</w:t>
      </w:r>
      <w:r>
        <w:t xml:space="preserve"> </w:t>
      </w:r>
      <w:r>
        <w:rPr>
          <w:rStyle w:val="VerbatimChar"/>
          <w:bCs/>
          <w:b/>
        </w:rPr>
        <w:t xml:space="preserve">Headword</w:t>
      </w:r>
      <w:r>
        <w:t xml:space="preserve"> </w:t>
      </w:r>
      <w:r>
        <w:t xml:space="preserve">to indicate its Japanese native reading and reading order are transcribed immediately following the annotated character, preceded by a bullseye mark (⦿, U+29BF) and the annotated character, and enclosed in 「」.</w:t>
      </w:r>
      <w:r>
        <w:t xml:space="preserve"> </w:t>
      </w:r>
      <w:r>
        <w:t xml:space="preserve">Annotations in literary Chinese (such as</w:t>
      </w:r>
      <w:r>
        <w:t xml:space="preserve"> </w:t>
      </w:r>
      <w:r>
        <w:rPr>
          <w:rStyle w:val="VerbatimChar"/>
          <w:bCs/>
          <w:b/>
        </w:rPr>
        <w:t xml:space="preserve">Fanqie spellings</w:t>
      </w:r>
      <w:r>
        <w:t xml:space="preserve">,</w:t>
      </w:r>
      <w:r>
        <w:t xml:space="preserve"> </w:t>
      </w:r>
      <w:r>
        <w:rPr>
          <w:rStyle w:val="VerbatimChar"/>
          <w:bCs/>
          <w:b/>
        </w:rPr>
        <w:t xml:space="preserve">Semantic Glosses in Chinese</w:t>
      </w:r>
      <w:r>
        <w:t xml:space="preserve">,</w:t>
      </w:r>
      <w:r>
        <w:t xml:space="preserve"> </w:t>
      </w:r>
      <w:r>
        <w:rPr>
          <w:rStyle w:val="VerbatimChar"/>
          <w:bCs/>
          <w:b/>
        </w:rPr>
        <w:t xml:space="preserve">Notes on Character Form</w:t>
      </w:r>
      <w:r>
        <w:t xml:space="preserve">, or</w:t>
      </w:r>
      <w:r>
        <w:t xml:space="preserve"> </w:t>
      </w:r>
      <w:r>
        <w:rPr>
          <w:rStyle w:val="VerbatimChar"/>
          <w:bCs/>
          <w:b/>
        </w:rPr>
        <w:t xml:space="preserve">Source Attributions</w:t>
      </w:r>
      <w:r>
        <w:t xml:space="preserve">) applied to a</w:t>
      </w:r>
      <w:r>
        <w:t xml:space="preserve"> </w:t>
      </w:r>
      <w:r>
        <w:rPr>
          <w:rStyle w:val="VerbatimChar"/>
          <w:bCs/>
          <w:b/>
        </w:rPr>
        <w:t xml:space="preserve">Headword</w:t>
      </w:r>
      <w:r>
        <w:t xml:space="preserve"> </w:t>
      </w:r>
      <w:r>
        <w:t xml:space="preserve">are transcribed immediately following the annotated character, preceded by a lozenge/diamond mark (◇, U+25C7) and the annotated character, and enclosed in 「」.</w:t>
      </w:r>
      <w:r>
        <w:t xml:space="preserve"> </w:t>
      </w:r>
      <w:r>
        <w:rPr>
          <w:rStyle w:val="VerbatimChar"/>
          <w:bCs/>
          <w:b/>
        </w:rPr>
        <w:t xml:space="preserve">Annotations from Variant Manuscripts</w:t>
      </w:r>
      <w:r>
        <w:t xml:space="preserve"> </w:t>
      </w:r>
      <w:r>
        <w:t xml:space="preserve">applied to a</w:t>
      </w:r>
      <w:r>
        <w:t xml:space="preserve"> </w:t>
      </w:r>
      <w:r>
        <w:rPr>
          <w:rStyle w:val="VerbatimChar"/>
          <w:bCs/>
          <w:b/>
        </w:rPr>
        <w:t xml:space="preserve">Headword</w:t>
      </w:r>
      <w:r>
        <w:t xml:space="preserve"> </w:t>
      </w:r>
      <w:r>
        <w:t xml:space="preserve">are transcribed immediately following the annotated character, preceded by a black up-pointing triangle (▲, U+25B2) and the annotated character, and enclosed in 「」.</w:t>
      </w:r>
    </w:p>
    <w:p>
      <w:pPr>
        <w:pStyle w:val="BodyText"/>
      </w:pPr>
      <w:r>
        <w:rPr>
          <w:rStyle w:val="VerbatimChar"/>
          <w:bCs/>
          <w:b/>
        </w:rPr>
        <w:t xml:space="preserve">Annotations from Variant Manuscripts</w:t>
      </w:r>
      <w:r>
        <w:rPr>
          <w:bCs/>
          <w:b/>
        </w:rPr>
        <w:t xml:space="preserve"> </w:t>
      </w:r>
      <w:r>
        <w:rPr>
          <w:bCs/>
          <w:b/>
        </w:rPr>
        <w:t xml:space="preserve">at the End of</w:t>
      </w:r>
      <w:r>
        <w:rPr>
          <w:bCs/>
          <w:b/>
        </w:rPr>
        <w:t xml:space="preserve"> </w:t>
      </w:r>
      <w:r>
        <w:rPr>
          <w:rStyle w:val="VerbatimChar"/>
          <w:bCs/>
          <w:b/>
        </w:rPr>
        <w:t xml:space="preserve">Original Glosses</w:t>
      </w:r>
    </w:p>
    <w:p>
      <w:pPr>
        <w:pStyle w:val="BodyText"/>
      </w:pPr>
      <w:r>
        <w:rPr>
          <w:rStyle w:val="VerbatimChar"/>
          <w:bCs/>
          <w:b/>
        </w:rPr>
        <w:t xml:space="preserve">Annotations from Variant Manuscripts</w:t>
      </w:r>
      <w:r>
        <w:t xml:space="preserve"> </w:t>
      </w:r>
      <w:r>
        <w:t xml:space="preserve">pertaining to the</w:t>
      </w:r>
      <w:r>
        <w:t xml:space="preserve"> </w:t>
      </w:r>
      <w:r>
        <w:rPr>
          <w:rStyle w:val="VerbatimChar"/>
          <w:bCs/>
          <w:b/>
        </w:rPr>
        <w:t xml:space="preserve">Headword</w:t>
      </w:r>
      <w:r>
        <w:t xml:space="preserve"> </w:t>
      </w:r>
      <w:r>
        <w:t xml:space="preserve">but added at the end of the</w:t>
      </w:r>
      <w:r>
        <w:t xml:space="preserve"> </w:t>
      </w:r>
      <w:r>
        <w:rPr>
          <w:rStyle w:val="VerbatimChar"/>
          <w:bCs/>
          <w:b/>
        </w:rPr>
        <w:t xml:space="preserve">Original Glosses</w:t>
      </w:r>
      <w:r>
        <w:t xml:space="preserve"> </w:t>
      </w:r>
      <w:r>
        <w:t xml:space="preserve">are indicated by a preceding</w:t>
      </w:r>
      <w:r>
        <w:t xml:space="preserve"> </w:t>
      </w:r>
      <w:r>
        <w:t xml:space="preserve">‘</w:t>
      </w:r>
      <w:r>
        <w:t xml:space="preserve">▲</w:t>
      </w:r>
      <w:r>
        <w:t xml:space="preserve">’</w:t>
      </w:r>
      <w:r>
        <w:t xml:space="preserve"> </w:t>
      </w:r>
      <w:r>
        <w:t xml:space="preserve">at the end of the glosses, with the content of the annotation enclosed in 「」.</w:t>
      </w:r>
    </w:p>
    <w:p>
      <w:pPr>
        <w:pStyle w:val="BodyText"/>
      </w:pPr>
      <w:r>
        <w:rPr>
          <w:bCs/>
          <w:b/>
        </w:rPr>
        <w:t xml:space="preserve">Order of Transcription</w:t>
      </w:r>
    </w:p>
    <w:p>
      <w:pPr>
        <w:pStyle w:val="BodyText"/>
      </w:pPr>
      <w:r>
        <w:t xml:space="preserve">If it is necessary to transcribe multiple types of</w:t>
      </w:r>
      <w:r>
        <w:t xml:space="preserve"> </w:t>
      </w:r>
      <w:r>
        <w:rPr>
          <w:rStyle w:val="VerbatimChar"/>
          <w:bCs/>
          <w:b/>
        </w:rPr>
        <w:t xml:space="preserve">Supplementary Headword Annotations</w:t>
      </w:r>
      <w:r>
        <w:t xml:space="preserve"> </w:t>
      </w:r>
      <w:r>
        <w:t xml:space="preserve">for a single</w:t>
      </w:r>
      <w:r>
        <w:t xml:space="preserve"> </w:t>
      </w:r>
      <w:r>
        <w:rPr>
          <w:rStyle w:val="VerbatimChar"/>
          <w:bCs/>
          <w:b/>
        </w:rPr>
        <w:t xml:space="preserve">Headword</w:t>
      </w:r>
      <w:r>
        <w:t xml:space="preserve">, they are recorded in the following order: ◎ Sino-Japanese reading information, ⦿ Japanese native reading information / reading order marks, ◇ Annotations in literary Chinese, ▲ Annotations from variant manuscripts.</w:t>
      </w:r>
    </w:p>
    <w:p>
      <w:pPr>
        <w:pStyle w:val="BodyText"/>
      </w:pPr>
      <w:r>
        <w:rPr>
          <w:bCs/>
          <w:b/>
        </w:rPr>
        <w:t xml:space="preserve">Examples:</w:t>
      </w:r>
      <w:r>
        <w:t xml:space="preserve"> </w:t>
      </w:r>
      <w:r>
        <w:t xml:space="preserve">* ◎純「ト（L）ン（H）」</w:t>
      </w:r>
      <w:r>
        <w:t xml:space="preserve"> </w:t>
      </w:r>
      <w:r>
        <w:t xml:space="preserve">* ⦿虱「キサヽ」</w:t>
      </w:r>
      <w:r>
        <w:t xml:space="preserve"> </w:t>
      </w:r>
      <w:r>
        <w:t xml:space="preserve">* ◇⿱惟乃「手歟」</w:t>
      </w:r>
      <w:r>
        <w:t xml:space="preserve"> </w:t>
      </w:r>
      <w:r>
        <w:t xml:space="preserve">* ▲⿲骨石辛「𩪧イ」</w:t>
      </w:r>
    </w:p>
    <w:bookmarkEnd w:id="215"/>
    <w:bookmarkStart w:id="216" w:name="X2370b7eaedf869fa1b374f28db7b22ad48a4c0f"/>
    <w:p>
      <w:pPr>
        <w:pStyle w:val="Heading3"/>
      </w:pPr>
      <w:r>
        <w:rPr>
          <w:rStyle w:val="SectionNumber"/>
        </w:rPr>
        <w:t xml:space="preserve">18.3.12</w:t>
      </w:r>
      <w:r>
        <w:tab/>
      </w:r>
      <w:r>
        <w:t xml:space="preserve">Other Noteworthy Cases</w:t>
      </w:r>
    </w:p>
    <w:p>
      <w:pPr>
        <w:pStyle w:val="FirstParagraph"/>
      </w:pPr>
      <w:r>
        <w:rPr>
          <w:bCs/>
          <w:b/>
        </w:rPr>
        <w:t xml:space="preserve">Decipherment Notes (判読注,</w:t>
      </w:r>
      <w:r>
        <w:rPr>
          <w:bCs/>
          <w:b/>
        </w:rPr>
        <w:t xml:space="preserve"> </w:t>
      </w:r>
      <w:r>
        <w:rPr>
          <w:iCs/>
          <w:i/>
          <w:bCs/>
          <w:b/>
        </w:rPr>
        <w:t xml:space="preserve">handoku-chū</w:t>
      </w:r>
      <w:r>
        <w:rPr>
          <w:bCs/>
          <w:b/>
        </w:rPr>
        <w:t xml:space="preserve">)</w:t>
      </w:r>
    </w:p>
    <w:p>
      <w:pPr>
        <w:pStyle w:val="BodyText"/>
      </w:pPr>
      <w:r>
        <w:t xml:space="preserve">A compiler’s decipherment note (解讀注記,</w:t>
      </w:r>
      <w:r>
        <w:t xml:space="preserve"> </w:t>
      </w:r>
      <w:r>
        <w:rPr>
          <w:iCs/>
          <w:i/>
        </w:rPr>
        <w:t xml:space="preserve">jiědú zhùjì</w:t>
      </w:r>
      <w:r>
        <w:t xml:space="preserve"> </w:t>
      </w:r>
      <w:r>
        <w:t xml:space="preserve">in Chinese) may be indicated by enclosing it in parentheses ().</w:t>
      </w:r>
    </w:p>
    <w:p>
      <w:pPr>
        <w:pStyle w:val="BodyText"/>
      </w:pPr>
      <w:r>
        <w:rPr>
          <w:bCs/>
          <w:b/>
        </w:rPr>
        <w:t xml:space="preserve">Example:</w:t>
      </w:r>
      <w:r>
        <w:t xml:space="preserve"> </w:t>
      </w:r>
      <w:r>
        <w:t xml:space="preserve">* ⿰阝⿱𠂉夕 オチイル（L___、ホを見消してチ）</w:t>
      </w:r>
      <w:r>
        <w:t xml:space="preserve"> </w:t>
      </w:r>
      <w:r>
        <w:rPr>
          <w:iCs/>
          <w:i/>
        </w:rPr>
        <w:t xml:space="preserve">(This</w:t>
      </w:r>
      <w:r>
        <w:rPr>
          <w:iCs/>
          <w:i/>
        </w:rPr>
        <w:t xml:space="preserve"> </w:t>
      </w:r>
      <w:r>
        <w:rPr>
          <w:rStyle w:val="VerbatimChar"/>
          <w:iCs/>
          <w:i/>
        </w:rPr>
        <w:t xml:space="preserve">hanzi_entry</w:t>
      </w:r>
      <w:r>
        <w:rPr>
          <w:iCs/>
          <w:i/>
        </w:rPr>
        <w:t xml:space="preserve"> </w:t>
      </w:r>
      <w:r>
        <w:rPr>
          <w:iCs/>
          <w:i/>
        </w:rPr>
        <w:t xml:space="preserve">(⿰阝⿱𠂉夕) is followed by its</w:t>
      </w:r>
      <w:r>
        <w:rPr>
          <w:iCs/>
          <w:i/>
        </w:rPr>
        <w:t xml:space="preserve"> </w:t>
      </w:r>
      <w:r>
        <w:rPr>
          <w:rStyle w:val="VerbatimChar"/>
          <w:iCs/>
          <w:i/>
        </w:rPr>
        <w:t xml:space="preserve">Japanese Native Reading (*wakun*)</w:t>
      </w:r>
      <w:r>
        <w:rPr>
          <w:iCs/>
          <w:i/>
        </w:rPr>
        <w:t xml:space="preserve"> </w:t>
      </w:r>
      <w:r>
        <w:rPr>
          <w:iCs/>
          <w:i/>
        </w:rPr>
        <w:t xml:space="preserve">‘</w:t>
      </w:r>
      <w:r>
        <w:rPr>
          <w:iCs/>
          <w:i/>
        </w:rPr>
        <w:t xml:space="preserve">オチイル</w:t>
      </w:r>
      <w:r>
        <w:rPr>
          <w:iCs/>
          <w:i/>
        </w:rPr>
        <w:t xml:space="preserve">’</w:t>
      </w:r>
      <w:r>
        <w:rPr>
          <w:iCs/>
          <w:i/>
        </w:rPr>
        <w:t xml:space="preserve"> </w:t>
      </w:r>
      <w:r>
        <w:rPr>
          <w:iCs/>
          <w:i/>
        </w:rPr>
        <w:t xml:space="preserve">with</w:t>
      </w:r>
      <w:r>
        <w:rPr>
          <w:iCs/>
          <w:i/>
        </w:rPr>
        <w:t xml:space="preserve"> </w:t>
      </w:r>
      <w:r>
        <w:rPr>
          <w:rStyle w:val="VerbatimChar"/>
          <w:iCs/>
          <w:i/>
        </w:rPr>
        <w:t xml:space="preserve">Tone Marks</w:t>
      </w:r>
      <w:r>
        <w:rPr>
          <w:iCs/>
          <w:i/>
        </w:rPr>
        <w:t xml:space="preserve"> </w:t>
      </w:r>
      <w:r>
        <w:rPr>
          <w:iCs/>
          <w:i/>
        </w:rPr>
        <w:t xml:space="preserve">and a decipherment note</w:t>
      </w:r>
      <w:r>
        <w:rPr>
          <w:iCs/>
          <w:i/>
        </w:rPr>
        <w:t xml:space="preserve"> </w:t>
      </w:r>
      <w:r>
        <w:rPr>
          <w:iCs/>
          <w:i/>
        </w:rPr>
        <w:t xml:space="preserve">“</w:t>
      </w:r>
      <w:r>
        <w:rPr>
          <w:iCs/>
          <w:i/>
        </w:rPr>
        <w:t xml:space="preserve">ホを見消してチ</w:t>
      </w:r>
      <w:r>
        <w:rPr>
          <w:iCs/>
          <w:i/>
        </w:rPr>
        <w:t xml:space="preserve">”</w:t>
      </w:r>
      <w:r>
        <w:rPr>
          <w:iCs/>
          <w:i/>
        </w:rPr>
        <w:t xml:space="preserve"> </w:t>
      </w:r>
      <w:r>
        <w:rPr>
          <w:iCs/>
          <w:i/>
        </w:rPr>
        <w:t xml:space="preserve">[meaning</w:t>
      </w:r>
      <w:r>
        <w:rPr>
          <w:iCs/>
          <w:i/>
        </w:rPr>
        <w:t xml:space="preserve"> </w:t>
      </w:r>
      <w:r>
        <w:rPr>
          <w:iCs/>
          <w:i/>
        </w:rPr>
        <w:t xml:space="preserve">“</w:t>
      </w:r>
      <w:r>
        <w:rPr>
          <w:iCs/>
          <w:i/>
        </w:rPr>
        <w:t xml:space="preserve">‘</w:t>
      </w:r>
      <w:r>
        <w:rPr>
          <w:iCs/>
          <w:i/>
        </w:rPr>
        <w:t xml:space="preserve">ホ</w:t>
      </w:r>
      <w:r>
        <w:rPr>
          <w:iCs/>
          <w:i/>
        </w:rPr>
        <w:t xml:space="preserve">’</w:t>
      </w:r>
      <w:r>
        <w:rPr>
          <w:iCs/>
          <w:i/>
        </w:rPr>
        <w:t xml:space="preserve"> </w:t>
      </w:r>
      <w:r>
        <w:rPr>
          <w:iCs/>
          <w:i/>
        </w:rPr>
        <w:t xml:space="preserve">is deleted and replaced by</w:t>
      </w:r>
      <w:r>
        <w:rPr>
          <w:iCs/>
          <w:i/>
        </w:rPr>
        <w:t xml:space="preserve"> </w:t>
      </w:r>
      <w:r>
        <w:rPr>
          <w:iCs/>
          <w:i/>
        </w:rPr>
        <w:t xml:space="preserve">‘</w:t>
      </w:r>
      <w:r>
        <w:rPr>
          <w:iCs/>
          <w:i/>
        </w:rPr>
        <w:t xml:space="preserve">チ</w:t>
      </w:r>
      <w:r>
        <w:rPr>
          <w:iCs/>
          <w:i/>
        </w:rPr>
        <w:t xml:space="preserve">’</w:t>
      </w:r>
      <w:r>
        <w:rPr>
          <w:iCs/>
          <w:i/>
        </w:rPr>
        <w:t xml:space="preserve">”</w:t>
      </w:r>
      <w:r>
        <w:rPr>
          <w:iCs/>
          <w:i/>
        </w:rPr>
        <w:t xml:space="preserve">].)</w:t>
      </w:r>
    </w:p>
    <w:p>
      <w:pPr>
        <w:pStyle w:val="BodyText"/>
      </w:pPr>
      <w:r>
        <w:t xml:space="preserve">For this example, the following content would be recorded in the</w:t>
      </w:r>
      <w:r>
        <w:t xml:space="preserve"> </w:t>
      </w:r>
      <w:r>
        <w:rPr>
          <w:rStyle w:val="VerbatimChar"/>
        </w:rPr>
        <w:t xml:space="preserve">remarks</w:t>
      </w:r>
      <w:r>
        <w:t xml:space="preserve"> </w:t>
      </w:r>
      <w:r>
        <w:t xml:space="preserve">column (as a</w:t>
      </w:r>
      <w:r>
        <w:t xml:space="preserve"> </w:t>
      </w:r>
      <w:r>
        <w:rPr>
          <w:rStyle w:val="VerbatimChar"/>
          <w:bCs/>
          <w:b/>
        </w:rPr>
        <w:t xml:space="preserve">Compiler's Remark</w:t>
      </w:r>
      <w:r>
        <w:t xml:space="preserve">):</w:t>
      </w:r>
    </w:p>
    <w:p>
      <w:pPr>
        <w:numPr>
          <w:ilvl w:val="0"/>
          <w:numId w:val="1145"/>
        </w:numPr>
        <w:pStyle w:val="Compact"/>
      </w:pPr>
      <w:r>
        <w:rPr>
          <w:rStyle w:val="VerbatimChar"/>
        </w:rPr>
        <w:t xml:space="preserve">remarks</w:t>
      </w:r>
      <w:r>
        <w:t xml:space="preserve">: Masamune’s Index, under</w:t>
      </w:r>
      <w:r>
        <w:t xml:space="preserve"> </w:t>
      </w:r>
      <w:r>
        <w:t xml:space="preserve">‘</w:t>
      </w:r>
      <w:r>
        <w:t xml:space="preserve">オホ（-ヒ）チイル</w:t>
      </w:r>
      <w:r>
        <w:t xml:space="preserve">’</w:t>
      </w:r>
      <w:r>
        <w:t xml:space="preserve">, notes:</w:t>
      </w:r>
      <w:r>
        <w:t xml:space="preserve"> </w:t>
      </w:r>
      <w:r>
        <w:t xml:space="preserve">“</w:t>
      </w:r>
      <w:r>
        <w:t xml:space="preserve">‘</w:t>
      </w:r>
      <w:r>
        <w:t xml:space="preserve">ホ（-ヒ）</w:t>
      </w:r>
      <w:r>
        <w:t xml:space="preserve">’</w:t>
      </w:r>
      <w:r>
        <w:t xml:space="preserve"> </w:t>
      </w:r>
      <w:r>
        <w:t xml:space="preserve">is a mark indicating</w:t>
      </w:r>
      <w:r>
        <w:t xml:space="preserve"> </w:t>
      </w:r>
      <w:r>
        <w:t xml:space="preserve">‘</w:t>
      </w:r>
      <w:r>
        <w:t xml:space="preserve">ホ</w:t>
      </w:r>
      <w:r>
        <w:t xml:space="preserve">’</w:t>
      </w:r>
      <w:r>
        <w:t xml:space="preserve"> </w:t>
      </w:r>
      <w:r>
        <w:t xml:space="preserve">was deleted. Should it be</w:t>
      </w:r>
      <w:r>
        <w:t xml:space="preserve"> </w:t>
      </w:r>
      <w:r>
        <w:t xml:space="preserve">‘</w:t>
      </w:r>
      <w:r>
        <w:t xml:space="preserve">オチイル</w:t>
      </w:r>
      <w:r>
        <w:t xml:space="preserve">’</w:t>
      </w:r>
      <w:r>
        <w:t xml:space="preserve">?</w:t>
      </w:r>
      <w:r>
        <w:t xml:space="preserve">”</w:t>
      </w:r>
      <w:r>
        <w:t xml:space="preserve"> </w:t>
      </w:r>
      <w:r>
        <w:t xml:space="preserve">Kusakawa’s</w:t>
      </w:r>
      <w:r>
        <w:t xml:space="preserve"> </w:t>
      </w:r>
      <w:r>
        <w:rPr>
          <w:iCs/>
          <w:i/>
        </w:rPr>
        <w:t xml:space="preserve">Wakun Shūsei</w:t>
      </w:r>
      <w:r>
        <w:t xml:space="preserve"> </w:t>
      </w:r>
      <w:r>
        <w:t xml:space="preserve">records</w:t>
      </w:r>
      <w:r>
        <w:t xml:space="preserve"> </w:t>
      </w:r>
      <w:r>
        <w:t xml:space="preserve">‘</w:t>
      </w:r>
      <w:r>
        <w:t xml:space="preserve">オホ</w:t>
      </w:r>
      <w:r>
        <w:t xml:space="preserve">’</w:t>
      </w:r>
      <w:r>
        <w:t xml:space="preserve"> </w:t>
      </w:r>
      <w:r>
        <w:t xml:space="preserve">and</w:t>
      </w:r>
      <w:r>
        <w:t xml:space="preserve"> </w:t>
      </w:r>
      <w:r>
        <w:t xml:space="preserve">‘</w:t>
      </w:r>
      <w:r>
        <w:t xml:space="preserve">チイル</w:t>
      </w:r>
      <w:r>
        <w:t xml:space="preserve">’</w:t>
      </w:r>
      <w:r>
        <w:t xml:space="preserve"> </w:t>
      </w:r>
      <w:r>
        <w:t xml:space="preserve">separately. Mochizuki’s</w:t>
      </w:r>
      <w:r>
        <w:t xml:space="preserve"> </w:t>
      </w:r>
      <w:r>
        <w:rPr>
          <w:iCs/>
          <w:i/>
        </w:rPr>
        <w:t xml:space="preserve">Wakun Shūsei</w:t>
      </w:r>
      <w:r>
        <w:t xml:space="preserve"> </w:t>
      </w:r>
      <w:r>
        <w:t xml:space="preserve">records</w:t>
      </w:r>
      <w:r>
        <w:t xml:space="preserve"> </w:t>
      </w:r>
      <w:r>
        <w:t xml:space="preserve">‘</w:t>
      </w:r>
      <w:r>
        <w:t xml:space="preserve">オチイル</w:t>
      </w:r>
      <w:r>
        <w:t xml:space="preserve">’</w:t>
      </w:r>
      <w:r>
        <w:t xml:space="preserve">. Ikeda’s note: Follow Masamune and Mochizuki.</w:t>
      </w:r>
    </w:p>
    <w:p>
      <w:pPr>
        <w:pStyle w:val="FirstParagraph"/>
      </w:pPr>
      <w:r>
        <w:rPr>
          <w:rStyle w:val="VerbatimChar"/>
          <w:bCs/>
          <w:b/>
        </w:rPr>
        <w:t xml:space="preserve">Fanqie</w:t>
      </w:r>
      <w:r>
        <w:rPr>
          <w:bCs/>
          <w:b/>
        </w:rPr>
        <w:t xml:space="preserve"> </w:t>
      </w:r>
      <w:r>
        <w:rPr>
          <w:bCs/>
          <w:b/>
        </w:rPr>
        <w:t xml:space="preserve">Spellings within</w:t>
      </w:r>
      <w:r>
        <w:rPr>
          <w:bCs/>
          <w:b/>
        </w:rPr>
        <w:t xml:space="preserve"> </w:t>
      </w:r>
      <w:r>
        <w:rPr>
          <w:rStyle w:val="VerbatimChar"/>
          <w:bCs/>
          <w:b/>
        </w:rPr>
        <w:t xml:space="preserve">Headwords</w:t>
      </w:r>
    </w:p>
    <w:p>
      <w:pPr>
        <w:pStyle w:val="BodyText"/>
      </w:pPr>
      <w:r>
        <w:t xml:space="preserve">If a</w:t>
      </w:r>
      <w:r>
        <w:t xml:space="preserve"> </w:t>
      </w:r>
      <w:r>
        <w:rPr>
          <w:rStyle w:val="VerbatimChar"/>
          <w:bCs/>
          <w:b/>
        </w:rPr>
        <w:t xml:space="preserve">Fanqie spelling</w:t>
      </w:r>
      <w:r>
        <w:t xml:space="preserve"> </w:t>
      </w:r>
      <w:r>
        <w:t xml:space="preserve">is inserted within a</w:t>
      </w:r>
      <w:r>
        <w:t xml:space="preserve"> </w:t>
      </w:r>
      <w:r>
        <w:rPr>
          <w:rStyle w:val="VerbatimChar"/>
          <w:bCs/>
          <w:b/>
        </w:rPr>
        <w:t xml:space="preserve">Multi-Character Form Headword</w:t>
      </w:r>
      <w:r>
        <w:t xml:space="preserve"> </w:t>
      </w:r>
      <w:r>
        <w:t xml:space="preserve">(typically an idiom/compound), a forward slash</w:t>
      </w:r>
      <w:r>
        <w:t xml:space="preserve"> </w:t>
      </w:r>
      <w:r>
        <w:t xml:space="preserve">‘</w:t>
      </w:r>
      <w:r>
        <w:t xml:space="preserve">/</w:t>
      </w:r>
      <w:r>
        <w:t xml:space="preserve">’</w:t>
      </w:r>
      <w:r>
        <w:t xml:space="preserve"> </w:t>
      </w:r>
      <w:r>
        <w:t xml:space="preserve">(half-width slash) is used to indicate the separation.</w:t>
      </w:r>
    </w:p>
    <w:p>
      <w:pPr>
        <w:pStyle w:val="BodyText"/>
      </w:pPr>
      <w:r>
        <w:rPr>
          <w:bCs/>
          <w:b/>
        </w:rPr>
        <w:t xml:space="preserve">Example:</w:t>
      </w:r>
      <w:r>
        <w:t xml:space="preserve"> </w:t>
      </w:r>
      <w:r>
        <w:t xml:space="preserve">* 𣚊ー（棗） 人充　/　ノナツメ（_HHH）</w:t>
      </w:r>
    </w:p>
    <w:p>
      <w:pPr>
        <w:pStyle w:val="BodyText"/>
      </w:pPr>
      <w:r>
        <w:t xml:space="preserve">In this example, which shows the</w:t>
      </w:r>
      <w:r>
        <w:t xml:space="preserve"> </w:t>
      </w:r>
      <w:r>
        <w:rPr>
          <w:rStyle w:val="VerbatimChar"/>
          <w:bCs/>
          <w:b/>
        </w:rPr>
        <w:t xml:space="preserve">Headword</w:t>
      </w:r>
      <w:r>
        <w:t xml:space="preserve"> </w:t>
      </w:r>
      <w:r>
        <w:t xml:space="preserve">followed by its</w:t>
      </w:r>
      <w:r>
        <w:t xml:space="preserve"> </w:t>
      </w:r>
      <w:r>
        <w:rPr>
          <w:rStyle w:val="VerbatimChar"/>
          <w:bCs/>
          <w:b/>
        </w:rPr>
        <w:t xml:space="preserve">Original Glosses</w:t>
      </w:r>
      <w:r>
        <w:t xml:space="preserve">, the</w:t>
      </w:r>
      <w:r>
        <w:t xml:space="preserve"> </w:t>
      </w:r>
      <w:r>
        <w:rPr>
          <w:rStyle w:val="VerbatimChar"/>
          <w:bCs/>
          <w:b/>
        </w:rPr>
        <w:t xml:space="preserve">Fanqie spelling</w:t>
      </w:r>
      <w:r>
        <w:t xml:space="preserve"> </w:t>
      </w:r>
      <w:r>
        <w:t xml:space="preserve">“</w:t>
      </w:r>
      <w:r>
        <w:t xml:space="preserve">人充</w:t>
      </w:r>
      <w:r>
        <w:t xml:space="preserve">”</w:t>
      </w:r>
      <w:r>
        <w:t xml:space="preserve"> </w:t>
      </w:r>
      <w:r>
        <w:t xml:space="preserve">is written directly beneath</w:t>
      </w:r>
      <w:r>
        <w:t xml:space="preserve"> </w:t>
      </w:r>
      <w:r>
        <w:t xml:space="preserve">‘</w:t>
      </w:r>
      <w:r>
        <w:t xml:space="preserve">𣚊</w:t>
      </w:r>
      <w:r>
        <w:t xml:space="preserve">’</w:t>
      </w:r>
      <w:r>
        <w:t xml:space="preserve"> </w:t>
      </w:r>
      <w:r>
        <w:t xml:space="preserve">(the first part of the</w:t>
      </w:r>
      <w:r>
        <w:t xml:space="preserve"> </w:t>
      </w:r>
      <w:r>
        <w:rPr>
          <w:rStyle w:val="VerbatimChar"/>
          <w:bCs/>
          <w:b/>
        </w:rPr>
        <w:t xml:space="preserve">Headword</w:t>
      </w:r>
      <w:r>
        <w:t xml:space="preserve"> </w:t>
      </w:r>
      <w:r>
        <w:t xml:space="preserve">‘</w:t>
      </w:r>
      <w:r>
        <w:t xml:space="preserve">𣚊ー（棗）</w:t>
      </w:r>
      <w:r>
        <w:t xml:space="preserve">’</w:t>
      </w:r>
      <w:r>
        <w:t xml:space="preserve">).</w:t>
      </w:r>
    </w:p>
    <w:p>
      <w:pPr>
        <w:pStyle w:val="BodyText"/>
      </w:pP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 Attached to</w:t>
      </w:r>
      <w:r>
        <w:rPr>
          <w:bCs/>
          <w:b/>
        </w:rPr>
        <w:t xml:space="preserve"> </w:t>
      </w:r>
      <w:r>
        <w:rPr>
          <w:rStyle w:val="VerbatimChar"/>
          <w:bCs/>
          <w:b/>
        </w:rPr>
        <w:t xml:space="preserve">Hanzi (Chinese characters)</w:t>
      </w:r>
      <w:r>
        <w:rPr>
          <w:bCs/>
          <w:b/>
        </w:rPr>
        <w:t xml:space="preserve"> </w:t>
      </w:r>
      <w:r>
        <w:rPr>
          <w:bCs/>
          <w:b/>
        </w:rPr>
        <w:t xml:space="preserve">within</w:t>
      </w:r>
      <w:r>
        <w:rPr>
          <w:bCs/>
          <w:b/>
        </w:rPr>
        <w:t xml:space="preserve"> </w:t>
      </w:r>
      <w:r>
        <w:rPr>
          <w:rStyle w:val="VerbatimChar"/>
          <w:bCs/>
          <w:b/>
        </w:rPr>
        <w:t xml:space="preserve">Original Glosses</w:t>
      </w:r>
    </w:p>
    <w:p>
      <w:pPr>
        <w:pStyle w:val="BodyText"/>
      </w:pPr>
      <w:r>
        <w:t xml:space="preserve">Small Katakana characters (representing</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attached to a</w:t>
      </w:r>
      <w:r>
        <w:t xml:space="preserve"> </w:t>
      </w:r>
      <w:r>
        <w:rPr>
          <w:rStyle w:val="VerbatimChar"/>
          <w:bCs/>
          <w:b/>
        </w:rPr>
        <w:t xml:space="preserve">Hanzi (Chinese character)</w:t>
      </w:r>
      <w:r>
        <w:t xml:space="preserve"> </w:t>
      </w:r>
      <w:r>
        <w:t xml:space="preserve">within the</w:t>
      </w:r>
      <w:r>
        <w:t xml:space="preserve"> </w:t>
      </w:r>
      <w:r>
        <w:rPr>
          <w:rStyle w:val="VerbatimChar"/>
          <w:bCs/>
          <w:b/>
        </w:rPr>
        <w:t xml:space="preserve">Original Glosses</w:t>
      </w:r>
      <w:r>
        <w:t xml:space="preserve"> </w:t>
      </w:r>
      <w:r>
        <w:t xml:space="preserve">are transcribed as is, enclosed in Japanese quotation marks 「」. If such a</w:t>
      </w:r>
      <w:r>
        <w:t xml:space="preserve"> </w:t>
      </w:r>
      <w:r>
        <w:rPr>
          <w:iCs/>
          <w:i/>
        </w:rPr>
        <w:t xml:space="preserve">wakun</w:t>
      </w:r>
      <w:r>
        <w:t xml:space="preserve"> </w:t>
      </w:r>
      <w:r>
        <w:t xml:space="preserve">is written in even smaller characters (小字,</w:t>
      </w:r>
      <w:r>
        <w:t xml:space="preserve"> </w:t>
      </w:r>
      <w:r>
        <w:rPr>
          <w:iCs/>
          <w:i/>
        </w:rPr>
        <w:t xml:space="preserve">shōji</w:t>
      </w:r>
      <w:r>
        <w:t xml:space="preserve">), it is enclosed in full-width angle brackets 〈〉. Examples of the latter are rare.</w:t>
      </w:r>
    </w:p>
    <w:p>
      <w:pPr>
        <w:pStyle w:val="BodyText"/>
      </w:pPr>
      <w:r>
        <w:rPr>
          <w:bCs/>
          <w:b/>
        </w:rPr>
        <w:t xml:space="preserve">Examples:</w:t>
      </w:r>
      <w:r>
        <w:t xml:space="preserve"> </w:t>
      </w:r>
      <w:r>
        <w:t xml:space="preserve">1. 琢「ミカク」玉工也</w:t>
      </w:r>
      <w:r>
        <w:t xml:space="preserve"> </w:t>
      </w:r>
      <w:r>
        <w:t xml:space="preserve">2. 圏〈ヲリ〉</w:t>
      </w:r>
      <w:r>
        <w:t xml:space="preserve"> </w:t>
      </w:r>
      <w:r>
        <w:t xml:space="preserve">3. ー「タヘ」「平歟」趹「ハシル」追「ヲオフ」蹤「ニクルヲ」</w:t>
      </w:r>
    </w:p>
    <w:p>
      <w:pPr>
        <w:pStyle w:val="BodyText"/>
      </w:pPr>
      <w:r>
        <w:t xml:space="preserve">Example 1 is seen within the</w:t>
      </w:r>
      <w:r>
        <w:t xml:space="preserve"> </w:t>
      </w:r>
      <w:r>
        <w:rPr>
          <w:rStyle w:val="VerbatimChar"/>
          <w:bCs/>
          <w:b/>
        </w:rPr>
        <w:t xml:space="preserve">Original Glosses</w:t>
      </w:r>
      <w:r>
        <w:t xml:space="preserve"> </w:t>
      </w:r>
      <w:r>
        <w:t xml:space="preserve">for the</w:t>
      </w:r>
      <w:r>
        <w:t xml:space="preserve"> </w:t>
      </w:r>
      <w:r>
        <w:rPr>
          <w:rStyle w:val="VerbatimChar"/>
          <w:bCs/>
          <w:b/>
        </w:rPr>
        <w:t xml:space="preserve">Headword</w:t>
      </w:r>
      <w:r>
        <w:t xml:space="preserve"> </w:t>
      </w:r>
      <w:r>
        <w:t xml:space="preserve">‘</w:t>
      </w:r>
      <w:r>
        <w:t xml:space="preserve">玊</w:t>
      </w:r>
      <w:r>
        <w:t xml:space="preserve">’</w:t>
      </w:r>
      <w:r>
        <w:t xml:space="preserve">; the</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w:t>
      </w:r>
      <w:r>
        <w:t xml:space="preserve">ミカク</w:t>
      </w:r>
      <w:r>
        <w:t xml:space="preserve">’</w:t>
      </w:r>
      <w:r>
        <w:t xml:space="preserve"> </w:t>
      </w:r>
      <w:r>
        <w:t xml:space="preserve">is attached to the right side of the character</w:t>
      </w:r>
      <w:r>
        <w:t xml:space="preserve"> </w:t>
      </w:r>
      <w:r>
        <w:t xml:space="preserve">‘</w:t>
      </w:r>
      <w:r>
        <w:t xml:space="preserve">琢</w:t>
      </w:r>
      <w:r>
        <w:t xml:space="preserve">’</w:t>
      </w:r>
      <w:r>
        <w:t xml:space="preserve">.</w:t>
      </w:r>
    </w:p>
    <w:p>
      <w:pPr>
        <w:pStyle w:val="BodyText"/>
      </w:pPr>
      <w:r>
        <w:t xml:space="preserve">Example 2 is seen within the</w:t>
      </w:r>
      <w:r>
        <w:t xml:space="preserve"> </w:t>
      </w:r>
      <w:r>
        <w:rPr>
          <w:rStyle w:val="VerbatimChar"/>
          <w:bCs/>
          <w:b/>
        </w:rPr>
        <w:t xml:space="preserve">Original Glosses</w:t>
      </w:r>
      <w:r>
        <w:t xml:space="preserve"> </w:t>
      </w:r>
      <w:r>
        <w:t xml:space="preserve">for the</w:t>
      </w:r>
      <w:r>
        <w:t xml:space="preserve"> </w:t>
      </w:r>
      <w:r>
        <w:rPr>
          <w:rStyle w:val="VerbatimChar"/>
          <w:bCs/>
          <w:b/>
        </w:rPr>
        <w:t xml:space="preserve">Headword</w:t>
      </w:r>
      <w:r>
        <w:t xml:space="preserve"> </w:t>
      </w:r>
      <w:r>
        <w:t xml:space="preserve">‘</w:t>
      </w:r>
      <w:r>
        <w:t xml:space="preserve">檻</w:t>
      </w:r>
      <w:r>
        <w:t xml:space="preserve">’</w:t>
      </w:r>
      <w:r>
        <w:t xml:space="preserve">; the</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is attached below</w:t>
      </w:r>
      <w:r>
        <w:t xml:space="preserve"> </w:t>
      </w:r>
      <w:r>
        <w:t xml:space="preserve">‘</w:t>
      </w:r>
      <w:r>
        <w:t xml:space="preserve">圏</w:t>
      </w:r>
      <w:r>
        <w:t xml:space="preserve">’</w:t>
      </w:r>
      <w:r>
        <w:t xml:space="preserve"> </w:t>
      </w:r>
      <w:r>
        <w:t xml:space="preserve">in small characters.</w:t>
      </w:r>
    </w:p>
    <w:p>
      <w:pPr>
        <w:pStyle w:val="BodyText"/>
      </w:pPr>
      <w:r>
        <w:t xml:space="preserve">Example 3 is seen within the</w:t>
      </w:r>
      <w:r>
        <w:t xml:space="preserve"> </w:t>
      </w:r>
      <w:r>
        <w:rPr>
          <w:rStyle w:val="VerbatimChar"/>
          <w:bCs/>
          <w:b/>
        </w:rPr>
        <w:t xml:space="preserve">Original Glosses</w:t>
      </w:r>
      <w:r>
        <w:t xml:space="preserve"> </w:t>
      </w:r>
      <w:r>
        <w:t xml:space="preserve">for the</w:t>
      </w:r>
      <w:r>
        <w:t xml:space="preserve"> </w:t>
      </w:r>
      <w:r>
        <w:rPr>
          <w:rStyle w:val="VerbatimChar"/>
          <w:bCs/>
          <w:b/>
        </w:rPr>
        <w:t xml:space="preserve">Headword</w:t>
      </w:r>
      <w:r>
        <w:t xml:space="preserve"> </w:t>
      </w:r>
      <w:r>
        <w:t xml:space="preserve">‘</w:t>
      </w:r>
      <w:r>
        <w:t xml:space="preserve">要</w:t>
      </w:r>
      <w:r>
        <w:t xml:space="preserve">’</w:t>
      </w:r>
      <w:r>
        <w:t xml:space="preserve">. It shows example sentences (or phrases) and their</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w:t>
      </w:r>
    </w:p>
    <w:bookmarkEnd w:id="216"/>
    <w:bookmarkEnd w:id="217"/>
    <w:bookmarkEnd w:id="218"/>
    <w:bookmarkEnd w:id="219"/>
    <w:bookmarkStart w:id="228" w:name="X185346a97b6e70aee412dba5f095466a7c4d727"/>
    <w:bookmarkStart w:id="227" w:name="Xf58db605733e2d1758d2f2929478fc126fcaa21"/>
    <w:p>
      <w:pPr>
        <w:pStyle w:val="Heading1"/>
      </w:pPr>
      <w:r>
        <w:rPr>
          <w:rStyle w:val="SectionNumber"/>
        </w:rPr>
        <w:t xml:space="preserve">19</w:t>
      </w:r>
      <w:r>
        <w:tab/>
      </w:r>
      <w:r>
        <w:t xml:space="preserve">Basic Principles for Creating Annotations/Commentary</w:t>
      </w:r>
    </w:p>
    <w:p>
      <w:pPr>
        <w:pStyle w:val="FirstParagraph"/>
      </w:pPr>
      <w:r>
        <w:t xml:space="preserve">The scholarly apparatus for the</w:t>
      </w:r>
      <w:r>
        <w:t xml:space="preserve"> </w:t>
      </w:r>
      <w:r>
        <w:rPr>
          <w:iCs/>
          <w:i/>
        </w:rPr>
        <w:t xml:space="preserve">Myōgishō</w:t>
      </w:r>
      <w:r>
        <w:t xml:space="preserve"> </w:t>
      </w:r>
      <w:r>
        <w:t xml:space="preserve">in this database includes elements such as</w:t>
      </w:r>
      <w:r>
        <w:t xml:space="preserve"> </w:t>
      </w:r>
      <w:r>
        <w:rPr>
          <w:rStyle w:val="VerbatimChar"/>
          <w:bCs/>
          <w:b/>
        </w:rPr>
        <w:t xml:space="preserve">Textual Collation</w:t>
      </w:r>
      <w:r>
        <w:t xml:space="preserve"> </w:t>
      </w:r>
      <w:r>
        <w:t xml:space="preserve">(</w:t>
      </w:r>
      <w:r>
        <w:rPr>
          <w:iCs/>
          <w:i/>
        </w:rPr>
        <w:t xml:space="preserve">kōkan</w:t>
      </w:r>
      <w:r>
        <w:t xml:space="preserve">),</w:t>
      </w:r>
      <w:r>
        <w:t xml:space="preserve"> </w:t>
      </w:r>
      <w:r>
        <w:rPr>
          <w:rStyle w:val="VerbatimChar"/>
          <w:bCs/>
          <w:b/>
        </w:rPr>
        <w:t xml:space="preserve">Source Criticism</w:t>
      </w:r>
      <w:r>
        <w:t xml:space="preserve"> </w:t>
      </w:r>
      <w:r>
        <w:t xml:space="preserve">(</w:t>
      </w:r>
      <w:r>
        <w:rPr>
          <w:iCs/>
          <w:i/>
        </w:rPr>
        <w:t xml:space="preserve">shutten kōshō</w:t>
      </w:r>
      <w:r>
        <w:t xml:space="preserve">, 出典考証),</w:t>
      </w:r>
      <w:r>
        <w:t xml:space="preserve"> </w:t>
      </w:r>
      <w:r>
        <w:rPr>
          <w:rStyle w:val="VerbatimChar"/>
          <w:bCs/>
          <w:b/>
        </w:rPr>
        <w:t xml:space="preserve">Review of Previous Scholarship</w:t>
      </w:r>
      <w:r>
        <w:t xml:space="preserve"> </w:t>
      </w:r>
      <w:r>
        <w:t xml:space="preserve">(</w:t>
      </w:r>
      <w:r>
        <w:rPr>
          <w:iCs/>
          <w:i/>
        </w:rPr>
        <w:t xml:space="preserve">kenkyūshi seiri</w:t>
      </w:r>
      <w:r>
        <w:t xml:space="preserve">),</w:t>
      </w:r>
      <w:r>
        <w:t xml:space="preserve"> </w:t>
      </w:r>
      <w:r>
        <w:rPr>
          <w:rStyle w:val="VerbatimChar"/>
          <w:bCs/>
          <w:b/>
        </w:rPr>
        <w:t xml:space="preserve">Lexical Analysis</w:t>
      </w:r>
      <w:r>
        <w:t xml:space="preserve"> </w:t>
      </w:r>
      <w:r>
        <w:t xml:space="preserve">(</w:t>
      </w:r>
      <w:r>
        <w:rPr>
          <w:iCs/>
          <w:i/>
        </w:rPr>
        <w:t xml:space="preserve">goshaku</w:t>
      </w:r>
      <w:r>
        <w:t xml:space="preserve">), and</w:t>
      </w:r>
      <w:r>
        <w:t xml:space="preserve"> </w:t>
      </w:r>
      <w:r>
        <w:rPr>
          <w:rStyle w:val="VerbatimChar"/>
          <w:bCs/>
          <w:b/>
        </w:rPr>
        <w:t xml:space="preserve">Additional Expositions</w:t>
      </w:r>
      <w:r>
        <w:t xml:space="preserve"> </w:t>
      </w:r>
      <w:r>
        <w:t xml:space="preserve">(</w:t>
      </w:r>
      <w:r>
        <w:rPr>
          <w:iCs/>
          <w:i/>
        </w:rPr>
        <w:t xml:space="preserve">yosetsu</w:t>
      </w:r>
      <w:r>
        <w:t xml:space="preserve">). The content of each is explained as follows:</w:t>
      </w:r>
    </w:p>
    <w:p>
      <w:pPr>
        <w:numPr>
          <w:ilvl w:val="0"/>
          <w:numId w:val="1146"/>
        </w:numPr>
        <w:pStyle w:val="Compact"/>
      </w:pPr>
      <w:r>
        <w:rPr>
          <w:rStyle w:val="VerbatimChar"/>
          <w:bCs/>
          <w:b/>
        </w:rPr>
        <w:t xml:space="preserve">Textual Collation</w:t>
      </w:r>
      <w:r>
        <w:t xml:space="preserve"> </w:t>
      </w:r>
      <w:r>
        <w:t xml:space="preserve">(校勘,</w:t>
      </w:r>
      <w:r>
        <w:t xml:space="preserve"> </w:t>
      </w:r>
      <w:r>
        <w:rPr>
          <w:iCs/>
          <w:i/>
        </w:rPr>
        <w:t xml:space="preserve">kōkan</w:t>
      </w:r>
      <w:r>
        <w:t xml:space="preserve">): Involves presenting textual variants by comparing the</w:t>
      </w:r>
      <w:r>
        <w:t xml:space="preserve"> </w:t>
      </w:r>
      <w:r>
        <w:rPr>
          <w:iCs/>
          <w:i/>
        </w:rPr>
        <w:t xml:space="preserve">Myōgishō</w:t>
      </w:r>
      <w:r>
        <w:t xml:space="preserve"> </w:t>
      </w:r>
      <w:r>
        <w:t xml:space="preserve">text with the main texts of other manuscripts and with fragmentary textual evidence (逸文,</w:t>
      </w:r>
      <w:r>
        <w:t xml:space="preserve"> </w:t>
      </w:r>
      <w:r>
        <w:rPr>
          <w:iCs/>
          <w:i/>
        </w:rPr>
        <w:t xml:space="preserve">itsubun</w:t>
      </w:r>
      <w:r>
        <w:t xml:space="preserve">), conducting comparative analyses, correcting scribal errors, and reconstructing the original text.</w:t>
      </w:r>
    </w:p>
    <w:p>
      <w:pPr>
        <w:numPr>
          <w:ilvl w:val="0"/>
          <w:numId w:val="1146"/>
        </w:numPr>
        <w:pStyle w:val="Compact"/>
      </w:pPr>
      <w:r>
        <w:rPr>
          <w:rStyle w:val="VerbatimChar"/>
          <w:bCs/>
          <w:b/>
        </w:rPr>
        <w:t xml:space="preserve">Source Criticism</w:t>
      </w:r>
      <w:r>
        <w:t xml:space="preserve"> </w:t>
      </w:r>
      <w:r>
        <w:t xml:space="preserve">(出典考証,</w:t>
      </w:r>
      <w:r>
        <w:t xml:space="preserve"> </w:t>
      </w:r>
      <w:r>
        <w:rPr>
          <w:iCs/>
          <w:i/>
        </w:rPr>
        <w:t xml:space="preserve">shutten kōshō</w:t>
      </w:r>
      <w:r>
        <w:t xml:space="preserve">): Entails searching for original sources cited in the</w:t>
      </w:r>
      <w:r>
        <w:t xml:space="preserve"> </w:t>
      </w:r>
      <w:r>
        <w:rPr>
          <w:iCs/>
          <w:i/>
        </w:rPr>
        <w:t xml:space="preserve">Myōgishō</w:t>
      </w:r>
      <w:r>
        <w:t xml:space="preserve">, analyzing citation methods, and clarifying distinctions between direct and indirect (second-hand) citations.</w:t>
      </w:r>
    </w:p>
    <w:p>
      <w:pPr>
        <w:numPr>
          <w:ilvl w:val="0"/>
          <w:numId w:val="1146"/>
        </w:numPr>
        <w:pStyle w:val="Compact"/>
      </w:pPr>
      <w:r>
        <w:rPr>
          <w:rStyle w:val="VerbatimChar"/>
          <w:bCs/>
          <w:b/>
        </w:rPr>
        <w:t xml:space="preserve">Review of Previous Scholarship</w:t>
      </w:r>
      <w:r>
        <w:t xml:space="preserve"> </w:t>
      </w:r>
      <w:r>
        <w:t xml:space="preserve">(研究史整理,</w:t>
      </w:r>
      <w:r>
        <w:t xml:space="preserve"> </w:t>
      </w:r>
      <w:r>
        <w:rPr>
          <w:iCs/>
          <w:i/>
        </w:rPr>
        <w:t xml:space="preserve">kenkyūshi seiri</w:t>
      </w:r>
      <w:r>
        <w:t xml:space="preserve">): Summarizes and introduces the views and findings of previous scholars.</w:t>
      </w:r>
    </w:p>
    <w:p>
      <w:pPr>
        <w:numPr>
          <w:ilvl w:val="0"/>
          <w:numId w:val="1146"/>
        </w:numPr>
        <w:pStyle w:val="Compact"/>
      </w:pPr>
      <w:r>
        <w:rPr>
          <w:rStyle w:val="VerbatimChar"/>
          <w:bCs/>
          <w:b/>
        </w:rPr>
        <w:t xml:space="preserve">Lexical Analysis</w:t>
      </w:r>
      <w:r>
        <w:t xml:space="preserve"> </w:t>
      </w:r>
      <w:r>
        <w:t xml:space="preserve">(語釈,</w:t>
      </w:r>
      <w:r>
        <w:t xml:space="preserve"> </w:t>
      </w:r>
      <w:r>
        <w:rPr>
          <w:iCs/>
          <w:i/>
        </w:rPr>
        <w:t xml:space="preserve">goshaku</w:t>
      </w:r>
      <w:r>
        <w:t xml:space="preserve">): Consists of philological analysis concerning semantic meanings, phonology, and orthography of words and characters.</w:t>
      </w:r>
    </w:p>
    <w:p>
      <w:pPr>
        <w:numPr>
          <w:ilvl w:val="0"/>
          <w:numId w:val="1146"/>
        </w:numPr>
        <w:pStyle w:val="Compact"/>
      </w:pPr>
      <w:r>
        <w:rPr>
          <w:rStyle w:val="VerbatimChar"/>
          <w:bCs/>
          <w:b/>
        </w:rPr>
        <w:t xml:space="preserve">Additional Expositions</w:t>
      </w:r>
      <w:r>
        <w:t xml:space="preserve"> </w:t>
      </w:r>
      <w:r>
        <w:t xml:space="preserve">(余説,</w:t>
      </w:r>
      <w:r>
        <w:t xml:space="preserve"> </w:t>
      </w:r>
      <w:r>
        <w:rPr>
          <w:iCs/>
          <w:i/>
        </w:rPr>
        <w:t xml:space="preserve">yosetsu</w:t>
      </w:r>
      <w:r>
        <w:t xml:space="preserve">): These are the annotator’s (i.e., the database compiler’s) own detailed discussions and considerations based on the analysis of specific</w:t>
      </w:r>
      <w:r>
        <w:t xml:space="preserve"> </w:t>
      </w:r>
      <w:r>
        <w:rPr>
          <w:rStyle w:val="VerbatimChar"/>
          <w:bCs/>
          <w:b/>
        </w:rPr>
        <w:t xml:space="preserve">Entries</w:t>
      </w:r>
      <w:r>
        <w:t xml:space="preserve"> </w:t>
      </w:r>
      <w:r>
        <w:t xml:space="preserve">or elements within them.</w:t>
      </w:r>
    </w:p>
    <w:p>
      <w:pPr>
        <w:pStyle w:val="FirstParagraph"/>
      </w:pPr>
      <w:r>
        <w:t xml:space="preserve">Ideally, annotations should be concise and clear. However, as a preliminary step, it is necessary to gather as much relevant material as possible for a given annotation. Only after this preparatory stage is complete can the work of selecting and refining the collected materials begin.</w:t>
      </w:r>
    </w:p>
    <w:p>
      <w:pPr>
        <w:pStyle w:val="BodyText"/>
      </w:pPr>
      <w:r>
        <w:t xml:space="preserve">The materials collected to date are recorded as</w:t>
      </w:r>
      <w:r>
        <w:t xml:space="preserve"> </w:t>
      </w:r>
      <w:r>
        <w:rPr>
          <w:rStyle w:val="VerbatimChar"/>
          <w:bCs/>
          <w:b/>
        </w:rPr>
        <w:t xml:space="preserve">Compiler's Remarks</w:t>
      </w:r>
      <w:r>
        <w:t xml:space="preserve"> </w:t>
      </w:r>
      <w:r>
        <w:t xml:space="preserve">in the</w:t>
      </w:r>
      <w:r>
        <w:t xml:space="preserve"> </w:t>
      </w:r>
      <w:r>
        <w:rPr>
          <w:rStyle w:val="VerbatimChar"/>
        </w:rPr>
        <w:t xml:space="preserve">remarks</w:t>
      </w:r>
      <w:r>
        <w:t xml:space="preserve"> </w:t>
      </w:r>
      <w:r>
        <w:t xml:space="preserve">column of the</w:t>
      </w:r>
      <w:r>
        <w:t xml:space="preserve"> </w:t>
      </w:r>
      <w:r>
        <w:rPr>
          <w:rStyle w:val="VerbatimChar"/>
        </w:rPr>
        <w:t xml:space="preserve">krm_notes</w:t>
      </w:r>
      <w:r>
        <w:t xml:space="preserve"> </w:t>
      </w:r>
      <w:r>
        <w:t xml:space="preserve">file.</w:t>
      </w:r>
    </w:p>
    <w:p>
      <w:pPr>
        <w:pStyle w:val="BodyText"/>
      </w:pPr>
      <w:r>
        <w:t xml:space="preserve">In this document, we will first classify the</w:t>
      </w:r>
      <w:r>
        <w:t xml:space="preserve"> </w:t>
      </w:r>
      <w:r>
        <w:rPr>
          <w:rStyle w:val="VerbatimChar"/>
          <w:bCs/>
          <w:b/>
        </w:rPr>
        <w:t xml:space="preserve">Entries</w:t>
      </w:r>
      <w:r>
        <w:t xml:space="preserve"> </w:t>
      </w:r>
      <w:r>
        <w:t xml:space="preserve">of the</w:t>
      </w:r>
      <w:r>
        <w:t xml:space="preserve"> </w:t>
      </w:r>
      <w:r>
        <w:rPr>
          <w:iCs/>
          <w:i/>
        </w:rPr>
        <w:t xml:space="preserve">Myōgishō</w:t>
      </w:r>
      <w:r>
        <w:t xml:space="preserve"> </w:t>
      </w:r>
      <w:r>
        <w:t xml:space="preserve">by their</w:t>
      </w:r>
      <w:r>
        <w:t xml:space="preserve"> </w:t>
      </w:r>
      <w:r>
        <w:rPr>
          <w:rStyle w:val="VerbatimChar"/>
          <w:bCs/>
          <w:b/>
        </w:rPr>
        <w:t xml:space="preserve">Headwords</w:t>
      </w:r>
      <w:r>
        <w:t xml:space="preserve"> </w:t>
      </w:r>
      <w:r>
        <w:t xml:space="preserve">and the various types of</w:t>
      </w:r>
      <w:r>
        <w:t xml:space="preserve"> </w:t>
      </w:r>
      <w:r>
        <w:rPr>
          <w:rStyle w:val="VerbatimChar"/>
          <w:bCs/>
          <w:b/>
        </w:rPr>
        <w:t xml:space="preserve">Original Glosses</w:t>
      </w:r>
      <w:r>
        <w:t xml:space="preserve"> </w:t>
      </w:r>
      <w:r>
        <w:t xml:space="preserve">they contain, and then present the quantities for each category. Based on this, we will consider the priority for creating annotations for each type of</w:t>
      </w:r>
      <w:r>
        <w:t xml:space="preserve"> </w:t>
      </w:r>
      <w:r>
        <w:rPr>
          <w:rStyle w:val="VerbatimChar"/>
          <w:bCs/>
          <w:b/>
        </w:rPr>
        <w:t xml:space="preserve">Headword</w:t>
      </w:r>
      <w:r>
        <w:t xml:space="preserve"> </w:t>
      </w:r>
      <w:r>
        <w:t xml:space="preserve">and each category of</w:t>
      </w:r>
      <w:r>
        <w:t xml:space="preserve"> </w:t>
      </w:r>
      <w:r>
        <w:rPr>
          <w:rStyle w:val="VerbatimChar"/>
          <w:bCs/>
          <w:b/>
        </w:rPr>
        <w:t xml:space="preserve">Original Gloss</w:t>
      </w:r>
      <w:r>
        <w:t xml:space="preserve"> </w:t>
      </w:r>
      <w:r>
        <w:t xml:space="preserve">element, focusing our primary analytical efforts on</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and</w:t>
      </w:r>
      <w:r>
        <w:t xml:space="preserve"> </w:t>
      </w:r>
      <w:r>
        <w:rPr>
          <w:rStyle w:val="VerbatimChar"/>
          <w:bCs/>
          <w:b/>
        </w:rPr>
        <w:t xml:space="preserve">Phonetic Glosses</w:t>
      </w:r>
      <w:r>
        <w:t xml:space="preserve">. This will clarify the</w:t>
      </w:r>
      <w:r>
        <w:t xml:space="preserve"> </w:t>
      </w:r>
      <w:r>
        <w:rPr>
          <w:bCs/>
          <w:b/>
        </w:rPr>
        <w:t xml:space="preserve">basic principles for annotation creation and the primary subjects of analysis</w:t>
      </w:r>
      <w:r>
        <w:t xml:space="preserve">.</w:t>
      </w:r>
    </w:p>
    <w:p>
      <w:pPr>
        <w:pStyle w:val="BodyText"/>
      </w:pPr>
      <w:r>
        <w:t xml:space="preserve">Next, we will provide and explain specific examples of scribal errors, omissions, and superfluous characters (衍字,</w:t>
      </w:r>
      <w:r>
        <w:t xml:space="preserve"> </w:t>
      </w:r>
      <w:r>
        <w:rPr>
          <w:iCs/>
          <w:i/>
        </w:rPr>
        <w:t xml:space="preserve">enji</w:t>
      </w:r>
      <w:r>
        <w:t xml:space="preserve">). We will also describe how such information is recorded in the</w:t>
      </w:r>
      <w:r>
        <w:t xml:space="preserve"> </w:t>
      </w:r>
      <w:r>
        <w:rPr>
          <w:rStyle w:val="VerbatimChar"/>
          <w:bCs/>
          <w:b/>
        </w:rPr>
        <w:t xml:space="preserve">Compiler's Remarks</w:t>
      </w:r>
      <w:r>
        <w:t xml:space="preserve"> </w:t>
      </w:r>
      <w:r>
        <w:t xml:space="preserve">and conduct a</w:t>
      </w:r>
      <w:r>
        <w:t xml:space="preserve"> </w:t>
      </w:r>
      <w:r>
        <w:rPr>
          <w:bCs/>
          <w:b/>
        </w:rPr>
        <w:t xml:space="preserve">calculation of the number of</w:t>
      </w:r>
      <w:r>
        <w:rPr>
          <w:bCs/>
          <w:b/>
        </w:rPr>
        <w:t xml:space="preserve"> </w:t>
      </w:r>
      <w:r>
        <w:rPr>
          <w:rStyle w:val="VerbatimChar"/>
          <w:bCs/>
          <w:b/>
        </w:rPr>
        <w:t xml:space="preserve">Headword</w:t>
      </w:r>
      <w:r>
        <w:rPr>
          <w:bCs/>
          <w:b/>
        </w:rPr>
        <w:t xml:space="preserve"> </w:t>
      </w:r>
      <w:r>
        <w:rPr>
          <w:bCs/>
          <w:b/>
        </w:rPr>
        <w:t xml:space="preserve">characters</w:t>
      </w:r>
      <w:r>
        <w:t xml:space="preserve">.</w:t>
      </w:r>
    </w:p>
    <w:p>
      <w:pPr>
        <w:pStyle w:val="BodyText"/>
      </w:pPr>
      <w:r>
        <w:t xml:space="preserve">For</w:t>
      </w:r>
      <w:r>
        <w:t xml:space="preserve"> </w:t>
      </w:r>
      <w:r>
        <w:rPr>
          <w:rStyle w:val="VerbatimChar"/>
          <w:bCs/>
          <w:b/>
        </w:rPr>
        <w:t xml:space="preserve">Notes on Character Form</w:t>
      </w:r>
      <w:r>
        <w:t xml:space="preserve"> </w:t>
      </w:r>
      <w:r>
        <w:t xml:space="preserve">(字体注,</w:t>
      </w:r>
      <w:r>
        <w:t xml:space="preserve"> </w:t>
      </w:r>
      <w:r>
        <w:rPr>
          <w:iCs/>
          <w:i/>
        </w:rPr>
        <w:t xml:space="preserve">jitaichū</w:t>
      </w:r>
      <w:r>
        <w:t xml:space="preserve">), we will organize their</w:t>
      </w:r>
      <w:r>
        <w:t xml:space="preserve"> </w:t>
      </w:r>
      <w:r>
        <w:rPr>
          <w:bCs/>
          <w:b/>
        </w:rPr>
        <w:t xml:space="preserve">types and descriptive formats</w:t>
      </w:r>
      <w:r>
        <w:t xml:space="preserve">. By clarifying the content and format of these original notes, we aim to minimize the need for extensive commentary on them within the</w:t>
      </w:r>
      <w:r>
        <w:t xml:space="preserve"> </w:t>
      </w:r>
      <w:r>
        <w:rPr>
          <w:rStyle w:val="VerbatimChar"/>
          <w:bCs/>
          <w:b/>
        </w:rPr>
        <w:t xml:space="preserve">Compiler's Remarks</w:t>
      </w:r>
      <w:r>
        <w:t xml:space="preserve">.</w:t>
      </w:r>
    </w:p>
    <w:p>
      <w:pPr>
        <w:pStyle w:val="BodyText"/>
      </w:pPr>
      <w:r>
        <w:t xml:space="preserve">Regarding</w:t>
      </w:r>
      <w:r>
        <w:t xml:space="preserve"> </w:t>
      </w:r>
      <w:r>
        <w:rPr>
          <w:rStyle w:val="VerbatimChar"/>
          <w:bCs/>
          <w:b/>
        </w:rPr>
        <w:t xml:space="preserve">Semantic Glosses in Chinese</w:t>
      </w:r>
      <w:r>
        <w:t xml:space="preserve"> </w:t>
      </w:r>
      <w:r>
        <w:t xml:space="preserve">(義注,</w:t>
      </w:r>
      <w:r>
        <w:t xml:space="preserve"> </w:t>
      </w:r>
      <w:r>
        <w:rPr>
          <w:iCs/>
          <w:i/>
        </w:rPr>
        <w:t xml:space="preserve">gichū</w:t>
      </w:r>
      <w:r>
        <w:t xml:space="preserve">), we will indicate their</w:t>
      </w:r>
      <w:r>
        <w:t xml:space="preserve"> </w:t>
      </w:r>
      <w:r>
        <w:rPr>
          <w:bCs/>
          <w:b/>
        </w:rPr>
        <w:t xml:space="preserve">types and quantities</w:t>
      </w:r>
      <w:r>
        <w:t xml:space="preserve">, and introduce examples of such glosses that have been mistakenly identified as katakana.</w:t>
      </w:r>
    </w:p>
    <w:p>
      <w:pPr>
        <w:pStyle w:val="BodyText"/>
      </w:pPr>
      <w:r>
        <w:t xml:space="preserve">For</w:t>
      </w:r>
      <w:r>
        <w:t xml:space="preserve"> </w:t>
      </w:r>
      <w:r>
        <w:rPr>
          <w:rStyle w:val="VerbatimChar"/>
          <w:bCs/>
          <w:b/>
        </w:rPr>
        <w:t xml:space="preserve">Japanese Native Readings</w:t>
      </w:r>
      <w:r>
        <w:t xml:space="preserve"> </w:t>
      </w:r>
      <w:r>
        <w:t xml:space="preserve">(和訓,</w:t>
      </w:r>
      <w:r>
        <w:t xml:space="preserve"> </w:t>
      </w:r>
      <w:r>
        <w:rPr>
          <w:iCs/>
          <w:i/>
        </w:rPr>
        <w:t xml:space="preserve">wakun</w:t>
      </w:r>
      <w:r>
        <w:t xml:space="preserve">), given the extensive body of previous research, we will provide a list of these studies and the abbreviations used for them in the</w:t>
      </w:r>
      <w:r>
        <w:t xml:space="preserve"> </w:t>
      </w:r>
      <w:r>
        <w:rPr>
          <w:rStyle w:val="VerbatimChar"/>
          <w:bCs/>
          <w:b/>
        </w:rPr>
        <w:t xml:space="preserve">Compiler's Remarks</w:t>
      </w:r>
      <w:r>
        <w:t xml:space="preserve">. This will serve as an introduction to the</w:t>
      </w:r>
      <w:r>
        <w:t xml:space="preserve"> </w:t>
      </w:r>
      <w:r>
        <w:rPr>
          <w:bCs/>
          <w:b/>
        </w:rPr>
        <w:t xml:space="preserve">foundational materials for annotating</w:t>
      </w:r>
      <w:r>
        <w:rPr>
          <w:bCs/>
          <w:b/>
        </w:rPr>
        <w:t xml:space="preserve"> </w:t>
      </w:r>
      <w:r>
        <w:rPr>
          <w:iCs/>
          <w:i/>
          <w:bCs/>
          <w:b/>
        </w:rPr>
        <w:t xml:space="preserve">wakun</w:t>
      </w:r>
      <w:r>
        <w:t xml:space="preserve">.</w:t>
      </w:r>
    </w:p>
    <w:p>
      <w:pPr>
        <w:pStyle w:val="BodyText"/>
      </w:pPr>
      <w:r>
        <w:t xml:space="preserve">Finally, using page 62 of the</w:t>
      </w:r>
      <w:r>
        <w:t xml:space="preserve"> </w:t>
      </w:r>
      <w:r>
        <w:rPr>
          <w:iCs/>
          <w:i/>
        </w:rPr>
        <w:t xml:space="preserve">Butsujō</w:t>
      </w:r>
      <w:r>
        <w:t xml:space="preserve"> </w:t>
      </w:r>
      <w:r>
        <w:t xml:space="preserve">(仏上) volume of the Kanchi-in manuscript of the</w:t>
      </w:r>
      <w:r>
        <w:t xml:space="preserve"> </w:t>
      </w:r>
      <w:r>
        <w:rPr>
          <w:iCs/>
          <w:i/>
        </w:rPr>
        <w:t xml:space="preserve">Ruiju Myōgishō</w:t>
      </w:r>
      <w:r>
        <w:t xml:space="preserve"> </w:t>
      </w:r>
      <w:r>
        <w:t xml:space="preserve">as a</w:t>
      </w:r>
      <w:r>
        <w:t xml:space="preserve"> </w:t>
      </w:r>
      <w:r>
        <w:rPr>
          <w:bCs/>
          <w:b/>
        </w:rPr>
        <w:t xml:space="preserve">specific example of annotation practice</w:t>
      </w:r>
      <w:r>
        <w:t xml:space="preserve">, we will introduce the content of the</w:t>
      </w:r>
      <w:r>
        <w:t xml:space="preserve"> </w:t>
      </w:r>
      <w:r>
        <w:rPr>
          <w:rStyle w:val="VerbatimChar"/>
          <w:bCs/>
          <w:b/>
        </w:rPr>
        <w:t xml:space="preserve">Compiler's Remarks</w:t>
      </w:r>
      <w:r>
        <w:t xml:space="preserve">. This will demonstrate how subtle differences in</w:t>
      </w:r>
      <w:r>
        <w:t xml:space="preserve"> </w:t>
      </w:r>
      <w:r>
        <w:rPr>
          <w:rStyle w:val="VerbatimChar"/>
          <w:bCs/>
          <w:b/>
        </w:rPr>
        <w:t xml:space="preserve">Hanzi (Chinese character)</w:t>
      </w:r>
      <w:r>
        <w:t xml:space="preserve"> </w:t>
      </w:r>
      <w:r>
        <w:t xml:space="preserve">glyph forms can be explained in the annotations through the use of GlyphWiki.</w:t>
      </w:r>
    </w:p>
    <w:p>
      <w:pPr>
        <w:numPr>
          <w:ilvl w:val="0"/>
          <w:numId w:val="1147"/>
        </w:numPr>
        <w:pStyle w:val="Compact"/>
      </w:pPr>
      <w:hyperlink r:id="rId220">
        <w:r>
          <w:rPr>
            <w:rStyle w:val="Hyperlink"/>
          </w:rPr>
          <w:t xml:space="preserve">Basic Principles and Analytical Focus for Annotation Creation</w:t>
        </w:r>
      </w:hyperlink>
    </w:p>
    <w:p>
      <w:pPr>
        <w:numPr>
          <w:ilvl w:val="0"/>
          <w:numId w:val="1147"/>
        </w:numPr>
        <w:pStyle w:val="Compact"/>
      </w:pPr>
      <w:hyperlink r:id="rId221">
        <w:r>
          <w:rPr>
            <w:rStyle w:val="Hyperlink"/>
          </w:rPr>
          <w:t xml:space="preserve">Calculation of Headword Character Count</w:t>
        </w:r>
      </w:hyperlink>
    </w:p>
    <w:p>
      <w:pPr>
        <w:numPr>
          <w:ilvl w:val="0"/>
          <w:numId w:val="1147"/>
        </w:numPr>
        <w:pStyle w:val="Compact"/>
      </w:pPr>
      <w:hyperlink r:id="rId222">
        <w:r>
          <w:rPr>
            <w:rStyle w:val="Hyperlink"/>
          </w:rPr>
          <w:t xml:space="preserve">Types and Descriptive Formats of Notes on Character Form</w:t>
        </w:r>
      </w:hyperlink>
    </w:p>
    <w:p>
      <w:pPr>
        <w:numPr>
          <w:ilvl w:val="0"/>
          <w:numId w:val="1147"/>
        </w:numPr>
        <w:pStyle w:val="Compact"/>
      </w:pPr>
      <w:hyperlink r:id="rId223">
        <w:r>
          <w:rPr>
            <w:rStyle w:val="Hyperlink"/>
          </w:rPr>
          <w:t xml:space="preserve">Types and Problems in Deciphering Phonetic Glosses</w:t>
        </w:r>
      </w:hyperlink>
    </w:p>
    <w:p>
      <w:pPr>
        <w:numPr>
          <w:ilvl w:val="0"/>
          <w:numId w:val="1147"/>
        </w:numPr>
        <w:pStyle w:val="Compact"/>
      </w:pPr>
      <w:hyperlink r:id="rId224">
        <w:r>
          <w:rPr>
            <w:rStyle w:val="Hyperlink"/>
          </w:rPr>
          <w:t xml:space="preserve">Types and Quantities of Semantic Glosses in Chinese</w:t>
        </w:r>
      </w:hyperlink>
    </w:p>
    <w:p>
      <w:pPr>
        <w:numPr>
          <w:ilvl w:val="0"/>
          <w:numId w:val="1147"/>
        </w:numPr>
        <w:pStyle w:val="Compact"/>
      </w:pPr>
      <w:hyperlink r:id="rId225">
        <w:r>
          <w:rPr>
            <w:rStyle w:val="Hyperlink"/>
          </w:rPr>
          <w:t xml:space="preserve">Foundational Materials for Annotating Japanese Native Readings (</w:t>
        </w:r>
        <w:r>
          <w:rPr>
            <w:rStyle w:val="Hyperlink"/>
            <w:iCs/>
            <w:i/>
          </w:rPr>
          <w:t xml:space="preserve">wakun</w:t>
        </w:r>
        <w:r>
          <w:rPr>
            <w:rStyle w:val="Hyperlink"/>
          </w:rPr>
          <w:t xml:space="preserve">)</w:t>
        </w:r>
      </w:hyperlink>
    </w:p>
    <w:p>
      <w:pPr>
        <w:numPr>
          <w:ilvl w:val="0"/>
          <w:numId w:val="1147"/>
        </w:numPr>
        <w:pStyle w:val="Compact"/>
      </w:pPr>
      <w:hyperlink r:id="rId226">
        <w:r>
          <w:rPr>
            <w:rStyle w:val="Hyperlink"/>
          </w:rPr>
          <w:t xml:space="preserve">Specific Examples of Annotation Practice</w:t>
        </w:r>
      </w:hyperlink>
    </w:p>
    <w:bookmarkEnd w:id="227"/>
    <w:bookmarkEnd w:id="228"/>
    <w:bookmarkStart w:id="255" w:name="X6d46f8bbc44ce2955b3a92b647a7a026f031b6c"/>
    <w:bookmarkStart w:id="254" w:name="X7a840eaafac9164808dd49ce8d99fd0216152a3"/>
    <w:p>
      <w:pPr>
        <w:pStyle w:val="Heading1"/>
      </w:pPr>
      <w:r>
        <w:rPr>
          <w:rStyle w:val="SectionNumber"/>
        </w:rPr>
        <w:t xml:space="preserve">20</w:t>
      </w:r>
      <w:r>
        <w:tab/>
      </w:r>
      <w:r>
        <w:t xml:space="preserve">Basic Principles and Analytical Focus for Annotation Creation</w:t>
      </w:r>
    </w:p>
    <w:p>
      <w:pPr>
        <w:pStyle w:val="FirstParagraph"/>
      </w:pPr>
      <w:r>
        <w:t xml:space="preserve">This section provides an overview of the structure of</w:t>
      </w:r>
      <w:r>
        <w:t xml:space="preserve"> </w:t>
      </w:r>
      <w:r>
        <w:rPr>
          <w:rStyle w:val="VerbatimChar"/>
          <w:bCs/>
          <w:b/>
        </w:rPr>
        <w:t xml:space="preserve">Entries</w:t>
      </w:r>
      <w:r>
        <w:t xml:space="preserve"> </w:t>
      </w:r>
      <w:r>
        <w:t xml:space="preserve">and the approximate number of</w:t>
      </w:r>
      <w:r>
        <w:t xml:space="preserve"> </w:t>
      </w:r>
      <w:r>
        <w:rPr>
          <w:rStyle w:val="VerbatimChar"/>
          <w:bCs/>
          <w:b/>
        </w:rPr>
        <w:t xml:space="preserve">Original Glosses</w:t>
      </w:r>
      <w:r>
        <w:t xml:space="preserve">. It then outlines the basic principles for creating annotations, using a single</w:t>
      </w:r>
      <w:r>
        <w:t xml:space="preserve"> </w:t>
      </w:r>
      <w:r>
        <w:rPr>
          <w:rStyle w:val="VerbatimChar"/>
          <w:bCs/>
          <w:b/>
        </w:rPr>
        <w:t xml:space="preserve">Entry</w:t>
      </w:r>
      <w:r>
        <w:t xml:space="preserve"> </w:t>
      </w:r>
      <w:r>
        <w:t xml:space="preserve">as an example for illustration.</w:t>
      </w:r>
    </w:p>
    <w:bookmarkStart w:id="229" w:name="Xd4d62da6bec1dc13539e8272a680d863d7da10a"/>
    <w:p>
      <w:pPr>
        <w:pStyle w:val="Heading2"/>
      </w:pPr>
      <w:r>
        <w:rPr>
          <w:rStyle w:val="SectionNumber"/>
        </w:rPr>
        <w:t xml:space="preserve">20.1</w:t>
      </w:r>
      <w:r>
        <w:tab/>
      </w:r>
      <w:r>
        <w:rPr>
          <w:rStyle w:val="VerbatimChar"/>
        </w:rPr>
        <w:t xml:space="preserve">Entry</w:t>
      </w:r>
      <w:r>
        <w:t xml:space="preserve"> </w:t>
      </w:r>
      <w:r>
        <w:t xml:space="preserve">Structure and Number of</w:t>
      </w:r>
      <w:r>
        <w:t xml:space="preserve"> </w:t>
      </w:r>
      <w:r>
        <w:rPr>
          <w:rStyle w:val="VerbatimChar"/>
        </w:rPr>
        <w:t xml:space="preserve">Original Glosses</w:t>
      </w:r>
    </w:p>
    <w:p>
      <w:pPr>
        <w:pStyle w:val="FirstParagraph"/>
      </w:pPr>
      <w:r>
        <w:t xml:space="preserve">An</w:t>
      </w:r>
      <w:r>
        <w:t xml:space="preserve"> </w:t>
      </w:r>
      <w:r>
        <w:rPr>
          <w:rStyle w:val="VerbatimChar"/>
          <w:bCs/>
          <w:b/>
        </w:rPr>
        <w:t xml:space="preserve">Entry</w:t>
      </w:r>
      <w:r>
        <w:t xml:space="preserve"> </w:t>
      </w:r>
      <w:r>
        <w:t xml:space="preserve">consists of a</w:t>
      </w:r>
      <w:r>
        <w:t xml:space="preserve"> </w:t>
      </w:r>
      <w:r>
        <w:rPr>
          <w:rStyle w:val="VerbatimChar"/>
          <w:bCs/>
          <w:b/>
        </w:rPr>
        <w:t xml:space="preserve">Headword</w:t>
      </w:r>
      <w:r>
        <w:t xml:space="preserve"> </w:t>
      </w:r>
      <w:r>
        <w:t xml:space="preserve">and</w:t>
      </w:r>
      <w:r>
        <w:t xml:space="preserve"> </w:t>
      </w:r>
      <w:r>
        <w:rPr>
          <w:rStyle w:val="VerbatimChar"/>
          <w:bCs/>
          <w:b/>
        </w:rPr>
        <w:t xml:space="preserve">Original Glosses</w:t>
      </w:r>
      <w:r>
        <w:t xml:space="preserve">.</w:t>
      </w:r>
    </w:p>
    <w:p>
      <w:pPr>
        <w:pStyle w:val="BodyText"/>
      </w:pPr>
      <w:r>
        <w:t xml:space="preserve">The</w:t>
      </w:r>
      <w:r>
        <w:t xml:space="preserve"> </w:t>
      </w:r>
      <w:r>
        <w:rPr>
          <w:rStyle w:val="VerbatimChar"/>
          <w:bCs/>
          <w:b/>
        </w:rPr>
        <w:t xml:space="preserve">Original Glosses</w:t>
      </w:r>
      <w:r>
        <w:t xml:space="preserve"> </w:t>
      </w:r>
      <w:r>
        <w:t xml:space="preserve">are further composed of elements such as</w:t>
      </w:r>
      <w:r>
        <w:t xml:space="preserve"> </w:t>
      </w:r>
      <w:r>
        <w:rPr>
          <w:rStyle w:val="VerbatimChar"/>
          <w:bCs/>
          <w:b/>
        </w:rPr>
        <w:t xml:space="preserve">Phonetic Glosses</w:t>
      </w:r>
      <w:r>
        <w:t xml:space="preserve">,</w:t>
      </w:r>
      <w:r>
        <w:t xml:space="preserve"> </w:t>
      </w:r>
      <w:r>
        <w:rPr>
          <w:rStyle w:val="VerbatimChar"/>
          <w:bCs/>
          <w:b/>
        </w:rPr>
        <w:t xml:space="preserve">Semantic Glosses in Chinese</w:t>
      </w:r>
      <w:r>
        <w:t xml:space="preserve">,</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w:t>
      </w:r>
      <w:r>
        <w:t xml:space="preserve"> </w:t>
      </w:r>
      <w:r>
        <w:rPr>
          <w:rStyle w:val="VerbatimChar"/>
          <w:bCs/>
          <w:b/>
        </w:rPr>
        <w:t xml:space="preserve">Notes on Character Form</w:t>
      </w:r>
      <w:r>
        <w:t xml:space="preserve">, and</w:t>
      </w:r>
      <w:r>
        <w:t xml:space="preserve"> </w:t>
      </w:r>
      <w:r>
        <w:rPr>
          <w:rStyle w:val="VerbatimChar"/>
          <w:bCs/>
          <w:b/>
        </w:rPr>
        <w:t xml:space="preserve">Other</w:t>
      </w:r>
      <w:r>
        <w:t xml:space="preserve"> </w:t>
      </w:r>
      <w:r>
        <w:t xml:space="preserve">information.</w:t>
      </w:r>
    </w:p>
    <w:p>
      <w:pPr>
        <w:pStyle w:val="BodyText"/>
      </w:pPr>
      <w:r>
        <w:t xml:space="preserve">The structure of an</w:t>
      </w:r>
      <w:r>
        <w:t xml:space="preserve"> </w:t>
      </w:r>
      <w:r>
        <w:rPr>
          <w:rStyle w:val="VerbatimChar"/>
          <w:bCs/>
          <w:b/>
        </w:rPr>
        <w:t xml:space="preserve">Entry</w:t>
      </w:r>
      <w:r>
        <w:t xml:space="preserve"> </w:t>
      </w:r>
      <w:r>
        <w:t xml:space="preserve">is illustrated in the diagram below. For reference, the approximate number of</w:t>
      </w:r>
      <w:r>
        <w:t xml:space="preserve"> </w:t>
      </w:r>
      <w:r>
        <w:rPr>
          <w:rStyle w:val="VerbatimChar"/>
          <w:bCs/>
          <w:b/>
        </w:rPr>
        <w:t xml:space="preserve">Entries</w:t>
      </w:r>
      <w:r>
        <w:t xml:space="preserve"> </w:t>
      </w:r>
      <w:r>
        <w:t xml:space="preserve">and the count for each type of</w:t>
      </w:r>
      <w:r>
        <w:t xml:space="preserve"> </w:t>
      </w:r>
      <w:r>
        <w:rPr>
          <w:rStyle w:val="VerbatimChar"/>
          <w:bCs/>
          <w:b/>
        </w:rPr>
        <w:t xml:space="preserve">Original Gloss</w:t>
      </w:r>
      <w:r>
        <w:t xml:space="preserve"> </w:t>
      </w:r>
      <w:r>
        <w:t xml:space="preserve">element are also indicated. The total number of</w:t>
      </w:r>
      <w:r>
        <w:t xml:space="preserve"> </w:t>
      </w:r>
      <w:r>
        <w:rPr>
          <w:rStyle w:val="VerbatimChar"/>
          <w:bCs/>
          <w:b/>
        </w:rPr>
        <w:t xml:space="preserve">Original Gloss</w:t>
      </w:r>
      <w:r>
        <w:t xml:space="preserve"> </w:t>
      </w:r>
      <w:r>
        <w:t xml:space="preserve">elements is approximately 86,800.</w:t>
      </w:r>
    </w:p>
    <w:p>
      <w:pPr>
        <w:pStyle w:val="BodyText"/>
      </w:pPr>
      <w:r>
        <w:t xml:space="preserve">{{&lt; mermaid title=</w:t>
      </w:r>
      <w:r>
        <w:t xml:space="preserve">“</w:t>
      </w:r>
      <w:r>
        <w:t xml:space="preserve">Entry Structure</w:t>
      </w:r>
      <w:r>
        <w:t xml:space="preserve">”</w:t>
      </w:r>
      <w:r>
        <w:t xml:space="preserve"> </w:t>
      </w:r>
      <w:r>
        <w:t xml:space="preserve">&gt;}}</w:t>
      </w:r>
      <w:r>
        <w:t xml:space="preserve"> </w:t>
      </w:r>
      <w:r>
        <w:t xml:space="preserve">graph TB</w:t>
      </w:r>
      <w:r>
        <w:t xml:space="preserve"> </w:t>
      </w:r>
      <w:r>
        <w:t xml:space="preserve">A(Entry) –&gt; B(Headword);</w:t>
      </w:r>
      <w:r>
        <w:t xml:space="preserve"> </w:t>
      </w:r>
      <w:r>
        <w:t xml:space="preserve">B — I((</w:t>
      </w:r>
      <w:r>
        <w:t xml:space="preserve">“</w:t>
      </w:r>
      <w:r>
        <w:t xml:space="preserve">Approx. 32,600 Entries</w:t>
      </w:r>
      <w:r>
        <w:t xml:space="preserve">”</w:t>
      </w:r>
      <w:r>
        <w:t xml:space="preserve">));</w:t>
      </w:r>
      <w:r>
        <w:t xml:space="preserve"> </w:t>
      </w:r>
      <w:r>
        <w:t xml:space="preserve">A –&gt; C(Original Glosses);</w:t>
      </w:r>
      <w:r>
        <w:t xml:space="preserve"> </w:t>
      </w:r>
      <w:r>
        <w:t xml:space="preserve">C –&gt; D(Notes on Character Form);</w:t>
      </w:r>
      <w:r>
        <w:t xml:space="preserve"> </w:t>
      </w:r>
      <w:r>
        <w:t xml:space="preserve">D — K((</w:t>
      </w:r>
      <w:r>
        <w:t xml:space="preserve">“</w:t>
      </w:r>
      <w:r>
        <w:t xml:space="preserve">Approx. 13,400</w:t>
      </w:r>
      <w:r>
        <w:t xml:space="preserve">”</w:t>
      </w:r>
      <w:r>
        <w:t xml:space="preserve">));</w:t>
      </w:r>
      <w:r>
        <w:t xml:space="preserve"> </w:t>
      </w:r>
      <w:r>
        <w:t xml:space="preserve">C –&gt; E(Phonetic Glosses);</w:t>
      </w:r>
      <w:r>
        <w:t xml:space="preserve"> </w:t>
      </w:r>
      <w:r>
        <w:t xml:space="preserve">E — L((</w:t>
      </w:r>
      <w:r>
        <w:t xml:space="preserve">“</w:t>
      </w:r>
      <w:r>
        <w:t xml:space="preserve">Approx. 24,100</w:t>
      </w:r>
      <w:r>
        <w:t xml:space="preserve">”</w:t>
      </w:r>
      <w:r>
        <w:t xml:space="preserve">));</w:t>
      </w:r>
      <w:r>
        <w:t xml:space="preserve"> </w:t>
      </w:r>
      <w:r>
        <w:t xml:space="preserve">C –&gt; F(Semantic Glosses in Chinese);</w:t>
      </w:r>
      <w:r>
        <w:t xml:space="preserve"> </w:t>
      </w:r>
      <w:r>
        <w:t xml:space="preserve">F — M((</w:t>
      </w:r>
      <w:r>
        <w:t xml:space="preserve">“</w:t>
      </w:r>
      <w:r>
        <w:t xml:space="preserve">Approx. 12,600</w:t>
      </w:r>
      <w:r>
        <w:t xml:space="preserve">”</w:t>
      </w:r>
      <w:r>
        <w:t xml:space="preserve">));</w:t>
      </w:r>
      <w:r>
        <w:t xml:space="preserve"> </w:t>
      </w:r>
      <w:r>
        <w:t xml:space="preserve">C –&gt; G(Japanese Native Readings);</w:t>
      </w:r>
      <w:r>
        <w:t xml:space="preserve"> </w:t>
      </w:r>
      <w:r>
        <w:t xml:space="preserve">G — N((</w:t>
      </w:r>
      <w:r>
        <w:t xml:space="preserve">“</w:t>
      </w:r>
      <w:r>
        <w:t xml:space="preserve">Approx. 35,400</w:t>
      </w:r>
      <w:r>
        <w:t xml:space="preserve">”</w:t>
      </w:r>
      <w:r>
        <w:t xml:space="preserve">));</w:t>
      </w:r>
      <w:r>
        <w:t xml:space="preserve"> </w:t>
      </w:r>
      <w:r>
        <w:t xml:space="preserve">C –&gt; H(Other);</w:t>
      </w:r>
      <w:r>
        <w:t xml:space="preserve"> </w:t>
      </w:r>
      <w:r>
        <w:t xml:space="preserve">H — O((</w:t>
      </w:r>
      <w:r>
        <w:t xml:space="preserve">“</w:t>
      </w:r>
      <w:r>
        <w:t xml:space="preserve">Approx. 1,300</w:t>
      </w:r>
      <w:r>
        <w:t xml:space="preserve">”</w:t>
      </w:r>
      <w:r>
        <w:t xml:space="preserve">));</w:t>
      </w:r>
      <w:r>
        <w:t xml:space="preserve"> </w:t>
      </w:r>
      <w:r>
        <w:t xml:space="preserve">{{&lt; /mermaid &gt;}}</w:t>
      </w:r>
      <w:r>
        <w:t xml:space="preserve"> </w:t>
      </w:r>
      <w:r>
        <w:t xml:space="preserve">Note: In the diagram,</w:t>
      </w:r>
      <w:r>
        <w:t xml:space="preserve"> </w:t>
      </w:r>
      <w:r>
        <w:t xml:space="preserve">“</w:t>
      </w:r>
      <w:r>
        <w:t xml:space="preserve">Japanese Native Readings</w:t>
      </w:r>
      <w:r>
        <w:t xml:space="preserve">”</w:t>
      </w:r>
      <w:r>
        <w:t xml:space="preserve"> </w:t>
      </w:r>
      <w:r>
        <w:t xml:space="preserve">refers to the term</w:t>
      </w:r>
      <w:r>
        <w:t xml:space="preserve"> </w:t>
      </w:r>
      <w:r>
        <w:rPr>
          <w:rStyle w:val="VerbatimChar"/>
        </w:rPr>
        <w:t xml:space="preserve">Japanese Native Readings</w:t>
      </w:r>
      <w:r>
        <w:t xml:space="preserve"> </w:t>
      </w:r>
      <w:r>
        <w:t xml:space="preserve">(</w:t>
      </w:r>
      <w:r>
        <w:rPr>
          <w:iCs/>
          <w:i/>
        </w:rPr>
        <w:t xml:space="preserve">wakun</w:t>
      </w:r>
      <w:r>
        <w:t xml:space="preserve">) used throughout this documentation.</w:t>
      </w:r>
    </w:p>
    <w:bookmarkEnd w:id="229"/>
    <w:bookmarkStart w:id="246" w:name="Xf91588e2f281b902b0eb3bca72bca7e5edbcfdb"/>
    <w:p>
      <w:pPr>
        <w:pStyle w:val="Heading2"/>
      </w:pPr>
      <w:r>
        <w:rPr>
          <w:rStyle w:val="SectionNumber"/>
        </w:rPr>
        <w:t xml:space="preserve">20.2</w:t>
      </w:r>
      <w:r>
        <w:tab/>
      </w:r>
      <w:r>
        <w:t xml:space="preserve">Understanding the Main Text</w:t>
      </w:r>
    </w:p>
    <w:bookmarkStart w:id="230" w:name="X42eb0afa042e75404a171ad5224ac1fcde12d28"/>
    <w:p>
      <w:pPr>
        <w:pStyle w:val="Heading3"/>
      </w:pPr>
      <w:r>
        <w:rPr>
          <w:rStyle w:val="SectionNumber"/>
        </w:rPr>
        <w:t xml:space="preserve">20.2.1</w:t>
      </w:r>
      <w:r>
        <w:tab/>
      </w:r>
      <w:r>
        <w:t xml:space="preserve">Example of an</w:t>
      </w:r>
      <w:r>
        <w:t xml:space="preserve"> </w:t>
      </w:r>
      <w:r>
        <w:rPr>
          <w:rStyle w:val="VerbatimChar"/>
          <w:bCs/>
          <w:b/>
        </w:rPr>
        <w:t xml:space="preserve">Entry</w:t>
      </w:r>
    </w:p>
    <w:p>
      <w:pPr>
        <w:pStyle w:val="FirstParagraph"/>
      </w:pPr>
      <w:r>
        <w:t xml:space="preserve">Let’s examine the content of an</w:t>
      </w:r>
      <w:r>
        <w:t xml:space="preserve"> </w:t>
      </w:r>
      <w:r>
        <w:rPr>
          <w:rStyle w:val="VerbatimChar"/>
          <w:bCs/>
          <w:b/>
        </w:rPr>
        <w:t xml:space="preserve">Entry</w:t>
      </w:r>
      <w:r>
        <w:t xml:space="preserve"> </w:t>
      </w:r>
      <w:r>
        <w:t xml:space="preserve">using</w:t>
      </w:r>
      <w:r>
        <w:t xml:space="preserve"> </w:t>
      </w:r>
      <w:r>
        <w:t xml:space="preserve">‘</w:t>
      </w:r>
      <w:r>
        <w:t xml:space="preserve">覲</w:t>
      </w:r>
      <w:r>
        <w:t xml:space="preserve">’</w:t>
      </w:r>
      <w:r>
        <w:t xml:space="preserve"> </w:t>
      </w:r>
      <w:r>
        <w:t xml:space="preserve">as an example.</w:t>
      </w:r>
    </w:p>
    <w:p>
      <w:pPr>
        <w:pStyle w:val="SourceCode"/>
      </w:pPr>
      <w:r>
        <w:rPr>
          <w:rStyle w:val="VerbatimChar"/>
        </w:rPr>
        <w:t xml:space="preserve">    Headword: 覲</w:t>
      </w:r>
      <w:r>
        <w:br/>
      </w:r>
      <w:r>
        <w:rPr>
          <w:rStyle w:val="VerbatimChar"/>
        </w:rPr>
        <w:t xml:space="preserve">    Original Glosses: 音僅（R）　ミル（LH）　マミユ（HLH）　和後ン（_L）</w:t>
      </w:r>
      <w:r>
        <w:br/>
      </w:r>
      <w:r>
        <w:rPr>
          <w:rStyle w:val="VerbatimChar"/>
        </w:rPr>
        <w:t xml:space="preserve">        Elements of Original Glosses:</w:t>
      </w:r>
      <w:r>
        <w:br/>
      </w:r>
      <w:r>
        <w:rPr>
          <w:rStyle w:val="VerbatimChar"/>
        </w:rPr>
        <w:t xml:space="preserve">            Phonetic Gloss: 音僅（R）</w:t>
      </w:r>
      <w:r>
        <w:br/>
      </w:r>
      <w:r>
        <w:rPr>
          <w:rStyle w:val="VerbatimChar"/>
        </w:rPr>
        <w:t xml:space="preserve">            Japanese Native Reading (*wakun*): ミル（LH）</w:t>
      </w:r>
      <w:r>
        <w:br/>
      </w:r>
      <w:r>
        <w:rPr>
          <w:rStyle w:val="VerbatimChar"/>
        </w:rPr>
        <w:t xml:space="preserve">            Japanese Native Reading (*wakun*): マミユ（HLH）</w:t>
      </w:r>
      <w:r>
        <w:br/>
      </w:r>
      <w:r>
        <w:rPr>
          <w:rStyle w:val="VerbatimChar"/>
        </w:rPr>
        <w:t xml:space="preserve">            Phonetic Gloss: 和後ン（_L）</w:t>
      </w:r>
    </w:p>
    <w:p>
      <w:pPr>
        <w:pStyle w:val="FirstParagraph"/>
      </w:pPr>
      <w:r>
        <w:t xml:space="preserve">In this</w:t>
      </w:r>
      <w:r>
        <w:t xml:space="preserve"> </w:t>
      </w:r>
      <w:r>
        <w:rPr>
          <w:rStyle w:val="VerbatimChar"/>
          <w:bCs/>
          <w:b/>
        </w:rPr>
        <w:t xml:space="preserve">Entry</w:t>
      </w:r>
      <w:r>
        <w:t xml:space="preserve">, for the single</w:t>
      </w:r>
      <w:r>
        <w:t xml:space="preserve"> </w:t>
      </w:r>
      <w:r>
        <w:rPr>
          <w:rStyle w:val="VerbatimChar"/>
          <w:bCs/>
          <w:b/>
        </w:rPr>
        <w:t xml:space="preserve">Headword</w:t>
      </w:r>
      <w:r>
        <w:t xml:space="preserve"> </w:t>
      </w:r>
      <w:r>
        <w:t xml:space="preserve">‘</w:t>
      </w:r>
      <w:r>
        <w:t xml:space="preserve">覲</w:t>
      </w:r>
      <w:r>
        <w:t xml:space="preserve">’</w:t>
      </w:r>
      <w:r>
        <w:t xml:space="preserve">, two</w:t>
      </w:r>
      <w:r>
        <w:t xml:space="preserve"> </w:t>
      </w:r>
      <w:r>
        <w:rPr>
          <w:rStyle w:val="VerbatimChar"/>
          <w:bCs/>
          <w:b/>
        </w:rPr>
        <w:t xml:space="preserve">Phonetic Glosses</w:t>
      </w:r>
      <w:r>
        <w:t xml:space="preserve"> </w:t>
      </w:r>
      <w:r>
        <w:t xml:space="preserve">and two</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are provided.</w:t>
      </w:r>
    </w:p>
    <w:p>
      <w:pPr>
        <w:pStyle w:val="BodyText"/>
      </w:pPr>
      <w:r>
        <w:t xml:space="preserve">Below, we will provide some explanation for the</w:t>
      </w:r>
      <w:r>
        <w:t xml:space="preserve"> </w:t>
      </w:r>
      <w:r>
        <w:rPr>
          <w:rStyle w:val="VerbatimChar"/>
          <w:bCs/>
          <w:b/>
        </w:rPr>
        <w:t xml:space="preserve">Headword</w:t>
      </w:r>
      <w:r>
        <w:t xml:space="preserve">,</w:t>
      </w:r>
      <w:r>
        <w:t xml:space="preserve"> </w:t>
      </w:r>
      <w:r>
        <w:rPr>
          <w:rStyle w:val="VerbatimChar"/>
          <w:bCs/>
          <w:b/>
        </w:rPr>
        <w:t xml:space="preserve">Phonetic Glosses</w:t>
      </w:r>
      <w:r>
        <w:t xml:space="preserve">, and</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in order.</w:t>
      </w:r>
    </w:p>
    <w:bookmarkEnd w:id="230"/>
    <w:bookmarkStart w:id="240" w:name="X9889d7d1035fb8c378ce6f68b21084eb0dd76e4"/>
    <w:p>
      <w:pPr>
        <w:pStyle w:val="Heading3"/>
      </w:pPr>
      <w:r>
        <w:rPr>
          <w:rStyle w:val="SectionNumber"/>
        </w:rPr>
        <w:t xml:space="preserve">20.2.2</w:t>
      </w:r>
      <w:r>
        <w:tab/>
      </w:r>
      <w:r>
        <w:rPr>
          <w:rStyle w:val="VerbatimChar"/>
          <w:bCs/>
          <w:b/>
        </w:rPr>
        <w:t xml:space="preserve">Headword</w:t>
      </w:r>
    </w:p>
    <w:p>
      <w:pPr>
        <w:pStyle w:val="FirstParagraph"/>
      </w:pPr>
      <w:r>
        <w:t xml:space="preserve">Although the</w:t>
      </w:r>
      <w:r>
        <w:t xml:space="preserve"> </w:t>
      </w:r>
      <w:r>
        <w:rPr>
          <w:rStyle w:val="VerbatimChar"/>
          <w:bCs/>
          <w:b/>
        </w:rPr>
        <w:t xml:space="preserve">Headword</w:t>
      </w:r>
      <w:r>
        <w:t xml:space="preserve"> </w:t>
      </w:r>
      <w:r>
        <w:t xml:space="preserve">is transcribed as</w:t>
      </w:r>
      <w:r>
        <w:t xml:space="preserve"> </w:t>
      </w:r>
      <w:r>
        <w:t xml:space="preserve">‘</w:t>
      </w:r>
      <w:r>
        <w:t xml:space="preserve">覲</w:t>
      </w:r>
      <w:r>
        <w:t xml:space="preserve">’</w:t>
      </w:r>
      <w:r>
        <w:t xml:space="preserve">, its actual glyph form in the original manuscript, when reproduced using GlyphWiki, appears as:</w:t>
      </w:r>
      <w:r>
        <w:t xml:space="preserve"> </w:t>
      </w:r>
      <w:r>
        <w:drawing>
          <wp:inline>
            <wp:extent cx="476250" cy="476250"/>
            <wp:effectExtent b="0" l="0" r="0" t="0"/>
            <wp:docPr descr="覲" title="" id="232" name="Picture"/>
            <a:graphic>
              <a:graphicData uri="http://schemas.openxmlformats.org/drawingml/2006/picture">
                <pic:pic>
                  <pic:nvPicPr>
                    <pic:cNvPr descr="https://glyphwiki.org/glyph/hdic-tanki01_hkrm-02081630.50px.png" id="233" name="Picture"/>
                    <pic:cNvPicPr>
                      <a:picLocks noChangeArrowheads="1" noChangeAspect="1"/>
                    </pic:cNvPicPr>
                  </pic:nvPicPr>
                  <pic:blipFill>
                    <a:blip r:embed="rId231"/>
                    <a:stretch>
                      <a:fillRect/>
                    </a:stretch>
                  </pic:blipFill>
                  <pic:spPr bwMode="auto">
                    <a:xfrm>
                      <a:off x="0" y="0"/>
                      <a:ext cx="476250" cy="476250"/>
                    </a:xfrm>
                    <a:prstGeom prst="rect">
                      <a:avLst/>
                    </a:prstGeom>
                    <a:noFill/>
                    <a:ln w="9525">
                      <a:noFill/>
                      <a:headEnd/>
                      <a:tailEnd/>
                    </a:ln>
                  </pic:spPr>
                </pic:pic>
              </a:graphicData>
            </a:graphic>
          </wp:inline>
        </w:drawing>
      </w:r>
      <w:r>
        <w:t xml:space="preserve">.</w:t>
      </w:r>
    </w:p>
    <w:p>
      <w:pPr>
        <w:pStyle w:val="BodyText"/>
      </w:pPr>
      <w:r>
        <w:t xml:space="preserve">Information on the character</w:t>
      </w:r>
      <w:r>
        <w:t xml:space="preserve"> </w:t>
      </w:r>
      <w:r>
        <w:t xml:space="preserve">‘</w:t>
      </w:r>
      <w:r>
        <w:t xml:space="preserve">覲</w:t>
      </w:r>
      <w:r>
        <w:t xml:space="preserve">’</w:t>
      </w:r>
      <w:r>
        <w:t xml:space="preserve"> </w:t>
      </w:r>
      <w:r>
        <w:t xml:space="preserve">in GlyphWiki can be found at</w:t>
      </w:r>
      <w:r>
        <w:t xml:space="preserve"> </w:t>
      </w:r>
      <w:hyperlink r:id="rId234">
        <w:r>
          <w:rPr>
            <w:rStyle w:val="Hyperlink"/>
          </w:rPr>
          <w:t xml:space="preserve">https://glyphwiki.org/wiki/u50c5</w:t>
        </w:r>
      </w:hyperlink>
      <w:r>
        <w:t xml:space="preserve">. Various glyphs are registered there; if the desired glyph is available, it can be used. If not, one can create and register a new glyph.</w:t>
      </w:r>
    </w:p>
    <w:p>
      <w:pPr>
        <w:pStyle w:val="BodyText"/>
      </w:pPr>
      <w:r>
        <w:t xml:space="preserve">Glyphs in HDIC (Integrated Database of Hanzi Dictionaries in Early Japan) typically begin with the prefix</w:t>
      </w:r>
      <w:r>
        <w:t xml:space="preserve"> </w:t>
      </w:r>
      <w:r>
        <w:rPr>
          <w:rStyle w:val="VerbatimChar"/>
        </w:rPr>
        <w:t xml:space="preserve">hdic-</w:t>
      </w:r>
      <w:r>
        <w:t xml:space="preserve">. For the Kanchi-in manuscript of the</w:t>
      </w:r>
      <w:r>
        <w:t xml:space="preserve"> </w:t>
      </w:r>
      <w:r>
        <w:rPr>
          <w:iCs/>
          <w:i/>
        </w:rPr>
        <w:t xml:space="preserve">Ruiju Myōgishō</w:t>
      </w:r>
      <w:r>
        <w:t xml:space="preserve">, an additional</w:t>
      </w:r>
      <w:r>
        <w:t xml:space="preserve"> </w:t>
      </w:r>
      <w:r>
        <w:rPr>
          <w:rStyle w:val="VerbatimChar"/>
        </w:rPr>
        <w:t xml:space="preserve">hkrm-</w:t>
      </w:r>
      <w:r>
        <w:t xml:space="preserve"> </w:t>
      </w:r>
      <w:r>
        <w:t xml:space="preserve">is appended, followed by an 8-digit number indicating its location information to form the GlyphWiki glyph name.</w:t>
      </w:r>
    </w:p>
    <w:p>
      <w:pPr>
        <w:pStyle w:val="BodyText"/>
      </w:pPr>
      <w:r>
        <w:t xml:space="preserve">Regarding the glyph</w:t>
      </w:r>
      <w:r>
        <w:t xml:space="preserve"> </w:t>
      </w:r>
      <w:r>
        <w:drawing>
          <wp:inline>
            <wp:extent cx="476250" cy="476250"/>
            <wp:effectExtent b="0" l="0" r="0" t="0"/>
            <wp:docPr descr="覲" title="" id="235" name="Picture"/>
            <a:graphic>
              <a:graphicData uri="http://schemas.openxmlformats.org/drawingml/2006/picture">
                <pic:pic>
                  <pic:nvPicPr>
                    <pic:cNvPr descr="https://glyphwiki.org/glyph/hdic-tanki01_hkrm-02081630.50px.png" id="236" name="Picture"/>
                    <pic:cNvPicPr>
                      <a:picLocks noChangeArrowheads="1" noChangeAspect="1"/>
                    </pic:cNvPicPr>
                  </pic:nvPicPr>
                  <pic:blipFill>
                    <a:blip r:embed="rId231"/>
                    <a:stretch>
                      <a:fillRect/>
                    </a:stretch>
                  </pic:blipFill>
                  <pic:spPr bwMode="auto">
                    <a:xfrm>
                      <a:off x="0" y="0"/>
                      <a:ext cx="476250" cy="476250"/>
                    </a:xfrm>
                    <a:prstGeom prst="rect">
                      <a:avLst/>
                    </a:prstGeom>
                    <a:noFill/>
                    <a:ln w="9525">
                      <a:noFill/>
                      <a:headEnd/>
                      <a:tailEnd/>
                    </a:ln>
                  </pic:spPr>
                </pic:pic>
              </a:graphicData>
            </a:graphic>
          </wp:inline>
        </w:drawing>
      </w:r>
      <w:r>
        <w:t xml:space="preserve">,</w:t>
      </w:r>
      <w:r>
        <w:t xml:space="preserve"> </w:t>
      </w:r>
      <w:r>
        <w:t xml:space="preserve">searching for</w:t>
      </w:r>
      <w:r>
        <w:t xml:space="preserve"> </w:t>
      </w:r>
      <w:r>
        <w:t xml:space="preserve">‘</w:t>
      </w:r>
      <w:r>
        <w:t xml:space="preserve">覲</w:t>
      </w:r>
      <w:r>
        <w:t xml:space="preserve">’</w:t>
      </w:r>
      <w:r>
        <w:t xml:space="preserve"> </w:t>
      </w:r>
      <w:r>
        <w:t xml:space="preserve">in the HNG (Hanzi Normative Glyphs Database) at</w:t>
      </w:r>
      <w:r>
        <w:t xml:space="preserve"> </w:t>
      </w:r>
      <w:hyperlink r:id="rId237">
        <w:r>
          <w:rPr>
            <w:rStyle w:val="Hyperlink"/>
          </w:rPr>
          <w:t xml:space="preserve">https://search.hng-data.org/search</w:t>
        </w:r>
      </w:hyperlink>
      <w:r>
        <w:t xml:space="preserve"> </w:t>
      </w:r>
      <w:r>
        <w:t xml:space="preserve">confirms that an example exists in the Ueno manuscript of the</w:t>
      </w:r>
      <w:r>
        <w:t xml:space="preserve"> </w:t>
      </w:r>
      <w:r>
        <w:rPr>
          <w:iCs/>
          <w:i/>
        </w:rPr>
        <w:t xml:space="preserve">Hanshu</w:t>
      </w:r>
      <w:r>
        <w:t xml:space="preserve"> </w:t>
      </w:r>
      <w:r>
        <w:t xml:space="preserve">(Book of Han), specifically in the</w:t>
      </w:r>
      <w:r>
        <w:t xml:space="preserve"> </w:t>
      </w:r>
      <w:r>
        <w:rPr>
          <w:iCs/>
          <w:i/>
        </w:rPr>
        <w:t xml:space="preserve">Yang Xiong</w:t>
      </w:r>
      <w:r>
        <w:t xml:space="preserve"> </w:t>
      </w:r>
      <w:r>
        <w:t xml:space="preserve">(楊雄) section.</w:t>
      </w:r>
    </w:p>
    <w:p>
      <w:pPr>
        <w:pStyle w:val="BodyText"/>
      </w:pPr>
      <w:r>
        <w:t xml:space="preserve">When creating annotations related to</w:t>
      </w:r>
      <w:r>
        <w:t xml:space="preserve"> </w:t>
      </w:r>
      <w:r>
        <w:rPr>
          <w:rStyle w:val="VerbatimChar"/>
          <w:bCs/>
          <w:b/>
        </w:rPr>
        <w:t xml:space="preserve">Headwords</w:t>
      </w:r>
      <w:r>
        <w:t xml:space="preserve">, it may be necessary to create and display glyphs using GlyphWiki, or to create and display cropped images from the original manuscript.</w:t>
      </w:r>
    </w:p>
    <w:p>
      <w:pPr>
        <w:pStyle w:val="BodyText"/>
      </w:pPr>
      <w:r>
        <w:t xml:space="preserve">However, for text-based annotation creation, such visual representations can reduce readability. Therefore, using the IDS (Ideographic Description Sequence) method is often more practical. The aforementioned glyph</w:t>
      </w:r>
      <w:r>
        <w:t xml:space="preserve"> </w:t>
      </w:r>
      <w:r>
        <w:drawing>
          <wp:inline>
            <wp:extent cx="476250" cy="476250"/>
            <wp:effectExtent b="0" l="0" r="0" t="0"/>
            <wp:docPr descr="覲" title="" id="238" name="Picture"/>
            <a:graphic>
              <a:graphicData uri="http://schemas.openxmlformats.org/drawingml/2006/picture">
                <pic:pic>
                  <pic:nvPicPr>
                    <pic:cNvPr descr="https://glyphwiki.org/glyph/hdic-tanki01_hkrm-02081630.50px.png" id="239" name="Picture"/>
                    <pic:cNvPicPr>
                      <a:picLocks noChangeArrowheads="1" noChangeAspect="1"/>
                    </pic:cNvPicPr>
                  </pic:nvPicPr>
                  <pic:blipFill>
                    <a:blip r:embed="rId231"/>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can be represented, for example, as</w:t>
      </w:r>
      <w:r>
        <w:t xml:space="preserve"> </w:t>
      </w:r>
      <w:r>
        <w:rPr>
          <w:rStyle w:val="VerbatimChar"/>
        </w:rPr>
        <w:t xml:space="preserve">⿰⿳艹口土見</w:t>
      </w:r>
      <w:r>
        <w:t xml:space="preserve">.</w:t>
      </w:r>
    </w:p>
    <w:bookmarkEnd w:id="240"/>
    <w:bookmarkStart w:id="244" w:name="X8f2ca1a34489047f9164aaa555a51cacaf1ddcb"/>
    <w:p>
      <w:pPr>
        <w:pStyle w:val="Heading3"/>
      </w:pPr>
      <w:r>
        <w:rPr>
          <w:rStyle w:val="SectionNumber"/>
        </w:rPr>
        <w:t xml:space="preserve">20.2.3</w:t>
      </w:r>
      <w:r>
        <w:tab/>
      </w:r>
      <w:r>
        <w:t xml:space="preserve">Examining</w:t>
      </w:r>
      <w:r>
        <w:t xml:space="preserve"> </w:t>
      </w:r>
      <w:r>
        <w:rPr>
          <w:rStyle w:val="VerbatimChar"/>
        </w:rPr>
        <w:t xml:space="preserve">Phonetic Glosses</w:t>
      </w:r>
    </w:p>
    <w:bookmarkStart w:id="241" w:name="X883128eb4ba967c1d8f9ed0ccbd43850cba3932"/>
    <w:p>
      <w:pPr>
        <w:pStyle w:val="Heading4"/>
      </w:pPr>
      <w:r>
        <w:rPr>
          <w:rStyle w:val="SectionNumber"/>
        </w:rPr>
        <w:t xml:space="preserve">20.2.3.1</w:t>
      </w:r>
      <w:r>
        <w:tab/>
      </w:r>
      <w:r>
        <w:t xml:space="preserve">The</w:t>
      </w:r>
      <w:r>
        <w:t xml:space="preserve"> </w:t>
      </w:r>
      <w:r>
        <w:rPr>
          <w:iCs/>
          <w:i/>
        </w:rPr>
        <w:t xml:space="preserve">Guangyun</w:t>
      </w:r>
      <w:r>
        <w:t xml:space="preserve"> </w:t>
      </w:r>
      <w:r>
        <w:t xml:space="preserve">(広韻)</w:t>
      </w:r>
    </w:p>
    <w:p>
      <w:pPr>
        <w:pStyle w:val="FirstParagraph"/>
      </w:pPr>
      <w:r>
        <w:t xml:space="preserve">The character</w:t>
      </w:r>
      <w:r>
        <w:t xml:space="preserve"> </w:t>
      </w:r>
      <w:r>
        <w:t xml:space="preserve">‘</w:t>
      </w:r>
      <w:r>
        <w:t xml:space="preserve">覲</w:t>
      </w:r>
      <w:r>
        <w:t xml:space="preserve">’</w:t>
      </w:r>
      <w:r>
        <w:t xml:space="preserve"> </w:t>
      </w:r>
      <w:r>
        <w:t xml:space="preserve">is listed in the</w:t>
      </w:r>
      <w:r>
        <w:t xml:space="preserve"> </w:t>
      </w:r>
      <w:r>
        <w:rPr>
          <w:iCs/>
          <w:i/>
        </w:rPr>
        <w:t xml:space="preserve">Guangyun</w:t>
      </w:r>
      <w:r>
        <w:t xml:space="preserve"> </w:t>
      </w:r>
      <w:r>
        <w:t xml:space="preserve">under the Departing tone (去声,</w:t>
      </w:r>
      <w:r>
        <w:t xml:space="preserve"> </w:t>
      </w:r>
      <w:r>
        <w:rPr>
          <w:iCs/>
          <w:i/>
        </w:rPr>
        <w:t xml:space="preserve">qùshēng</w:t>
      </w:r>
      <w:r>
        <w:t xml:space="preserve">) and the</w:t>
      </w:r>
      <w:r>
        <w:t xml:space="preserve"> </w:t>
      </w:r>
      <w:r>
        <w:rPr>
          <w:iCs/>
          <w:i/>
        </w:rPr>
        <w:t xml:space="preserve">Zhen</w:t>
      </w:r>
      <w:r>
        <w:t xml:space="preserve"> </w:t>
      </w:r>
      <w:r>
        <w:t xml:space="preserve">rhyme (震韻). Its semantic gloss (義注,</w:t>
      </w:r>
      <w:r>
        <w:t xml:space="preserve"> </w:t>
      </w:r>
      <w:r>
        <w:rPr>
          <w:iCs/>
          <w:i/>
        </w:rPr>
        <w:t xml:space="preserve">gichū</w:t>
      </w:r>
      <w:r>
        <w:t xml:space="preserve">) is given as</w:t>
      </w:r>
      <w:r>
        <w:t xml:space="preserve"> </w:t>
      </w:r>
      <w:r>
        <w:t xml:space="preserve">“</w:t>
      </w:r>
      <w:r>
        <w:t xml:space="preserve">見也</w:t>
      </w:r>
      <w:r>
        <w:t xml:space="preserve">”</w:t>
      </w:r>
      <w:r>
        <w:t xml:space="preserve"> </w:t>
      </w:r>
      <w:r>
        <w:t xml:space="preserve">(to see), and it belongs to the</w:t>
      </w:r>
      <w:r>
        <w:t xml:space="preserve"> </w:t>
      </w:r>
      <w:r>
        <w:rPr>
          <w:iCs/>
          <w:i/>
        </w:rPr>
        <w:t xml:space="preserve">xiaoyun</w:t>
      </w:r>
      <w:r>
        <w:t xml:space="preserve"> </w:t>
      </w:r>
      <w:r>
        <w:t xml:space="preserve">(小韻, phonetic group)</w:t>
      </w:r>
      <w:r>
        <w:t xml:space="preserve"> </w:t>
      </w:r>
      <w:r>
        <w:t xml:space="preserve">‘</w:t>
      </w:r>
      <w:r>
        <w:t xml:space="preserve">僅</w:t>
      </w:r>
      <w:r>
        <w:t xml:space="preserve">’</w:t>
      </w:r>
      <w:r>
        <w:t xml:space="preserve">, which is indicated by the</w:t>
      </w:r>
      <w:r>
        <w:t xml:space="preserve"> </w:t>
      </w:r>
      <w:r>
        <w:rPr>
          <w:iCs/>
          <w:i/>
        </w:rPr>
        <w:t xml:space="preserve">fanqie</w:t>
      </w:r>
      <w:r>
        <w:t xml:space="preserve"> </w:t>
      </w:r>
      <w:r>
        <w:t xml:space="preserve">spelling</w:t>
      </w:r>
      <w:r>
        <w:t xml:space="preserve"> </w:t>
      </w:r>
      <w:r>
        <w:t xml:space="preserve">“</w:t>
      </w:r>
      <w:r>
        <w:t xml:space="preserve">渠遴切</w:t>
      </w:r>
      <w:r>
        <w:t xml:space="preserve">”</w:t>
      </w:r>
      <w:r>
        <w:t xml:space="preserve"> </w:t>
      </w:r>
      <w:r>
        <w:t xml:space="preserve">(</w:t>
      </w:r>
      <w:r>
        <w:rPr>
          <w:iCs/>
          <w:i/>
        </w:rPr>
        <w:t xml:space="preserve">qú lìn qiè</w:t>
      </w:r>
      <w:r>
        <w:t xml:space="preserve">).</w:t>
      </w:r>
    </w:p>
    <w:p>
      <w:pPr>
        <w:pStyle w:val="BodyText"/>
      </w:pPr>
      <w:r>
        <w:t xml:space="preserve">Taking</w:t>
      </w:r>
      <w:r>
        <w:t xml:space="preserve"> </w:t>
      </w:r>
      <w:r>
        <w:t xml:space="preserve">‘</w:t>
      </w:r>
      <w:r>
        <w:t xml:space="preserve">覲</w:t>
      </w:r>
      <w:r>
        <w:t xml:space="preserve">’</w:t>
      </w:r>
      <w:r>
        <w:t xml:space="preserve"> </w:t>
      </w:r>
      <w:r>
        <w:t xml:space="preserve">as an example, there are two primary ways to present this information in an annotation:</w:t>
      </w:r>
    </w:p>
    <w:p>
      <w:pPr>
        <w:numPr>
          <w:ilvl w:val="0"/>
          <w:numId w:val="1148"/>
        </w:numPr>
        <w:pStyle w:val="Compact"/>
      </w:pPr>
      <w:r>
        <w:t xml:space="preserve">Indicating only the phonetic information:</w:t>
      </w:r>
      <w:r>
        <w:t xml:space="preserve"> </w:t>
      </w:r>
      <w:r>
        <w:t xml:space="preserve">‘</w:t>
      </w:r>
      <w:r>
        <w:t xml:space="preserve">覲</w:t>
      </w:r>
      <w:r>
        <w:t xml:space="preserve">’</w:t>
      </w:r>
      <w:r>
        <w:t xml:space="preserve"> </w:t>
      </w:r>
      <w:r>
        <w:t xml:space="preserve">is given in the</w:t>
      </w:r>
      <w:r>
        <w:t xml:space="preserve"> </w:t>
      </w:r>
      <w:r>
        <w:rPr>
          <w:iCs/>
          <w:i/>
        </w:rPr>
        <w:t xml:space="preserve">Guangyun</w:t>
      </w:r>
      <w:r>
        <w:t xml:space="preserve"> </w:t>
      </w:r>
      <w:r>
        <w:t xml:space="preserve">as</w:t>
      </w:r>
      <w:r>
        <w:t xml:space="preserve"> </w:t>
      </w:r>
      <w:r>
        <w:t xml:space="preserve">“</w:t>
      </w:r>
      <w:r>
        <w:t xml:space="preserve">渠遴切</w:t>
      </w:r>
      <w:r>
        <w:t xml:space="preserve">”</w:t>
      </w:r>
      <w:r>
        <w:t xml:space="preserve"> </w:t>
      </w:r>
      <w:r>
        <w:t xml:space="preserve">(</w:t>
      </w:r>
      <w:r>
        <w:rPr>
          <w:iCs/>
          <w:i/>
        </w:rPr>
        <w:t xml:space="preserve">qú lìn qiè</w:t>
      </w:r>
      <w:r>
        <w:t xml:space="preserve">; Departing tone,</w:t>
      </w:r>
      <w:r>
        <w:t xml:space="preserve"> </w:t>
      </w:r>
      <w:r>
        <w:rPr>
          <w:iCs/>
          <w:i/>
        </w:rPr>
        <w:t xml:space="preserve">Zhen</w:t>
      </w:r>
      <w:r>
        <w:t xml:space="preserve"> </w:t>
      </w:r>
      <w:r>
        <w:t xml:space="preserve">rhyme (震韻), under</w:t>
      </w:r>
      <w:r>
        <w:t xml:space="preserve"> </w:t>
      </w:r>
      <w:r>
        <w:rPr>
          <w:iCs/>
          <w:i/>
        </w:rPr>
        <w:t xml:space="preserve">xiaoyun</w:t>
      </w:r>
      <w:r>
        <w:t xml:space="preserve"> </w:t>
      </w:r>
      <w:r>
        <w:t xml:space="preserve">‘</w:t>
      </w:r>
      <w:r>
        <w:t xml:space="preserve">僅</w:t>
      </w:r>
      <w:r>
        <w:t xml:space="preserve">’</w:t>
      </w:r>
      <w:r>
        <w:t xml:space="preserve">).</w:t>
      </w:r>
    </w:p>
    <w:p>
      <w:pPr>
        <w:numPr>
          <w:ilvl w:val="0"/>
          <w:numId w:val="1148"/>
        </w:numPr>
        <w:pStyle w:val="Compact"/>
      </w:pPr>
      <w:r>
        <w:t xml:space="preserve">Indicating both phonetic and semantic information:</w:t>
      </w:r>
      <w:r>
        <w:t xml:space="preserve"> </w:t>
      </w:r>
      <w:r>
        <w:t xml:space="preserve">‘</w:t>
      </w:r>
      <w:r>
        <w:t xml:space="preserve">覲</w:t>
      </w:r>
      <w:r>
        <w:t xml:space="preserve">’</w:t>
      </w:r>
      <w:r>
        <w:t xml:space="preserve"> </w:t>
      </w:r>
      <w:r>
        <w:t xml:space="preserve">is given in the</w:t>
      </w:r>
      <w:r>
        <w:t xml:space="preserve"> </w:t>
      </w:r>
      <w:r>
        <w:rPr>
          <w:iCs/>
          <w:i/>
        </w:rPr>
        <w:t xml:space="preserve">Guangyun</w:t>
      </w:r>
      <w:r>
        <w:t xml:space="preserve"> </w:t>
      </w:r>
      <w:r>
        <w:t xml:space="preserve">as</w:t>
      </w:r>
      <w:r>
        <w:t xml:space="preserve"> </w:t>
      </w:r>
      <w:r>
        <w:t xml:space="preserve">“</w:t>
      </w:r>
      <w:r>
        <w:t xml:space="preserve">見也</w:t>
      </w:r>
      <w:r>
        <w:t xml:space="preserve">”</w:t>
      </w:r>
      <w:r>
        <w:t xml:space="preserve"> </w:t>
      </w:r>
      <w:r>
        <w:t xml:space="preserve">(to see; Departing tone,</w:t>
      </w:r>
      <w:r>
        <w:t xml:space="preserve"> </w:t>
      </w:r>
      <w:r>
        <w:rPr>
          <w:iCs/>
          <w:i/>
        </w:rPr>
        <w:t xml:space="preserve">Zhen</w:t>
      </w:r>
      <w:r>
        <w:t xml:space="preserve"> </w:t>
      </w:r>
      <w:r>
        <w:t xml:space="preserve">rhyme (震韻), under</w:t>
      </w:r>
      <w:r>
        <w:t xml:space="preserve"> </w:t>
      </w:r>
      <w:r>
        <w:rPr>
          <w:iCs/>
          <w:i/>
        </w:rPr>
        <w:t xml:space="preserve">xiaoyun</w:t>
      </w:r>
      <w:r>
        <w:t xml:space="preserve"> </w:t>
      </w:r>
      <w:r>
        <w:t xml:space="preserve">‘</w:t>
      </w:r>
      <w:r>
        <w:t xml:space="preserve">僅</w:t>
      </w:r>
      <w:r>
        <w:t xml:space="preserve">’</w:t>
      </w:r>
      <w:r>
        <w:t xml:space="preserve">:</w:t>
      </w:r>
      <w:r>
        <w:t xml:space="preserve"> </w:t>
      </w:r>
      <w:r>
        <w:t xml:space="preserve">“</w:t>
      </w:r>
      <w:r>
        <w:t xml:space="preserve">渠遴切</w:t>
      </w:r>
      <w:r>
        <w:t xml:space="preserve">”</w:t>
      </w:r>
      <w:r>
        <w:t xml:space="preserve"> </w:t>
      </w:r>
      <w:r>
        <w:rPr>
          <w:iCs/>
          <w:i/>
        </w:rPr>
        <w:t xml:space="preserve">qú lìn qiè</w:t>
      </w:r>
      <w:r>
        <w:t xml:space="preserve">).</w:t>
      </w:r>
    </w:p>
    <w:bookmarkEnd w:id="241"/>
    <w:bookmarkStart w:id="242" w:name="X653e30e3c45cc40122a46979ff1e2b042672577"/>
    <w:p>
      <w:pPr>
        <w:pStyle w:val="Heading4"/>
      </w:pPr>
      <w:r>
        <w:rPr>
          <w:rStyle w:val="SectionNumber"/>
        </w:rPr>
        <w:t xml:space="preserve">20.2.3.2</w:t>
      </w:r>
      <w:r>
        <w:tab/>
      </w:r>
      <w:r>
        <w:t xml:space="preserve">Standard Pronunciation (</w:t>
      </w:r>
      <w:r>
        <w:rPr>
          <w:iCs/>
          <w:i/>
        </w:rPr>
        <w:t xml:space="preserve">Seion</w:t>
      </w:r>
      <w:r>
        <w:t xml:space="preserve">)</w:t>
      </w:r>
    </w:p>
    <w:p>
      <w:pPr>
        <w:pStyle w:val="FirstParagraph"/>
      </w:pPr>
      <w:r>
        <w:t xml:space="preserve">The first</w:t>
      </w:r>
      <w:r>
        <w:t xml:space="preserve"> </w:t>
      </w:r>
      <w:r>
        <w:rPr>
          <w:rStyle w:val="VerbatimChar"/>
          <w:bCs/>
          <w:b/>
        </w:rPr>
        <w:t xml:space="preserve">Phonetic Gloss</w:t>
      </w:r>
      <w:r>
        <w:t xml:space="preserve"> </w:t>
      </w:r>
      <w:r>
        <w:t xml:space="preserve">in the Kanchi-in manuscript entry for</w:t>
      </w:r>
      <w:r>
        <w:t xml:space="preserve"> </w:t>
      </w:r>
      <w:r>
        <w:t xml:space="preserve">‘</w:t>
      </w:r>
      <w:r>
        <w:t xml:space="preserve">覲</w:t>
      </w:r>
      <w:r>
        <w:t xml:space="preserve">’</w:t>
      </w:r>
      <w:r>
        <w:t xml:space="preserve"> </w:t>
      </w:r>
      <w:r>
        <w:t xml:space="preserve">is a homophone gloss (同音字注,</w:t>
      </w:r>
      <w:r>
        <w:t xml:space="preserve"> </w:t>
      </w:r>
      <w:r>
        <w:rPr>
          <w:iCs/>
          <w:i/>
        </w:rPr>
        <w:t xml:space="preserve">dōonji-chū</w:t>
      </w:r>
      <w:r>
        <w:t xml:space="preserve">) given as</w:t>
      </w:r>
      <w:r>
        <w:t xml:space="preserve"> </w:t>
      </w:r>
      <w:r>
        <w:t xml:space="preserve">“</w:t>
      </w:r>
      <w:r>
        <w:t xml:space="preserve">音僅（R）</w:t>
      </w:r>
      <w:r>
        <w:t xml:space="preserve">”</w:t>
      </w:r>
      <w:r>
        <w:t xml:space="preserve">. This corresponds to the</w:t>
      </w:r>
      <w:r>
        <w:t xml:space="preserve"> </w:t>
      </w:r>
      <w:r>
        <w:rPr>
          <w:iCs/>
          <w:i/>
        </w:rPr>
        <w:t xml:space="preserve">xiaoyun</w:t>
      </w:r>
      <w:r>
        <w:t xml:space="preserve"> </w:t>
      </w:r>
      <w:r>
        <w:t xml:space="preserve">character</w:t>
      </w:r>
      <w:r>
        <w:t xml:space="preserve"> </w:t>
      </w:r>
      <w:r>
        <w:t xml:space="preserve">‘</w:t>
      </w:r>
      <w:r>
        <w:t xml:space="preserve">僅</w:t>
      </w:r>
      <w:r>
        <w:t xml:space="preserve">’</w:t>
      </w:r>
      <w:r>
        <w:t xml:space="preserve"> </w:t>
      </w:r>
      <w:r>
        <w:t xml:space="preserve">from the</w:t>
      </w:r>
      <w:r>
        <w:t xml:space="preserve"> </w:t>
      </w:r>
      <w:r>
        <w:rPr>
          <w:iCs/>
          <w:i/>
        </w:rPr>
        <w:t xml:space="preserve">Guangyun</w:t>
      </w:r>
      <w:r>
        <w:t xml:space="preserve">’s Departing tone,</w:t>
      </w:r>
      <w:r>
        <w:t xml:space="preserve"> </w:t>
      </w:r>
      <w:r>
        <w:rPr>
          <w:iCs/>
          <w:i/>
        </w:rPr>
        <w:t xml:space="preserve">Zhen</w:t>
      </w:r>
      <w:r>
        <w:t xml:space="preserve"> </w:t>
      </w:r>
      <w:r>
        <w:t xml:space="preserve">rhyme (震韻). The</w:t>
      </w:r>
      <w:r>
        <w:t xml:space="preserve"> </w:t>
      </w:r>
      <w:r>
        <w:t xml:space="preserve">‘</w:t>
      </w:r>
      <w:r>
        <w:t xml:space="preserve">R</w:t>
      </w:r>
      <w:r>
        <w:t xml:space="preserve">’</w:t>
      </w:r>
      <w:r>
        <w:t xml:space="preserve"> </w:t>
      </w:r>
      <w:r>
        <w:t xml:space="preserve">is the symbol indicating the Departing tone, so the tone also matches.</w:t>
      </w:r>
    </w:p>
    <w:p>
      <w:pPr>
        <w:pStyle w:val="BodyText"/>
      </w:pPr>
      <w:r>
        <w:t xml:space="preserve">While</w:t>
      </w:r>
      <w:r>
        <w:t xml:space="preserve"> </w:t>
      </w:r>
      <w:r>
        <w:rPr>
          <w:iCs/>
          <w:i/>
        </w:rPr>
        <w:t xml:space="preserve">Kan-on</w:t>
      </w:r>
      <w:r>
        <w:t xml:space="preserve"> </w:t>
      </w:r>
      <w:r>
        <w:t xml:space="preserve">(漢音, Han pronunciations) are also referred to as</w:t>
      </w:r>
      <w:r>
        <w:t xml:space="preserve"> </w:t>
      </w:r>
      <w:r>
        <w:rPr>
          <w:iCs/>
          <w:i/>
        </w:rPr>
        <w:t xml:space="preserve">Seion</w:t>
      </w:r>
      <w:r>
        <w:t xml:space="preserve"> </w:t>
      </w:r>
      <w:r>
        <w:t xml:space="preserve">(正音, standard pronunciations), their tones often align with those in the</w:t>
      </w:r>
      <w:r>
        <w:t xml:space="preserve"> </w:t>
      </w:r>
      <w:r>
        <w:rPr>
          <w:iCs/>
          <w:i/>
        </w:rPr>
        <w:t xml:space="preserve">Guangyun</w:t>
      </w:r>
      <w:r>
        <w:t xml:space="preserve">. The Kanchi-in manuscript’s entry for</w:t>
      </w:r>
      <w:r>
        <w:t xml:space="preserve"> </w:t>
      </w:r>
      <w:r>
        <w:t xml:space="preserve">‘</w:t>
      </w:r>
      <w:r>
        <w:t xml:space="preserve">覲</w:t>
      </w:r>
      <w:r>
        <w:t xml:space="preserve">’</w:t>
      </w:r>
      <w:r>
        <w:t xml:space="preserve"> </w:t>
      </w:r>
      <w:r>
        <w:t xml:space="preserve">also matches the</w:t>
      </w:r>
      <w:r>
        <w:t xml:space="preserve"> </w:t>
      </w:r>
      <w:r>
        <w:rPr>
          <w:iCs/>
          <w:i/>
        </w:rPr>
        <w:t xml:space="preserve">Guangyun</w:t>
      </w:r>
      <w:r>
        <w:t xml:space="preserve"> </w:t>
      </w:r>
      <w:r>
        <w:t xml:space="preserve">tone.</w:t>
      </w:r>
    </w:p>
    <w:p>
      <w:pPr>
        <w:pStyle w:val="BodyText"/>
      </w:pPr>
      <w:r>
        <w:t xml:space="preserve">Therefore, for annotation purposes, it would likely be sufficient to indicate only the phonetic information, such as:</w:t>
      </w:r>
      <w:r>
        <w:t xml:space="preserve"> </w:t>
      </w:r>
      <w:r>
        <w:t xml:space="preserve">“</w:t>
      </w:r>
      <w:r>
        <w:t xml:space="preserve">‘</w:t>
      </w:r>
      <w:r>
        <w:t xml:space="preserve">覲</w:t>
      </w:r>
      <w:r>
        <w:t xml:space="preserve">’</w:t>
      </w:r>
      <w:r>
        <w:t xml:space="preserve"> </w:t>
      </w:r>
      <w:r>
        <w:t xml:space="preserve">is given in the</w:t>
      </w:r>
      <w:r>
        <w:t xml:space="preserve"> </w:t>
      </w:r>
      <w:r>
        <w:rPr>
          <w:iCs/>
          <w:i/>
        </w:rPr>
        <w:t xml:space="preserve">Guangyun</w:t>
      </w:r>
      <w:r>
        <w:t xml:space="preserve"> </w:t>
      </w:r>
      <w:r>
        <w:t xml:space="preserve">as</w:t>
      </w:r>
      <w:r>
        <w:t xml:space="preserve">”</w:t>
      </w:r>
      <w:r>
        <w:t xml:space="preserve">渠遴切” (</w:t>
      </w:r>
      <w:r>
        <w:rPr>
          <w:iCs/>
          <w:i/>
        </w:rPr>
        <w:t xml:space="preserve">qú lìn qiè</w:t>
      </w:r>
      <w:r>
        <w:t xml:space="preserve">; Departing tone,</w:t>
      </w:r>
      <w:r>
        <w:t xml:space="preserve"> </w:t>
      </w:r>
      <w:r>
        <w:rPr>
          <w:iCs/>
          <w:i/>
        </w:rPr>
        <w:t xml:space="preserve">Zhen</w:t>
      </w:r>
      <w:r>
        <w:t xml:space="preserve"> </w:t>
      </w:r>
      <w:r>
        <w:t xml:space="preserve">rhyme (震韻), under</w:t>
      </w:r>
      <w:r>
        <w:t xml:space="preserve"> </w:t>
      </w:r>
      <w:r>
        <w:rPr>
          <w:iCs/>
          <w:i/>
        </w:rPr>
        <w:t xml:space="preserve">xiaoyun</w:t>
      </w:r>
      <w:r>
        <w:t xml:space="preserve"> </w:t>
      </w:r>
      <w:r>
        <w:t xml:space="preserve">‘</w:t>
      </w:r>
      <w:r>
        <w:t xml:space="preserve">僅</w:t>
      </w:r>
      <w:r>
        <w:t xml:space="preserve">’</w:t>
      </w:r>
      <w:r>
        <w:t xml:space="preserve">).”</w:t>
      </w:r>
    </w:p>
    <w:p>
      <w:pPr>
        <w:pStyle w:val="BodyText"/>
      </w:pPr>
      <w:r>
        <w:t xml:space="preserve">It should be noted that the character</w:t>
      </w:r>
      <w:r>
        <w:t xml:space="preserve"> </w:t>
      </w:r>
      <w:r>
        <w:t xml:space="preserve">‘</w:t>
      </w:r>
      <w:r>
        <w:t xml:space="preserve">音</w:t>
      </w:r>
      <w:r>
        <w:t xml:space="preserve">’</w:t>
      </w:r>
      <w:r>
        <w:t xml:space="preserve"> </w:t>
      </w:r>
      <w:r>
        <w:t xml:space="preserve">(sound/pronunciation) in the original manuscript often appears as the abbreviated character</w:t>
      </w:r>
      <w:r>
        <w:t xml:space="preserve"> </w:t>
      </w:r>
      <w:r>
        <w:t xml:space="preserve">‘</w:t>
      </w:r>
      <w:r>
        <w:t xml:space="preserve">亠</w:t>
      </w:r>
      <w:r>
        <w:t xml:space="preserve">’</w:t>
      </w:r>
      <w:r>
        <w:t xml:space="preserve">, but our policy is to normalize it to the standard form</w:t>
      </w:r>
      <w:r>
        <w:t xml:space="preserve"> </w:t>
      </w:r>
      <w:r>
        <w:t xml:space="preserve">‘</w:t>
      </w:r>
      <w:r>
        <w:t xml:space="preserve">音</w:t>
      </w:r>
      <w:r>
        <w:t xml:space="preserve">’</w:t>
      </w:r>
      <w:r>
        <w:t xml:space="preserve"> </w:t>
      </w:r>
      <w:r>
        <w:t xml:space="preserve">in transcriptions.</w:t>
      </w:r>
    </w:p>
    <w:bookmarkEnd w:id="242"/>
    <w:bookmarkStart w:id="243" w:name="X969ad77bf23d8637169d7ec4fbbe7bc3b3735a4"/>
    <w:p>
      <w:pPr>
        <w:pStyle w:val="Heading4"/>
      </w:pPr>
      <w:r>
        <w:rPr>
          <w:rStyle w:val="SectionNumber"/>
        </w:rPr>
        <w:t xml:space="preserve">20.2.3.3</w:t>
      </w:r>
      <w:r>
        <w:tab/>
      </w:r>
      <w:r>
        <w:t xml:space="preserve">Japanese-adapted Pronunciation (</w:t>
      </w:r>
      <w:r>
        <w:rPr>
          <w:iCs/>
          <w:i/>
        </w:rPr>
        <w:t xml:space="preserve">Wa-on</w:t>
      </w:r>
      <w:r>
        <w:t xml:space="preserve">)</w:t>
      </w:r>
    </w:p>
    <w:p>
      <w:pPr>
        <w:pStyle w:val="FirstParagraph"/>
      </w:pPr>
      <w:r>
        <w:t xml:space="preserve">Another</w:t>
      </w:r>
      <w:r>
        <w:t xml:space="preserve"> </w:t>
      </w:r>
      <w:r>
        <w:rPr>
          <w:rStyle w:val="VerbatimChar"/>
          <w:bCs/>
          <w:b/>
        </w:rPr>
        <w:t xml:space="preserve">Phonetic Gloss</w:t>
      </w:r>
      <w:r>
        <w:t xml:space="preserve"> </w:t>
      </w:r>
      <w:r>
        <w:t xml:space="preserve">provided is “和後ン（_L）</w:t>
      </w:r>
      <w:r>
        <w:t xml:space="preserve">“</w:t>
      </w:r>
      <w:r>
        <w:t xml:space="preserve">, indicating that the</w:t>
      </w:r>
      <w:r>
        <w:t xml:space="preserve"> </w:t>
      </w:r>
      <w:r>
        <w:rPr>
          <w:iCs/>
          <w:i/>
        </w:rPr>
        <w:t xml:space="preserve">Wa-on</w:t>
      </w:r>
      <w:r>
        <w:t xml:space="preserve"> </w:t>
      </w:r>
      <w:r>
        <w:t xml:space="preserve">(和音, Japanese-adapted pronunciation) is</w:t>
      </w:r>
      <w:r>
        <w:t xml:space="preserve">”</w:t>
      </w:r>
      <w:r>
        <w:t xml:space="preserve">後ン” with a low, level tone pattern (_L). The</w:t>
      </w:r>
      <w:r>
        <w:t xml:space="preserve"> </w:t>
      </w:r>
      <w:r>
        <w:t xml:space="preserve">‘</w:t>
      </w:r>
      <w:r>
        <w:t xml:space="preserve">和</w:t>
      </w:r>
      <w:r>
        <w:t xml:space="preserve">’</w:t>
      </w:r>
      <w:r>
        <w:t xml:space="preserve"> </w:t>
      </w:r>
      <w:r>
        <w:t xml:space="preserve">(for</w:t>
      </w:r>
      <w:r>
        <w:t xml:space="preserve"> </w:t>
      </w:r>
      <w:r>
        <w:rPr>
          <w:iCs/>
          <w:i/>
        </w:rPr>
        <w:t xml:space="preserve">Wa-on</w:t>
      </w:r>
      <w:r>
        <w:t xml:space="preserve">) in the original manuscript often appears as the abbreviated character</w:t>
      </w:r>
      <w:r>
        <w:t xml:space="preserve"> </w:t>
      </w:r>
      <w:r>
        <w:t xml:space="preserve">‘</w:t>
      </w:r>
      <w:r>
        <w:t xml:space="preserve">禾</w:t>
      </w:r>
      <w:r>
        <w:t xml:space="preserve">’</w:t>
      </w:r>
      <w:r>
        <w:t xml:space="preserve">, but this too is normalized to the standard form</w:t>
      </w:r>
      <w:r>
        <w:t xml:space="preserve"> </w:t>
      </w:r>
      <w:r>
        <w:t xml:space="preserve">‘</w:t>
      </w:r>
      <w:r>
        <w:t xml:space="preserve">和</w:t>
      </w:r>
      <w:r>
        <w:t xml:space="preserve">’</w:t>
      </w:r>
      <w:r>
        <w:t xml:space="preserve"> </w:t>
      </w:r>
      <w:r>
        <w:t xml:space="preserve">in transcriptions.</w:t>
      </w:r>
    </w:p>
    <w:p>
      <w:pPr>
        <w:pStyle w:val="BodyText"/>
      </w:pPr>
      <w:r>
        <w:t xml:space="preserve">The</w:t>
      </w:r>
      <w:r>
        <w:t xml:space="preserve"> </w:t>
      </w:r>
      <w:r>
        <w:t xml:space="preserve">‘</w:t>
      </w:r>
      <w:r>
        <w:t xml:space="preserve">後</w:t>
      </w:r>
      <w:r>
        <w:t xml:space="preserve">’</w:t>
      </w:r>
      <w:r>
        <w:t xml:space="preserve"> </w:t>
      </w:r>
      <w:r>
        <w:t xml:space="preserve">in</w:t>
      </w:r>
      <w:r>
        <w:t xml:space="preserve"> </w:t>
      </w:r>
      <w:r>
        <w:t xml:space="preserve">“</w:t>
      </w:r>
      <w:r>
        <w:t xml:space="preserve">後ン</w:t>
      </w:r>
      <w:r>
        <w:t xml:space="preserve">”</w:t>
      </w:r>
      <w:r>
        <w:t xml:space="preserve"> </w:t>
      </w:r>
      <w:r>
        <w:t xml:space="preserve">is understood to represent the voiced sound</w:t>
      </w:r>
      <w:r>
        <w:t xml:space="preserve"> </w:t>
      </w:r>
      <w:r>
        <w:rPr>
          <w:iCs/>
          <w:i/>
        </w:rPr>
        <w:t xml:space="preserve">go</w:t>
      </w:r>
      <w:r>
        <w:t xml:space="preserve">. The</w:t>
      </w:r>
      <w:r>
        <w:t xml:space="preserve"> </w:t>
      </w:r>
      <w:r>
        <w:rPr>
          <w:rStyle w:val="VerbatimChar"/>
          <w:bCs/>
          <w:b/>
        </w:rPr>
        <w:t xml:space="preserve">Tone Mark</w:t>
      </w:r>
      <w:r>
        <w:rPr>
          <w:bCs/>
          <w:b/>
        </w:rPr>
        <w:t xml:space="preserve"> </w:t>
      </w:r>
      <w:r>
        <w:rPr>
          <w:bCs/>
          <w:b/>
        </w:rPr>
        <w:t xml:space="preserve">(</w:t>
      </w:r>
      <w:r>
        <w:rPr>
          <w:iCs/>
          <w:i/>
          <w:bCs/>
          <w:b/>
        </w:rPr>
        <w:t xml:space="preserve">shōten</w:t>
      </w:r>
      <w:r>
        <w:rPr>
          <w:bCs/>
          <w:b/>
        </w:rPr>
        <w:t xml:space="preserve">)</w:t>
      </w:r>
      <w:r>
        <w:t xml:space="preserve"> </w:t>
      </w:r>
      <w:r>
        <w:t xml:space="preserve">is applied only to</w:t>
      </w:r>
      <w:r>
        <w:t xml:space="preserve"> </w:t>
      </w:r>
      <w:r>
        <w:t xml:space="preserve">‘</w:t>
      </w:r>
      <w:r>
        <w:t xml:space="preserve">ン</w:t>
      </w:r>
      <w:r>
        <w:t xml:space="preserve">’</w:t>
      </w:r>
      <w:r>
        <w:t xml:space="preserve"> </w:t>
      </w:r>
      <w:r>
        <w:t xml:space="preserve">as a level tone (平声,</w:t>
      </w:r>
      <w:r>
        <w:t xml:space="preserve"> </w:t>
      </w:r>
      <w:r>
        <w:rPr>
          <w:iCs/>
          <w:i/>
        </w:rPr>
        <w:t xml:space="preserve">pingshēng</w:t>
      </w:r>
      <w:r>
        <w:t xml:space="preserve">). In the</w:t>
      </w:r>
      <w:r>
        <w:t xml:space="preserve"> </w:t>
      </w:r>
      <w:r>
        <w:rPr>
          <w:iCs/>
          <w:i/>
        </w:rPr>
        <w:t xml:space="preserve">Guangyun</w:t>
      </w:r>
      <w:r>
        <w:t xml:space="preserve">,</w:t>
      </w:r>
      <w:r>
        <w:t xml:space="preserve"> </w:t>
      </w:r>
      <w:r>
        <w:t xml:space="preserve">‘</w:t>
      </w:r>
      <w:r>
        <w:t xml:space="preserve">覲</w:t>
      </w:r>
      <w:r>
        <w:t xml:space="preserve">’</w:t>
      </w:r>
      <w:r>
        <w:t xml:space="preserve"> </w:t>
      </w:r>
      <w:r>
        <w:t xml:space="preserve">is a Departing tone character, and the Departing tone is considered to be a rising or high falling tone. Although the tone of</w:t>
      </w:r>
      <w:r>
        <w:t xml:space="preserve"> </w:t>
      </w:r>
      <w:r>
        <w:t xml:space="preserve">‘</w:t>
      </w:r>
      <w:r>
        <w:t xml:space="preserve">後</w:t>
      </w:r>
      <w:r>
        <w:t xml:space="preserve">’</w:t>
      </w:r>
      <w:r>
        <w:t xml:space="preserve"> </w:t>
      </w:r>
      <w:r>
        <w:t xml:space="preserve">in the Kanchi-in manuscript’s</w:t>
      </w:r>
      <w:r>
        <w:t xml:space="preserve"> </w:t>
      </w:r>
      <w:r>
        <w:rPr>
          <w:iCs/>
          <w:i/>
        </w:rPr>
        <w:t xml:space="preserve">Wa-on</w:t>
      </w:r>
      <w:r>
        <w:t xml:space="preserve"> </w:t>
      </w:r>
      <w:r>
        <w:t xml:space="preserve">reading is unclear,</w:t>
      </w:r>
      <w:r>
        <w:t xml:space="preserve"> </w:t>
      </w:r>
      <w:r>
        <w:t xml:space="preserve">‘</w:t>
      </w:r>
      <w:r>
        <w:t xml:space="preserve">ン</w:t>
      </w:r>
      <w:r>
        <w:t xml:space="preserve">’</w:t>
      </w:r>
      <w:r>
        <w:t xml:space="preserve"> </w:t>
      </w:r>
      <w:r>
        <w:t xml:space="preserve">is marked with a level tone, making it difficult to interpret as a rising or high falling tone. It was likely a low, level tone. From these points, it is evident that the tonal pronunciations differ between the</w:t>
      </w:r>
      <w:r>
        <w:t xml:space="preserve"> </w:t>
      </w:r>
      <w:r>
        <w:rPr>
          <w:iCs/>
          <w:i/>
        </w:rPr>
        <w:t xml:space="preserve">Seion</w:t>
      </w:r>
      <w:r>
        <w:t xml:space="preserve"> </w:t>
      </w:r>
      <w:r>
        <w:t xml:space="preserve">and the</w:t>
      </w:r>
      <w:r>
        <w:t xml:space="preserve"> </w:t>
      </w:r>
      <w:r>
        <w:rPr>
          <w:iCs/>
          <w:i/>
        </w:rPr>
        <w:t xml:space="preserve">Wa-on</w:t>
      </w:r>
      <w:r>
        <w:t xml:space="preserve">.</w:t>
      </w:r>
    </w:p>
    <w:p>
      <w:pPr>
        <w:pStyle w:val="BodyText"/>
      </w:pPr>
      <w:r>
        <w:t xml:space="preserve">The textual sources for</w:t>
      </w:r>
      <w:r>
        <w:t xml:space="preserve"> </w:t>
      </w:r>
      <w:r>
        <w:rPr>
          <w:iCs/>
          <w:i/>
        </w:rPr>
        <w:t xml:space="preserve">Wa-on</w:t>
      </w:r>
      <w:r>
        <w:t xml:space="preserve"> </w:t>
      </w:r>
      <w:r>
        <w:t xml:space="preserve">readings are believed to reflect the pronunciations used when reciting sutras such as the Lotus Sutra (法華経,</w:t>
      </w:r>
      <w:r>
        <w:t xml:space="preserve"> </w:t>
      </w:r>
      <w:r>
        <w:rPr>
          <w:iCs/>
          <w:i/>
        </w:rPr>
        <w:t xml:space="preserve">Hokekyō</w:t>
      </w:r>
      <w:r>
        <w:t xml:space="preserve">) and the Great Perfection of Wisdom Sutra (大般若経,</w:t>
      </w:r>
      <w:r>
        <w:t xml:space="preserve"> </w:t>
      </w:r>
      <w:r>
        <w:rPr>
          <w:iCs/>
          <w:i/>
        </w:rPr>
        <w:t xml:space="preserve">Dai-Hannya-kyō</w:t>
      </w:r>
      <w:r>
        <w:t xml:space="preserve">). Checking with the SAT Taishō Tripiṭaka Text Database (大正新脩大蔵経データベース),</w:t>
      </w:r>
      <w:r>
        <w:t xml:space="preserve"> </w:t>
      </w:r>
      <w:r>
        <w:t xml:space="preserve">‘</w:t>
      </w:r>
      <w:r>
        <w:t xml:space="preserve">覲</w:t>
      </w:r>
      <w:r>
        <w:t xml:space="preserve">’</w:t>
      </w:r>
      <w:r>
        <w:t xml:space="preserve"> </w:t>
      </w:r>
      <w:r>
        <w:t xml:space="preserve">appears multiple times in both the Lotus Sutra and the Great Perfection of Wisdom Sutra.</w:t>
      </w:r>
    </w:p>
    <w:p>
      <w:pPr>
        <w:pStyle w:val="BodyText"/>
      </w:pPr>
      <w:r>
        <w:t xml:space="preserve">Examining the Zushoryōbon manuscript of the original compilation of the</w:t>
      </w:r>
      <w:r>
        <w:t xml:space="preserve"> </w:t>
      </w:r>
      <w:r>
        <w:rPr>
          <w:iCs/>
          <w:i/>
        </w:rPr>
        <w:t xml:space="preserve">Ruiju Myōgishō</w:t>
      </w:r>
      <w:r>
        <w:t xml:space="preserve">, we find citations from Shingō’s</w:t>
      </w:r>
      <w:r>
        <w:t xml:space="preserve"> </w:t>
      </w:r>
      <w:r>
        <w:rPr>
          <w:iCs/>
          <w:i/>
        </w:rPr>
        <w:t xml:space="preserve">Dai-Hannya-kyō Onkun</w:t>
      </w:r>
      <w:r>
        <w:t xml:space="preserve"> </w:t>
      </w:r>
      <w:r>
        <w:t xml:space="preserve">(大般若経音訓, Phonetic Readings and Meanings of the Great Perfection of Wisdom Sutra) and Fujiwara no Kintō’s</w:t>
      </w:r>
      <w:r>
        <w:t xml:space="preserve"> </w:t>
      </w:r>
      <w:r>
        <w:rPr>
          <w:iCs/>
          <w:i/>
        </w:rPr>
        <w:t xml:space="preserve">Dai-Hannya-kyō Jishō</w:t>
      </w:r>
      <w:r>
        <w:t xml:space="preserve"> </w:t>
      </w:r>
      <w:r>
        <w:t xml:space="preserve">(大般若経字抄, Character Excerpts from the Great Perfection of Wisdom Sutra). While the</w:t>
      </w:r>
      <w:r>
        <w:t xml:space="preserve"> </w:t>
      </w:r>
      <w:r>
        <w:rPr>
          <w:iCs/>
          <w:i/>
        </w:rPr>
        <w:t xml:space="preserve">Dai-Hannya-kyō Onkun</w:t>
      </w:r>
      <w:r>
        <w:t xml:space="preserve"> </w:t>
      </w:r>
      <w:r>
        <w:t xml:space="preserve">is a lost work (逸書,</w:t>
      </w:r>
      <w:r>
        <w:t xml:space="preserve"> </w:t>
      </w:r>
      <w:r>
        <w:rPr>
          <w:iCs/>
          <w:i/>
        </w:rPr>
        <w:t xml:space="preserve">issho</w:t>
      </w:r>
      <w:r>
        <w:t xml:space="preserve">), the Ishiyama-dera manuscript of the</w:t>
      </w:r>
      <w:r>
        <w:t xml:space="preserve"> </w:t>
      </w:r>
      <w:r>
        <w:rPr>
          <w:iCs/>
          <w:i/>
        </w:rPr>
        <w:t xml:space="preserve">Dai-Hannya-kyō Jishō</w:t>
      </w:r>
      <w:r>
        <w:t xml:space="preserve"> </w:t>
      </w:r>
      <w:r>
        <w:t xml:space="preserve">is extant and can be collated. Upon investigation,</w:t>
      </w:r>
      <w:r>
        <w:t xml:space="preserve"> </w:t>
      </w:r>
      <w:r>
        <w:t xml:space="preserve">‘</w:t>
      </w:r>
      <w:r>
        <w:t xml:space="preserve">覲</w:t>
      </w:r>
      <w:r>
        <w:t xml:space="preserve">’</w:t>
      </w:r>
      <w:r>
        <w:t xml:space="preserve"> </w:t>
      </w:r>
      <w:r>
        <w:t xml:space="preserve">does not appear in the</w:t>
      </w:r>
      <w:r>
        <w:t xml:space="preserve"> </w:t>
      </w:r>
      <w:r>
        <w:rPr>
          <w:iCs/>
          <w:i/>
        </w:rPr>
        <w:t xml:space="preserve">Dai-Hannya-kyō Jishō</w:t>
      </w:r>
      <w:r>
        <w:t xml:space="preserve">.</w:t>
      </w:r>
    </w:p>
    <w:p>
      <w:pPr>
        <w:pStyle w:val="BodyText"/>
      </w:pPr>
      <w:r>
        <w:t xml:space="preserve">For annotation purposes, it is necessary to note any questions regarding the character forms of</w:t>
      </w:r>
      <w:r>
        <w:t xml:space="preserve"> </w:t>
      </w:r>
      <w:r>
        <w:rPr>
          <w:rStyle w:val="VerbatimChar"/>
          <w:bCs/>
          <w:b/>
        </w:rPr>
        <w:t xml:space="preserve">Hanzi (Chinese characters)</w:t>
      </w:r>
      <w:r>
        <w:t xml:space="preserve"> </w:t>
      </w:r>
      <w:r>
        <w:t xml:space="preserve">or kana, and the placement of</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The distinction between red and black ink for these marks, as well as the condition of any manuscript damage (e.g., wormholes), should be recorded as needed. Furthermore, one might note the presence or absence of the character in the Lotus Sutra and the Great Perfection of Wisdom Sutra, record relevant content from the Ishiyama-dera manuscript of the</w:t>
      </w:r>
      <w:r>
        <w:t xml:space="preserve"> </w:t>
      </w:r>
      <w:r>
        <w:rPr>
          <w:iCs/>
          <w:i/>
        </w:rPr>
        <w:t xml:space="preserve">Dai-Hannya-kyō Jishō</w:t>
      </w:r>
      <w:r>
        <w:t xml:space="preserve"> </w:t>
      </w:r>
      <w:r>
        <w:t xml:space="preserve">or from extant fragments of the</w:t>
      </w:r>
      <w:r>
        <w:t xml:space="preserve"> </w:t>
      </w:r>
      <w:r>
        <w:rPr>
          <w:iCs/>
          <w:i/>
        </w:rPr>
        <w:t xml:space="preserve">Dai-Hannya-kyō Onkun</w:t>
      </w:r>
      <w:r>
        <w:t xml:space="preserve">, and add critical analysis (考証,</w:t>
      </w:r>
      <w:r>
        <w:t xml:space="preserve"> </w:t>
      </w:r>
      <w:r>
        <w:rPr>
          <w:iCs/>
          <w:i/>
        </w:rPr>
        <w:t xml:space="preserve">kōshō</w:t>
      </w:r>
      <w:r>
        <w:t xml:space="preserve">).</w:t>
      </w:r>
    </w:p>
    <w:bookmarkEnd w:id="243"/>
    <w:bookmarkEnd w:id="244"/>
    <w:bookmarkStart w:id="245" w:name="X6f9174beac603926dcbf81292de5b8e23827338"/>
    <w:p>
      <w:pPr>
        <w:pStyle w:val="Heading3"/>
      </w:pPr>
      <w:r>
        <w:rPr>
          <w:rStyle w:val="SectionNumber"/>
        </w:rPr>
        <w:t xml:space="preserve">20.2.4</w:t>
      </w:r>
      <w:r>
        <w:tab/>
      </w:r>
      <w:r>
        <w:t xml:space="preserve">Examining</w:t>
      </w:r>
      <w:r>
        <w:t xml:space="preserve"> </w:t>
      </w:r>
      <w:r>
        <w:rPr>
          <w:rStyle w:val="VerbatimChar"/>
        </w:rPr>
        <w:t xml:space="preserve">Japanese Native Readings</w:t>
      </w:r>
      <w:r>
        <w:t xml:space="preserve"> </w:t>
      </w:r>
      <w:r>
        <w:t xml:space="preserve">(</w:t>
      </w:r>
      <w:r>
        <w:rPr>
          <w:iCs/>
          <w:i/>
        </w:rPr>
        <w:t xml:space="preserve">wakun</w:t>
      </w:r>
      <w:r>
        <w:t xml:space="preserve">)</w:t>
      </w:r>
    </w:p>
    <w:p>
      <w:pPr>
        <w:pStyle w:val="FirstParagraph"/>
      </w:pPr>
      <w:r>
        <w:t xml:space="preserve">Two</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are provided for</w:t>
      </w:r>
      <w:r>
        <w:t xml:space="preserve"> </w:t>
      </w:r>
      <w:r>
        <w:t xml:space="preserve">‘</w:t>
      </w:r>
      <w:r>
        <w:t xml:space="preserve">覲</w:t>
      </w:r>
      <w:r>
        <w:t xml:space="preserve">’</w:t>
      </w:r>
      <w:r>
        <w:t xml:space="preserve">:</w:t>
      </w:r>
      <w:r>
        <w:t xml:space="preserve"> </w:t>
      </w:r>
      <w:r>
        <w:t xml:space="preserve">“</w:t>
      </w:r>
      <w:r>
        <w:t xml:space="preserve">ミル</w:t>
      </w:r>
      <w:r>
        <w:t xml:space="preserve">”</w:t>
      </w:r>
      <w:r>
        <w:t xml:space="preserve"> </w:t>
      </w:r>
      <w:r>
        <w:t xml:space="preserve">(</w:t>
      </w:r>
      <w:r>
        <w:rPr>
          <w:iCs/>
          <w:i/>
        </w:rPr>
        <w:t xml:space="preserve">miru</w:t>
      </w:r>
      <w:r>
        <w:t xml:space="preserve">; LH) and</w:t>
      </w:r>
      <w:r>
        <w:t xml:space="preserve"> </w:t>
      </w:r>
      <w:r>
        <w:t xml:space="preserve">“</w:t>
      </w:r>
      <w:r>
        <w:t xml:space="preserve">マミユ</w:t>
      </w:r>
      <w:r>
        <w:t xml:space="preserve">”</w:t>
      </w:r>
      <w:r>
        <w:t xml:space="preserve"> </w:t>
      </w:r>
      <w:r>
        <w:t xml:space="preserve">(</w:t>
      </w:r>
      <w:r>
        <w:rPr>
          <w:iCs/>
          <w:i/>
        </w:rPr>
        <w:t xml:space="preserve">mamiyu</w:t>
      </w:r>
      <w:r>
        <w:t xml:space="preserve">; HLH).</w:t>
      </w:r>
    </w:p>
    <w:p>
      <w:pPr>
        <w:pStyle w:val="BodyText"/>
      </w:pPr>
      <w:r>
        <w:t xml:space="preserve">The character</w:t>
      </w:r>
      <w:r>
        <w:t xml:space="preserve"> </w:t>
      </w:r>
      <w:r>
        <w:t xml:space="preserve">‘</w:t>
      </w:r>
      <w:r>
        <w:t xml:space="preserve">覲</w:t>
      </w:r>
      <w:r>
        <w:t xml:space="preserve">’</w:t>
      </w:r>
      <w:r>
        <w:t xml:space="preserve"> </w:t>
      </w:r>
      <w:r>
        <w:t xml:space="preserve">is explained in the</w:t>
      </w:r>
      <w:r>
        <w:t xml:space="preserve"> </w:t>
      </w:r>
      <w:r>
        <w:rPr>
          <w:iCs/>
          <w:i/>
        </w:rPr>
        <w:t xml:space="preserve">Shuowen Jiezi</w:t>
      </w:r>
      <w:r>
        <w:t xml:space="preserve"> </w:t>
      </w:r>
      <w:r>
        <w:t xml:space="preserve">(説文解字), under the</w:t>
      </w:r>
      <w:r>
        <w:t xml:space="preserve"> </w:t>
      </w:r>
      <w:r>
        <w:t xml:space="preserve">“</w:t>
      </w:r>
      <w:r>
        <w:t xml:space="preserve">見</w:t>
      </w:r>
      <w:r>
        <w:t xml:space="preserve">”</w:t>
      </w:r>
      <w:r>
        <w:t xml:space="preserve"> </w:t>
      </w:r>
      <w:r>
        <w:t xml:space="preserve">(see) radical section, as:</w:t>
      </w:r>
      <w:r>
        <w:t xml:space="preserve"> </w:t>
      </w:r>
      <w:r>
        <w:t xml:space="preserve">“</w:t>
      </w:r>
      <w:r>
        <w:t xml:space="preserve">諸侯秋朝曰覲，勞王事。从見堇聲</w:t>
      </w:r>
      <w:r>
        <w:t xml:space="preserve">”</w:t>
      </w:r>
      <w:r>
        <w:t xml:space="preserve"> </w:t>
      </w:r>
      <w:r>
        <w:t xml:space="preserve">(When feudal lords have an audience with the sovereign in autumn, it is called</w:t>
      </w:r>
      <w:r>
        <w:t xml:space="preserve"> </w:t>
      </w:r>
      <w:r>
        <w:rPr>
          <w:iCs/>
          <w:i/>
        </w:rPr>
        <w:t xml:space="preserve">jìn</w:t>
      </w:r>
      <w:r>
        <w:t xml:space="preserve"> </w:t>
      </w:r>
      <w:r>
        <w:t xml:space="preserve">(覲); they are exerting themselves in the king’s affairs. The character is composed of the radical 見 and takes its sound from 堇). This corresponds to the</w:t>
      </w:r>
      <w:r>
        <w:t xml:space="preserve"> </w:t>
      </w:r>
      <w:r>
        <w:rPr>
          <w:iCs/>
          <w:i/>
        </w:rPr>
        <w:t xml:space="preserve">wakun</w:t>
      </w:r>
      <w:r>
        <w:t xml:space="preserve"> </w:t>
      </w:r>
      <w:r>
        <w:t xml:space="preserve">“</w:t>
      </w:r>
      <w:r>
        <w:t xml:space="preserve">ミル</w:t>
      </w:r>
      <w:r>
        <w:t xml:space="preserve">”</w:t>
      </w:r>
      <w:r>
        <w:t xml:space="preserve"> </w:t>
      </w:r>
      <w:r>
        <w:t xml:space="preserve">(</w:t>
      </w:r>
      <w:r>
        <w:rPr>
          <w:iCs/>
          <w:i/>
        </w:rPr>
        <w:t xml:space="preserve">miru</w:t>
      </w:r>
      <w:r>
        <w:t xml:space="preserve">) in the sense of</w:t>
      </w:r>
      <w:r>
        <w:t xml:space="preserve"> </w:t>
      </w:r>
      <w:r>
        <w:t xml:space="preserve">“</w:t>
      </w:r>
      <w:r>
        <w:t xml:space="preserve">to have an audience with,</w:t>
      </w:r>
      <w:r>
        <w:t xml:space="preserve">”</w:t>
      </w:r>
      <w:r>
        <w:t xml:space="preserve"> </w:t>
      </w:r>
      <w:r>
        <w:t xml:space="preserve">or</w:t>
      </w:r>
      <w:r>
        <w:t xml:space="preserve"> </w:t>
      </w:r>
      <w:r>
        <w:t xml:space="preserve">“</w:t>
      </w:r>
      <w:r>
        <w:t xml:space="preserve">to be granted an audience.</w:t>
      </w:r>
      <w:r>
        <w:t xml:space="preserve">”</w:t>
      </w:r>
    </w:p>
    <w:p>
      <w:pPr>
        <w:pStyle w:val="BodyText"/>
      </w:pPr>
      <w:r>
        <w:t xml:space="preserve">A relevant passage can be found in the</w:t>
      </w:r>
      <w:r>
        <w:t xml:space="preserve"> </w:t>
      </w:r>
      <w:r>
        <w:rPr>
          <w:iCs/>
          <w:i/>
        </w:rPr>
        <w:t xml:space="preserve">Zhouli</w:t>
      </w:r>
      <w:r>
        <w:t xml:space="preserve"> </w:t>
      </w:r>
      <w:r>
        <w:t xml:space="preserve">(周禮; Rites of Zhou), in the</w:t>
      </w:r>
      <w:r>
        <w:t xml:space="preserve"> </w:t>
      </w:r>
      <w:r>
        <w:t xml:space="preserve">“</w:t>
      </w:r>
      <w:r>
        <w:t xml:space="preserve">Spring Offices - Great Minister of Rites</w:t>
      </w:r>
      <w:r>
        <w:t xml:space="preserve">”</w:t>
      </w:r>
      <w:r>
        <w:t xml:space="preserve"> </w:t>
      </w:r>
      <w:r>
        <w:t xml:space="preserve">(春官・大宗伯,</w:t>
      </w:r>
      <w:r>
        <w:t xml:space="preserve"> </w:t>
      </w:r>
      <w:r>
        <w:rPr>
          <w:iCs/>
          <w:i/>
        </w:rPr>
        <w:t xml:space="preserve">Chūnguān Dàzōngbó</w:t>
      </w:r>
      <w:r>
        <w:t xml:space="preserve">) section:</w:t>
      </w:r>
      <w:r>
        <w:t xml:space="preserve"> </w:t>
      </w:r>
      <w:r>
        <w:t xml:space="preserve">“</w:t>
      </w:r>
      <w:r>
        <w:t xml:space="preserve">春見曰朝、夏見曰宗、秋見曰覲、冬見曰遇、時見曰會、殷見曰同。</w:t>
      </w:r>
      <w:r>
        <w:t xml:space="preserve">”</w:t>
      </w:r>
      <w:r>
        <w:t xml:space="preserve"> </w:t>
      </w:r>
      <w:r>
        <w:t xml:space="preserve">(An audience in spring is called</w:t>
      </w:r>
      <w:r>
        <w:t xml:space="preserve"> </w:t>
      </w:r>
      <w:r>
        <w:rPr>
          <w:iCs/>
          <w:i/>
        </w:rPr>
        <w:t xml:space="preserve">cháo</w:t>
      </w:r>
      <w:r>
        <w:t xml:space="preserve">; in summer,</w:t>
      </w:r>
      <w:r>
        <w:t xml:space="preserve"> </w:t>
      </w:r>
      <w:r>
        <w:rPr>
          <w:iCs/>
          <w:i/>
        </w:rPr>
        <w:t xml:space="preserve">zōng</w:t>
      </w:r>
      <w:r>
        <w:t xml:space="preserve">; in autumn,</w:t>
      </w:r>
      <w:r>
        <w:t xml:space="preserve"> </w:t>
      </w:r>
      <w:r>
        <w:rPr>
          <w:iCs/>
          <w:i/>
        </w:rPr>
        <w:t xml:space="preserve">jìn</w:t>
      </w:r>
      <w:r>
        <w:t xml:space="preserve"> </w:t>
      </w:r>
      <w:r>
        <w:t xml:space="preserve">(覲); in winter,</w:t>
      </w:r>
      <w:r>
        <w:t xml:space="preserve"> </w:t>
      </w:r>
      <w:r>
        <w:rPr>
          <w:iCs/>
          <w:i/>
        </w:rPr>
        <w:t xml:space="preserve">yù</w:t>
      </w:r>
      <w:r>
        <w:t xml:space="preserve">; an audience at any time,</w:t>
      </w:r>
      <w:r>
        <w:t xml:space="preserve"> </w:t>
      </w:r>
      <w:r>
        <w:rPr>
          <w:iCs/>
          <w:i/>
        </w:rPr>
        <w:t xml:space="preserve">huì</w:t>
      </w:r>
      <w:r>
        <w:t xml:space="preserve">; and an audience with various lords together,</w:t>
      </w:r>
      <w:r>
        <w:t xml:space="preserve"> </w:t>
      </w:r>
      <w:r>
        <w:rPr>
          <w:iCs/>
          <w:i/>
        </w:rPr>
        <w:t xml:space="preserve">tóng</w:t>
      </w:r>
      <w:r>
        <w:t xml:space="preserve">.)</w:t>
      </w:r>
    </w:p>
    <w:bookmarkEnd w:id="245"/>
    <w:bookmarkEnd w:id="246"/>
    <w:bookmarkStart w:id="253" w:name="X96064e443d22556b0f40b2a506fea2c6e83a0f5"/>
    <w:p>
      <w:pPr>
        <w:pStyle w:val="Heading2"/>
      </w:pPr>
      <w:r>
        <w:rPr>
          <w:rStyle w:val="SectionNumber"/>
        </w:rPr>
        <w:t xml:space="preserve">20.3</w:t>
      </w:r>
      <w:r>
        <w:tab/>
      </w:r>
      <w:r>
        <w:t xml:space="preserve">Creating Annotations</w:t>
      </w:r>
    </w:p>
    <w:p>
      <w:pPr>
        <w:pStyle w:val="FirstParagraph"/>
      </w:pPr>
      <w:r>
        <w:t xml:space="preserve">Ideally, annotations would be created to cover all the types of content discussed above.</w:t>
      </w:r>
      <w:r>
        <w:t xml:space="preserve"> </w:t>
      </w:r>
      <w:r>
        <w:t xml:space="preserve">However, conducting critical investigations for approximately 32,600</w:t>
      </w:r>
      <w:r>
        <w:t xml:space="preserve"> </w:t>
      </w:r>
      <w:r>
        <w:rPr>
          <w:rStyle w:val="VerbatimChar"/>
          <w:bCs/>
          <w:b/>
        </w:rPr>
        <w:t xml:space="preserve">Entries</w:t>
      </w:r>
      <w:r>
        <w:t xml:space="preserve"> </w:t>
      </w:r>
      <w:r>
        <w:t xml:space="preserve">and about 86,800</w:t>
      </w:r>
      <w:r>
        <w:t xml:space="preserve"> </w:t>
      </w:r>
      <w:r>
        <w:rPr>
          <w:rStyle w:val="VerbatimChar"/>
          <w:bCs/>
          <w:b/>
        </w:rPr>
        <w:t xml:space="preserve">Original Gloss</w:t>
      </w:r>
      <w:r>
        <w:t xml:space="preserve"> </w:t>
      </w:r>
      <w:r>
        <w:t xml:space="preserve">elements—totaling around 119,400 items—would require an immense amount of time and effort.</w:t>
      </w:r>
    </w:p>
    <w:p>
      <w:pPr>
        <w:pStyle w:val="BodyText"/>
      </w:pPr>
      <w:r>
        <w:t xml:space="preserve">The areas where research has been most extensively accumulated are, firstly,</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and secondly,</w:t>
      </w:r>
      <w:r>
        <w:t xml:space="preserve"> </w:t>
      </w:r>
      <w:r>
        <w:rPr>
          <w:rStyle w:val="VerbatimChar"/>
          <w:bCs/>
          <w:b/>
        </w:rPr>
        <w:t xml:space="preserve">Phonetic Glosses</w:t>
      </w:r>
      <w:r>
        <w:t xml:space="preserve">. Research concerning</w:t>
      </w:r>
      <w:r>
        <w:t xml:space="preserve"> </w:t>
      </w:r>
      <w:r>
        <w:rPr>
          <w:rStyle w:val="VerbatimChar"/>
          <w:bCs/>
          <w:b/>
        </w:rPr>
        <w:t xml:space="preserve">Notes on Character Form</w:t>
      </w:r>
      <w:r>
        <w:t xml:space="preserve"> </w:t>
      </w:r>
      <w:r>
        <w:t xml:space="preserve">and</w:t>
      </w:r>
      <w:r>
        <w:t xml:space="preserve"> </w:t>
      </w:r>
      <w:r>
        <w:rPr>
          <w:rStyle w:val="VerbatimChar"/>
          <w:bCs/>
          <w:b/>
        </w:rPr>
        <w:t xml:space="preserve">Semantic Glosses in Chinese</w:t>
      </w:r>
      <w:r>
        <w:t xml:space="preserve"> </w:t>
      </w:r>
      <w:r>
        <w:t xml:space="preserve">is less abundant.</w:t>
      </w:r>
      <w:r>
        <w:t xml:space="preserve"> </w:t>
      </w:r>
      <w:r>
        <w:t xml:space="preserve">Therefore, we will begin by incorporating the research findings of previous scholars concerning</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w:t>
      </w:r>
    </w:p>
    <w:bookmarkStart w:id="247" w:name="Xa6fc6260a46986a7f7036d700ff7e96fd93ca7f"/>
    <w:p>
      <w:pPr>
        <w:pStyle w:val="Heading3"/>
      </w:pPr>
      <w:r>
        <w:rPr>
          <w:rStyle w:val="SectionNumber"/>
        </w:rPr>
        <w:t xml:space="preserve">20.3.1</w:t>
      </w:r>
      <w:r>
        <w:tab/>
      </w:r>
      <w:r>
        <w:t xml:space="preserve">Annotating</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p>
    <w:p>
      <w:pPr>
        <w:pStyle w:val="FirstParagraph"/>
      </w:pPr>
      <w:r>
        <w:t xml:space="preserve">There are many scholarly works that discuss</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to which</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 </w:t>
      </w:r>
      <w:r>
        <w:t xml:space="preserve">have been applied. Furthermore, not a few</w:t>
      </w:r>
      <w:r>
        <w:t xml:space="preserve"> </w:t>
      </w:r>
      <w:r>
        <w:rPr>
          <w:iCs/>
          <w:i/>
        </w:rPr>
        <w:t xml:space="preserve">wakun</w:t>
      </w:r>
      <w:r>
        <w:t xml:space="preserve"> </w:t>
      </w:r>
      <w:r>
        <w:t xml:space="preserve">have identifiable sources, such as those found in</w:t>
      </w:r>
      <w:r>
        <w:t xml:space="preserve"> </w:t>
      </w:r>
      <w:r>
        <w:rPr>
          <w:iCs/>
          <w:i/>
        </w:rPr>
        <w:t xml:space="preserve">Monzen</w:t>
      </w:r>
      <w:r>
        <w:t xml:space="preserve"> </w:t>
      </w:r>
      <w:r>
        <w:t xml:space="preserve">(文選) readings.</w:t>
      </w:r>
    </w:p>
    <w:p>
      <w:pPr>
        <w:pStyle w:val="BodyText"/>
      </w:pPr>
      <w:r>
        <w:t xml:space="preserve">The following publications are essential references for determining the lexical forms of</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As they are frequently used in creating annotations, they will be referred to by the abbreviations shown below:</w:t>
      </w:r>
    </w:p>
    <w:p>
      <w:pPr>
        <w:numPr>
          <w:ilvl w:val="0"/>
          <w:numId w:val="1149"/>
        </w:numPr>
        <w:pStyle w:val="Compact"/>
      </w:pPr>
      <w:r>
        <w:rPr>
          <w:bCs/>
          <w:b/>
        </w:rPr>
        <w:t xml:space="preserve">Masamune’s Index (正宗索引,</w:t>
      </w:r>
      <w:r>
        <w:rPr>
          <w:bCs/>
          <w:b/>
        </w:rPr>
        <w:t xml:space="preserve"> </w:t>
      </w:r>
      <w:r>
        <w:rPr>
          <w:iCs/>
          <w:i/>
          <w:bCs/>
          <w:b/>
        </w:rPr>
        <w:t xml:space="preserve">Masamune Sakuin</w:t>
      </w:r>
      <w:r>
        <w:rPr>
          <w:bCs/>
          <w:b/>
        </w:rPr>
        <w:t xml:space="preserve">)</w:t>
      </w:r>
      <w:r>
        <w:t xml:space="preserve">: Masamune Atsuo, ed. </w:t>
      </w:r>
      <w:r>
        <w:rPr>
          <w:iCs/>
          <w:i/>
        </w:rPr>
        <w:t xml:space="preserve">Ruiju Myōgishō, Dainikan: Kanji Sakuin, Kana Sakuin</w:t>
      </w:r>
      <w:r>
        <w:t xml:space="preserve"> </w:t>
      </w:r>
      <w:r>
        <w:t xml:space="preserve">(類聚名義抄 第二巻 漢字索引仮名索引,</w:t>
      </w:r>
      <w:r>
        <w:t xml:space="preserve"> </w:t>
      </w:r>
      <w:r>
        <w:rPr>
          <w:iCs/>
          <w:i/>
        </w:rPr>
        <w:t xml:space="preserve">Ruiju Myōgishō</w:t>
      </w:r>
      <w:r>
        <w:t xml:space="preserve">, Vol. 2: Kanji Index, Kana Index). Tokyo: Kazama Shobō, 1955.</w:t>
      </w:r>
    </w:p>
    <w:p>
      <w:pPr>
        <w:numPr>
          <w:ilvl w:val="0"/>
          <w:numId w:val="1149"/>
        </w:numPr>
        <w:pStyle w:val="Compact"/>
      </w:pPr>
      <w:r>
        <w:rPr>
          <w:bCs/>
          <w:b/>
        </w:rPr>
        <w:t xml:space="preserve">Mochizuki’s Wakun Collection (望月和訓集成,</w:t>
      </w:r>
      <w:r>
        <w:rPr>
          <w:bCs/>
          <w:b/>
        </w:rPr>
        <w:t xml:space="preserve"> </w:t>
      </w:r>
      <w:r>
        <w:rPr>
          <w:iCs/>
          <w:i/>
          <w:bCs/>
          <w:b/>
        </w:rPr>
        <w:t xml:space="preserve">Mochizuki Wakun Shūsei</w:t>
      </w:r>
      <w:r>
        <w:rPr>
          <w:bCs/>
          <w:b/>
        </w:rPr>
        <w:t xml:space="preserve">)</w:t>
      </w:r>
      <w:r>
        <w:t xml:space="preserve">: Mochizuki Ikuko, ed. </w:t>
      </w:r>
      <w:r>
        <w:rPr>
          <w:iCs/>
          <w:i/>
        </w:rPr>
        <w:t xml:space="preserve">Ruiju Myōgishō: Yonshu Shōten-tsuki Wakun Shūsei</w:t>
      </w:r>
      <w:r>
        <w:t xml:space="preserve"> </w:t>
      </w:r>
      <w:r>
        <w:t xml:space="preserve">(類聚名義抄：四種声点付和訓集成,</w:t>
      </w:r>
      <w:r>
        <w:t xml:space="preserve"> </w:t>
      </w:r>
      <w:r>
        <w:rPr>
          <w:iCs/>
          <w:i/>
        </w:rPr>
        <w:t xml:space="preserve">Ruiju Myōgishō</w:t>
      </w:r>
      <w:r>
        <w:t xml:space="preserve">: A Collection of Wakun with Four Types of Tone Marks; Kasama Sakuin Sōkan 44). Tokyo: Kasama Shoin, 1974.</w:t>
      </w:r>
    </w:p>
    <w:p>
      <w:pPr>
        <w:numPr>
          <w:ilvl w:val="0"/>
          <w:numId w:val="1149"/>
        </w:numPr>
        <w:pStyle w:val="Compact"/>
      </w:pPr>
      <w:r>
        <w:rPr>
          <w:bCs/>
          <w:b/>
        </w:rPr>
        <w:t xml:space="preserve">Kusakawa’s Wakun Collection (草川和訓集成,</w:t>
      </w:r>
      <w:r>
        <w:rPr>
          <w:bCs/>
          <w:b/>
        </w:rPr>
        <w:t xml:space="preserve"> </w:t>
      </w:r>
      <w:r>
        <w:rPr>
          <w:iCs/>
          <w:i/>
          <w:bCs/>
          <w:b/>
        </w:rPr>
        <w:t xml:space="preserve">Kusakawa Wakun Shūsei</w:t>
      </w:r>
      <w:r>
        <w:rPr>
          <w:bCs/>
          <w:b/>
        </w:rPr>
        <w:t xml:space="preserve">)</w:t>
      </w:r>
      <w:r>
        <w:t xml:space="preserve">: Kusakawa Noboru, ed. </w:t>
      </w:r>
      <w:r>
        <w:rPr>
          <w:iCs/>
          <w:i/>
        </w:rPr>
        <w:t xml:space="preserve">Gohon Taishō Ruiju Myōgishō Wakun Shūsei</w:t>
      </w:r>
      <w:r>
        <w:t xml:space="preserve"> </w:t>
      </w:r>
      <w:r>
        <w:t xml:space="preserve">(五本対照類聚名義抄和訓集成, A Collection of Wakun from Five Collated Manuscripts of the</w:t>
      </w:r>
      <w:r>
        <w:t xml:space="preserve"> </w:t>
      </w:r>
      <w:r>
        <w:rPr>
          <w:iCs/>
          <w:i/>
        </w:rPr>
        <w:t xml:space="preserve">Ruiju Myōgishō</w:t>
      </w:r>
      <w:r>
        <w:t xml:space="preserve">). Tokyo: Kyūko Shoin, 2000.</w:t>
      </w:r>
    </w:p>
    <w:p>
      <w:pPr>
        <w:numPr>
          <w:ilvl w:val="0"/>
          <w:numId w:val="1149"/>
        </w:numPr>
        <w:pStyle w:val="Compact"/>
      </w:pPr>
      <w:r>
        <w:rPr>
          <w:bCs/>
          <w:b/>
        </w:rPr>
        <w:t xml:space="preserve">Nakamura’s Monzen (中村文選,</w:t>
      </w:r>
      <w:r>
        <w:rPr>
          <w:bCs/>
          <w:b/>
        </w:rPr>
        <w:t xml:space="preserve"> </w:t>
      </w:r>
      <w:r>
        <w:rPr>
          <w:iCs/>
          <w:i/>
          <w:bCs/>
          <w:b/>
        </w:rPr>
        <w:t xml:space="preserve">Nakamura Monzen</w:t>
      </w:r>
      <w:r>
        <w:rPr>
          <w:bCs/>
          <w:b/>
        </w:rPr>
        <w:t xml:space="preserve">)</w:t>
      </w:r>
      <w:r>
        <w:t xml:space="preserve">: Nakamura Munehiko.</w:t>
      </w:r>
      <w:r>
        <w:t xml:space="preserve"> </w:t>
      </w:r>
      <w:r>
        <w:rPr>
          <w:iCs/>
          <w:i/>
        </w:rPr>
        <w:t xml:space="preserve">Kujōke-bon Monzen Kokunshū</w:t>
      </w:r>
      <w:r>
        <w:t xml:space="preserve"> </w:t>
      </w:r>
      <w:r>
        <w:t xml:space="preserve">(九条家本 文選古訓集, Old Japanese Readings of the</w:t>
      </w:r>
      <w:r>
        <w:t xml:space="preserve"> </w:t>
      </w:r>
      <w:r>
        <w:rPr>
          <w:iCs/>
          <w:i/>
        </w:rPr>
        <w:t xml:space="preserve">Monzen</w:t>
      </w:r>
      <w:r>
        <w:t xml:space="preserve"> </w:t>
      </w:r>
      <w:r>
        <w:t xml:space="preserve">from the Kujō Family Manuscript). Tokyo: Kazama Shobō, 1983.</w:t>
      </w:r>
    </w:p>
    <w:p>
      <w:pPr>
        <w:numPr>
          <w:ilvl w:val="0"/>
          <w:numId w:val="1149"/>
        </w:numPr>
        <w:pStyle w:val="Compact"/>
      </w:pPr>
      <w:r>
        <w:rPr>
          <w:bCs/>
          <w:b/>
        </w:rPr>
        <w:t xml:space="preserve">Kunten Goi Shūsei (訓点語彙集成,</w:t>
      </w:r>
      <w:r>
        <w:rPr>
          <w:bCs/>
          <w:b/>
        </w:rPr>
        <w:t xml:space="preserve"> </w:t>
      </w:r>
      <w:r>
        <w:rPr>
          <w:iCs/>
          <w:i/>
          <w:bCs/>
          <w:b/>
        </w:rPr>
        <w:t xml:space="preserve">Kunten Goi Shūsei</w:t>
      </w:r>
      <w:r>
        <w:rPr>
          <w:bCs/>
          <w:b/>
        </w:rPr>
        <w:t xml:space="preserve">)</w:t>
      </w:r>
      <w:r>
        <w:t xml:space="preserve">: Tsukishima Hiroshi, ed. </w:t>
      </w:r>
      <w:r>
        <w:rPr>
          <w:iCs/>
          <w:i/>
        </w:rPr>
        <w:t xml:space="preserve">Kunten Goi Shūsei</w:t>
      </w:r>
      <w:r>
        <w:t xml:space="preserve"> </w:t>
      </w:r>
      <w:r>
        <w:t xml:space="preserve">(訓点語彙集成, A Comprehensive Collection of</w:t>
      </w:r>
      <w:r>
        <w:t xml:space="preserve"> </w:t>
      </w:r>
      <w:r>
        <w:rPr>
          <w:iCs/>
          <w:i/>
        </w:rPr>
        <w:t xml:space="preserve">Kunten</w:t>
      </w:r>
      <w:r>
        <w:t xml:space="preserve"> </w:t>
      </w:r>
      <w:r>
        <w:t xml:space="preserve">Vocabulary). 8 vols. and 1 supplementary vol. Tokyo: Kyūko Shoin, 2007–2009.</w:t>
      </w:r>
    </w:p>
    <w:p>
      <w:pPr>
        <w:pStyle w:val="FirstParagraph"/>
      </w:pPr>
      <w:r>
        <w:t xml:space="preserve">Many other books and articles also contain relevant descriptions. For example, the following works will be consulted sequentially:</w:t>
      </w:r>
    </w:p>
    <w:p>
      <w:pPr>
        <w:numPr>
          <w:ilvl w:val="0"/>
          <w:numId w:val="1150"/>
        </w:numPr>
        <w:pStyle w:val="Compact"/>
      </w:pPr>
      <w:r>
        <w:rPr>
          <w:bCs/>
          <w:b/>
        </w:rPr>
        <w:t xml:space="preserve">Iroha Ryakuchū (色葉略注)</w:t>
      </w:r>
      <w:r>
        <w:t xml:space="preserve">: Satō Kiyoji.</w:t>
      </w:r>
      <w:r>
        <w:t xml:space="preserve"> </w:t>
      </w:r>
      <w:r>
        <w:rPr>
          <w:iCs/>
          <w:i/>
        </w:rPr>
        <w:t xml:space="preserve">Iroha Jiruishō Ryakuchū</w:t>
      </w:r>
      <w:r>
        <w:t xml:space="preserve"> </w:t>
      </w:r>
      <w:r>
        <w:t xml:space="preserve">(色葉字類抄略注, Annotated Abridgment of the</w:t>
      </w:r>
      <w:r>
        <w:t xml:space="preserve"> </w:t>
      </w:r>
      <w:r>
        <w:rPr>
          <w:iCs/>
          <w:i/>
        </w:rPr>
        <w:t xml:space="preserve">Iroha Jiruishō</w:t>
      </w:r>
      <w:r>
        <w:t xml:space="preserve">). 3 vols. (Jō, Chū, Ge). Tokyo: Meiji Shoin, 1995.</w:t>
      </w:r>
    </w:p>
    <w:p>
      <w:pPr>
        <w:numPr>
          <w:ilvl w:val="0"/>
          <w:numId w:val="1150"/>
        </w:numPr>
        <w:pStyle w:val="Compact"/>
      </w:pPr>
      <w:r>
        <w:rPr>
          <w:bCs/>
          <w:b/>
        </w:rPr>
        <w:t xml:space="preserve">Kunten-go Jiten (訓点語辞典)</w:t>
      </w:r>
      <w:r>
        <w:t xml:space="preserve">: Yoshida Kanehiko, Tsukishima Hiroshi, Ishizuka Harumichi, and Tsukimoto Masayuki.</w:t>
      </w:r>
      <w:r>
        <w:t xml:space="preserve"> </w:t>
      </w:r>
      <w:r>
        <w:rPr>
          <w:iCs/>
          <w:i/>
        </w:rPr>
        <w:t xml:space="preserve">Kunten-go Jiten</w:t>
      </w:r>
      <w:r>
        <w:t xml:space="preserve"> </w:t>
      </w:r>
      <w:r>
        <w:t xml:space="preserve">(訓点語辞典, Dictionary of</w:t>
      </w:r>
      <w:r>
        <w:t xml:space="preserve"> </w:t>
      </w:r>
      <w:r>
        <w:rPr>
          <w:iCs/>
          <w:i/>
        </w:rPr>
        <w:t xml:space="preserve">Kunten</w:t>
      </w:r>
      <w:r>
        <w:t xml:space="preserve"> </w:t>
      </w:r>
      <w:r>
        <w:t xml:space="preserve">Japanese). Tokyo: Tōkyōdō Shuppan, 2001.</w:t>
      </w:r>
    </w:p>
    <w:p>
      <w:pPr>
        <w:pStyle w:val="FirstParagraph"/>
      </w:pPr>
      <w:r>
        <w:t xml:space="preserve">When there are many</w:t>
      </w:r>
      <w:r>
        <w:t xml:space="preserve"> </w:t>
      </w:r>
      <w:r>
        <w:rPr>
          <w:rStyle w:val="VerbatimChar"/>
          <w:bCs/>
          <w:b/>
        </w:rPr>
        <w:t xml:space="preserve">Hanzi (Chinese characters)</w:t>
      </w:r>
      <w:r>
        <w:t xml:space="preserve"> </w:t>
      </w:r>
      <w:r>
        <w:t xml:space="preserve">sharing the same</w:t>
      </w:r>
      <w:r>
        <w:t xml:space="preserve"> </w:t>
      </w:r>
      <w:r>
        <w:rPr>
          <w:iCs/>
          <w:i/>
        </w:rPr>
        <w:t xml:space="preserve">kun</w:t>
      </w:r>
      <w:r>
        <w:t xml:space="preserve"> </w:t>
      </w:r>
      <w:r>
        <w:t xml:space="preserve">reading, only the primary ones have been listed.</w:t>
      </w:r>
    </w:p>
    <w:p>
      <w:pPr>
        <w:pStyle w:val="BodyText"/>
      </w:pPr>
      <w:r>
        <w:t xml:space="preserve">Among large-scale Japanese and Kanwa (Chinese-Japanese) dictionaries, the following are representative. Only the latest editions are listed:</w:t>
      </w:r>
    </w:p>
    <w:p>
      <w:pPr>
        <w:numPr>
          <w:ilvl w:val="0"/>
          <w:numId w:val="1151"/>
        </w:numPr>
        <w:pStyle w:val="Compact"/>
      </w:pPr>
      <w:r>
        <w:rPr>
          <w:iCs/>
          <w:i/>
        </w:rPr>
        <w:t xml:space="preserve">Nihon Kokugo Daijiten Dainihan</w:t>
      </w:r>
      <w:r>
        <w:t xml:space="preserve"> </w:t>
      </w:r>
      <w:r>
        <w:t xml:space="preserve">Henshū Iinkai and Shōgakukan Kokugo Jiten Henshūbu, eds. </w:t>
      </w:r>
      <w:r>
        <w:rPr>
          <w:iCs/>
          <w:i/>
        </w:rPr>
        <w:t xml:space="preserve">Nihon Kokugo Daijiten</w:t>
      </w:r>
      <w:r>
        <w:t xml:space="preserve"> </w:t>
      </w:r>
      <w:r>
        <w:t xml:space="preserve">(日本国語大辞典, Comprehensive Japanese Dictionary). 2nd ed. Tokyo: Shōgakukan, 2000–2002.</w:t>
      </w:r>
    </w:p>
    <w:p>
      <w:pPr>
        <w:numPr>
          <w:ilvl w:val="1"/>
          <w:numId w:val="1152"/>
        </w:numPr>
        <w:pStyle w:val="Compact"/>
      </w:pPr>
      <w:r>
        <w:t xml:space="preserve">Content made available via JapanKnowledge starting November 2006.</w:t>
      </w:r>
    </w:p>
    <w:p>
      <w:pPr>
        <w:numPr>
          <w:ilvl w:val="0"/>
          <w:numId w:val="1151"/>
        </w:numPr>
        <w:pStyle w:val="Compact"/>
      </w:pPr>
      <w:r>
        <w:t xml:space="preserve">Morohashi Tetsuji.</w:t>
      </w:r>
      <w:r>
        <w:t xml:space="preserve"> </w:t>
      </w:r>
      <w:r>
        <w:rPr>
          <w:iCs/>
          <w:i/>
        </w:rPr>
        <w:t xml:space="preserve">Dai Kan-Wa Jiten, Shūtei Daini-han</w:t>
      </w:r>
      <w:r>
        <w:t xml:space="preserve"> </w:t>
      </w:r>
      <w:r>
        <w:t xml:space="preserve">(大漢和辞典 修訂第二版, The Great Chinese-Japanese Dictionary, Revised 2nd Edition). Edited by Kamata Tadashi and Yoneyama Toratarō. 12 vols., plus Vocabulary Index and Supplement. Tokyo: Taishūkan Shoten, 1990–2000.</w:t>
      </w:r>
    </w:p>
    <w:p>
      <w:pPr>
        <w:numPr>
          <w:ilvl w:val="1"/>
          <w:numId w:val="1153"/>
        </w:numPr>
        <w:pStyle w:val="Compact"/>
      </w:pPr>
      <w:r>
        <w:t xml:space="preserve">Included as additional content in JapanKnowledge starting April 2021.</w:t>
      </w:r>
    </w:p>
    <w:p>
      <w:pPr>
        <w:pStyle w:val="FirstParagraph"/>
      </w:pPr>
      <w:r>
        <w:t xml:space="preserve">As a lexicographical tool for classical Chinese, the following is useful:</w:t>
      </w:r>
    </w:p>
    <w:p>
      <w:pPr>
        <w:numPr>
          <w:ilvl w:val="0"/>
          <w:numId w:val="1154"/>
        </w:numPr>
        <w:pStyle w:val="Compact"/>
      </w:pPr>
      <w:r>
        <w:t xml:space="preserve">Zong Fukang (宗福邦), Chen Shiyao (陳世鐃), and Xiao Haibo (蕭海波), chief eds. </w:t>
      </w:r>
      <w:r>
        <w:rPr>
          <w:iCs/>
          <w:i/>
        </w:rPr>
        <w:t xml:space="preserve">Guxun Huizuan</w:t>
      </w:r>
      <w:r>
        <w:t xml:space="preserve"> </w:t>
      </w:r>
      <w:r>
        <w:t xml:space="preserve">(故訓匯纂, Compilation of Ancient Glosses). Beijing: Shangwu Yinshuguan (商務印書館), 2003.</w:t>
      </w:r>
    </w:p>
    <w:p>
      <w:pPr>
        <w:pStyle w:val="FirstParagraph"/>
      </w:pPr>
      <w:r>
        <w:t xml:space="preserve">The copy I have in my possession is the two-volume edition published in 2007. It is a compilation of glosses found in 250 texts from the Pre-Qin period to the late Qing dynasty. Prior to this, Ruan Yuan’s (阮元)</w:t>
      </w:r>
      <w:r>
        <w:t xml:space="preserve"> </w:t>
      </w:r>
      <w:r>
        <w:rPr>
          <w:iCs/>
          <w:i/>
        </w:rPr>
        <w:t xml:space="preserve">Jingji Zuan Gu</w:t>
      </w:r>
      <w:r>
        <w:t xml:space="preserve"> </w:t>
      </w:r>
      <w:r>
        <w:t xml:space="preserve">(經籍纂詁) was the standard rhyme-arranged lexicographical tool for ancient glosses. The</w:t>
      </w:r>
      <w:r>
        <w:t xml:space="preserve"> </w:t>
      </w:r>
      <w:r>
        <w:rPr>
          <w:iCs/>
          <w:i/>
        </w:rPr>
        <w:t xml:space="preserve">Guxun Huizuan</w:t>
      </w:r>
      <w:r>
        <w:t xml:space="preserve"> </w:t>
      </w:r>
      <w:r>
        <w:t xml:space="preserve">is arranged by radical and stroke count, and it includes a significantly larger number of source texts.</w:t>
      </w:r>
    </w:p>
    <w:bookmarkEnd w:id="247"/>
    <w:bookmarkStart w:id="252" w:name="X3d2886cae350a46e8b1584bd6265e9942882c29"/>
    <w:p>
      <w:pPr>
        <w:pStyle w:val="Heading3"/>
      </w:pPr>
      <w:r>
        <w:rPr>
          <w:rStyle w:val="SectionNumber"/>
        </w:rPr>
        <w:t xml:space="preserve">20.3.2</w:t>
      </w:r>
      <w:r>
        <w:tab/>
      </w:r>
      <w:r>
        <w:t xml:space="preserve">Annotating</w:t>
      </w:r>
      <w:r>
        <w:t xml:space="preserve"> </w:t>
      </w:r>
      <w:r>
        <w:rPr>
          <w:rStyle w:val="VerbatimChar"/>
        </w:rPr>
        <w:t xml:space="preserve">Phonetic Glosses</w:t>
      </w:r>
    </w:p>
    <w:p>
      <w:pPr>
        <w:pStyle w:val="FirstParagraph"/>
      </w:pPr>
      <w:r>
        <w:t xml:space="preserve">For</w:t>
      </w:r>
      <w:r>
        <w:t xml:space="preserve"> </w:t>
      </w:r>
      <w:r>
        <w:rPr>
          <w:rStyle w:val="VerbatimChar"/>
          <w:bCs/>
          <w:b/>
        </w:rPr>
        <w:t xml:space="preserve">Phonetic Glosses</w:t>
      </w:r>
      <w:r>
        <w:t xml:space="preserve">, the primary necessity is to collate them with the</w:t>
      </w:r>
      <w:r>
        <w:t xml:space="preserve"> </w:t>
      </w:r>
      <w:r>
        <w:rPr>
          <w:iCs/>
          <w:i/>
        </w:rPr>
        <w:t xml:space="preserve">Guangyun</w:t>
      </w:r>
      <w:r>
        <w:t xml:space="preserve"> </w:t>
      </w:r>
      <w:r>
        <w:t xml:space="preserve">(広韻). Using this as a foundation, analyses will be conducted on</w:t>
      </w:r>
      <w:r>
        <w:t xml:space="preserve"> </w:t>
      </w:r>
      <w:r>
        <w:rPr>
          <w:rStyle w:val="VerbatimChar"/>
          <w:bCs/>
          <w:b/>
        </w:rPr>
        <w:t xml:space="preserve">Tone Marks</w:t>
      </w:r>
      <w:r>
        <w:rPr>
          <w:bCs/>
          <w:b/>
        </w:rPr>
        <w:t xml:space="preserve"> </w:t>
      </w:r>
      <w:r>
        <w:rPr>
          <w:bCs/>
          <w:b/>
        </w:rPr>
        <w:t xml:space="preserve">(</w:t>
      </w:r>
      <w:r>
        <w:rPr>
          <w:iCs/>
          <w:i/>
          <w:bCs/>
          <w:b/>
        </w:rPr>
        <w:t xml:space="preserve">shōten</w:t>
      </w:r>
      <w:r>
        <w:rPr>
          <w:bCs/>
          <w:b/>
        </w:rPr>
        <w:t xml:space="preserve">)</w:t>
      </w:r>
      <w:r>
        <w:t xml:space="preserve">,</w:t>
      </w:r>
      <w:r>
        <w:t xml:space="preserve"> </w:t>
      </w:r>
      <w:r>
        <w:rPr>
          <w:rStyle w:val="VerbatimChar"/>
          <w:bCs/>
          <w:b/>
        </w:rPr>
        <w:t xml:space="preserve">Kana glosses</w:t>
      </w:r>
      <w:r>
        <w:t xml:space="preserve"> </w:t>
      </w:r>
      <w:r>
        <w:t xml:space="preserve">(仮名音注,</w:t>
      </w:r>
      <w:r>
        <w:t xml:space="preserve"> </w:t>
      </w:r>
      <w:r>
        <w:rPr>
          <w:iCs/>
          <w:i/>
        </w:rPr>
        <w:t xml:space="preserve">kana-onchū</w:t>
      </w:r>
      <w:r>
        <w:t xml:space="preserve">),</w:t>
      </w:r>
      <w:r>
        <w:t xml:space="preserve"> </w:t>
      </w:r>
      <w:r>
        <w:rPr>
          <w:iCs/>
          <w:i/>
        </w:rPr>
        <w:t xml:space="preserve">Wa-on</w:t>
      </w:r>
      <w:r>
        <w:t xml:space="preserve"> </w:t>
      </w:r>
      <w:r>
        <w:t xml:space="preserve">notes (和音注,</w:t>
      </w:r>
      <w:r>
        <w:t xml:space="preserve"> </w:t>
      </w:r>
      <w:r>
        <w:rPr>
          <w:iCs/>
          <w:i/>
        </w:rPr>
        <w:t xml:space="preserve">wa-on chū</w:t>
      </w:r>
      <w:r>
        <w:t xml:space="preserve">), and</w:t>
      </w:r>
      <w:r>
        <w:t xml:space="preserve"> </w:t>
      </w:r>
      <w:r>
        <w:rPr>
          <w:iCs/>
          <w:i/>
        </w:rPr>
        <w:t xml:space="preserve">Go-on</w:t>
      </w:r>
      <w:r>
        <w:t xml:space="preserve"> </w:t>
      </w:r>
      <w:r>
        <w:t xml:space="preserve">notes (呉音注,</w:t>
      </w:r>
      <w:r>
        <w:t xml:space="preserve"> </w:t>
      </w:r>
      <w:r>
        <w:rPr>
          <w:iCs/>
          <w:i/>
        </w:rPr>
        <w:t xml:space="preserve">go-on chū</w:t>
      </w:r>
      <w:r>
        <w:t xml:space="preserve">). Since many</w:t>
      </w:r>
      <w:r>
        <w:t xml:space="preserve"> </w:t>
      </w:r>
      <w:r>
        <w:rPr>
          <w:rStyle w:val="VerbatimChar"/>
          <w:bCs/>
          <w:b/>
        </w:rPr>
        <w:t xml:space="preserve">Headwords</w:t>
      </w:r>
      <w:r>
        <w:t xml:space="preserve"> </w:t>
      </w:r>
      <w:r>
        <w:t xml:space="preserve">are not found in the</w:t>
      </w:r>
      <w:r>
        <w:t xml:space="preserve"> </w:t>
      </w:r>
      <w:r>
        <w:rPr>
          <w:iCs/>
          <w:i/>
        </w:rPr>
        <w:t xml:space="preserve">Guangyun</w:t>
      </w:r>
      <w:r>
        <w:t xml:space="preserve">, it is also necessary to refer to descriptions in texts such as the</w:t>
      </w:r>
      <w:r>
        <w:t xml:space="preserve"> </w:t>
      </w:r>
      <w:r>
        <w:rPr>
          <w:iCs/>
          <w:i/>
        </w:rPr>
        <w:t xml:space="preserve">Tenrei Banshō Meigi</w:t>
      </w:r>
      <w:r>
        <w:t xml:space="preserve"> </w:t>
      </w:r>
      <w:r>
        <w:t xml:space="preserve">(篆隷万象名義), extant fragments of the original</w:t>
      </w:r>
      <w:r>
        <w:t xml:space="preserve"> </w:t>
      </w:r>
      <w:r>
        <w:rPr>
          <w:iCs/>
          <w:i/>
        </w:rPr>
        <w:t xml:space="preserve">Yupian</w:t>
      </w:r>
      <w:r>
        <w:t xml:space="preserve"> </w:t>
      </w:r>
      <w:r>
        <w:t xml:space="preserve">(原本玉篇残巻,</w:t>
      </w:r>
      <w:r>
        <w:t xml:space="preserve"> </w:t>
      </w:r>
      <w:r>
        <w:rPr>
          <w:iCs/>
          <w:i/>
        </w:rPr>
        <w:t xml:space="preserve">genpon Gyokuhen zankan</w:t>
      </w:r>
      <w:r>
        <w:t xml:space="preserve">), the Song edition of the</w:t>
      </w:r>
      <w:r>
        <w:t xml:space="preserve"> </w:t>
      </w:r>
      <w:r>
        <w:rPr>
          <w:iCs/>
          <w:i/>
        </w:rPr>
        <w:t xml:space="preserve">Yupian</w:t>
      </w:r>
      <w:r>
        <w:t xml:space="preserve"> </w:t>
      </w:r>
      <w:r>
        <w:t xml:space="preserve">(宋本玉篇,</w:t>
      </w:r>
      <w:r>
        <w:t xml:space="preserve"> </w:t>
      </w:r>
      <w:r>
        <w:rPr>
          <w:iCs/>
          <w:i/>
        </w:rPr>
        <w:t xml:space="preserve">Sōhon Gyokuhen</w:t>
      </w:r>
      <w:r>
        <w:t xml:space="preserve">), the</w:t>
      </w:r>
      <w:r>
        <w:t xml:space="preserve"> </w:t>
      </w:r>
      <w:r>
        <w:rPr>
          <w:iCs/>
          <w:i/>
        </w:rPr>
        <w:t xml:space="preserve">Longkan Shoujian</w:t>
      </w:r>
      <w:r>
        <w:t xml:space="preserve"> </w:t>
      </w:r>
      <w:r>
        <w:t xml:space="preserve">(龍龕手鑑,</w:t>
      </w:r>
      <w:r>
        <w:t xml:space="preserve"> </w:t>
      </w:r>
      <w:r>
        <w:rPr>
          <w:iCs/>
          <w:i/>
        </w:rPr>
        <w:t xml:space="preserve">Ryūgan Shukan</w:t>
      </w:r>
      <w:r>
        <w:t xml:space="preserve">), and the</w:t>
      </w:r>
      <w:r>
        <w:t xml:space="preserve"> </w:t>
      </w:r>
      <w:r>
        <w:rPr>
          <w:iCs/>
          <w:i/>
        </w:rPr>
        <w:t xml:space="preserve">Yiqiejing Yinyi</w:t>
      </w:r>
      <w:r>
        <w:t xml:space="preserve"> </w:t>
      </w:r>
      <w:r>
        <w:t xml:space="preserve">(一切経音義).</w:t>
      </w:r>
    </w:p>
    <w:p>
      <w:pPr>
        <w:pStyle w:val="BodyText"/>
      </w:pPr>
      <w:r>
        <w:t xml:space="preserve">Various facsimile editions and indexes of these works are available. Additionally, many dictionaries and rhyme books can now be searched online.</w:t>
      </w:r>
    </w:p>
    <w:p>
      <w:pPr>
        <w:pStyle w:val="BodyText"/>
      </w:pPr>
      <w:r>
        <w:t xml:space="preserve">The following are a list of resources primarily from my personal collection that I have utilized to date. Online versions are also noted for reference.</w:t>
      </w:r>
    </w:p>
    <w:p>
      <w:pPr>
        <w:pStyle w:val="BodyText"/>
      </w:pPr>
      <w:r>
        <w:rPr>
          <w:bCs/>
          <w:b/>
        </w:rPr>
        <w:t xml:space="preserve">Rhyme Dictionaries:</w:t>
      </w:r>
      <w:r>
        <w:rPr>
          <w:bCs/>
          <w:b/>
        </w:rPr>
        <w:t xml:space="preserve"> </w:t>
      </w:r>
      <w:r>
        <w:rPr>
          <w:iCs/>
          <w:i/>
          <w:bCs/>
          <w:b/>
        </w:rPr>
        <w:t xml:space="preserve">Qieyun</w:t>
      </w:r>
      <w:r>
        <w:rPr>
          <w:bCs/>
          <w:b/>
        </w:rPr>
        <w:t xml:space="preserve">,</w:t>
      </w:r>
      <w:r>
        <w:rPr>
          <w:bCs/>
          <w:b/>
        </w:rPr>
        <w:t xml:space="preserve"> </w:t>
      </w:r>
      <w:r>
        <w:rPr>
          <w:iCs/>
          <w:i/>
          <w:bCs/>
          <w:b/>
        </w:rPr>
        <w:t xml:space="preserve">Guangyun</w:t>
      </w:r>
      <w:r>
        <w:rPr>
          <w:bCs/>
          <w:b/>
        </w:rPr>
        <w:t xml:space="preserve">, and</w:t>
      </w:r>
      <w:r>
        <w:rPr>
          <w:bCs/>
          <w:b/>
        </w:rPr>
        <w:t xml:space="preserve"> </w:t>
      </w:r>
      <w:r>
        <w:rPr>
          <w:iCs/>
          <w:i/>
          <w:bCs/>
          <w:b/>
        </w:rPr>
        <w:t xml:space="preserve">Jiyun</w:t>
      </w:r>
    </w:p>
    <w:p>
      <w:pPr>
        <w:numPr>
          <w:ilvl w:val="0"/>
          <w:numId w:val="1155"/>
        </w:numPr>
        <w:pStyle w:val="Compact"/>
      </w:pPr>
      <w:r>
        <w:t xml:space="preserve">Chen Pengnian (陳彭年), ed. </w:t>
      </w:r>
      <w:r>
        <w:rPr>
          <w:iCs/>
          <w:i/>
        </w:rPr>
        <w:t xml:space="preserve">Jiaozheng Songben Guangyun, Fu Suoyin</w:t>
      </w:r>
      <w:r>
        <w:t xml:space="preserve"> </w:t>
      </w:r>
      <w:r>
        <w:t xml:space="preserve">(校正宋本廣韻　附索引, Collated Song Edition of the</w:t>
      </w:r>
      <w:r>
        <w:t xml:space="preserve"> </w:t>
      </w:r>
      <w:r>
        <w:rPr>
          <w:iCs/>
          <w:i/>
        </w:rPr>
        <w:t xml:space="preserve">Guangyun</w:t>
      </w:r>
      <w:r>
        <w:t xml:space="preserve">, with Index). Taipei: Yiwen Yinshuguan (藝文印書館), 1967.</w:t>
      </w:r>
    </w:p>
    <w:p>
      <w:pPr>
        <w:numPr>
          <w:ilvl w:val="1"/>
          <w:numId w:val="1156"/>
        </w:numPr>
        <w:pStyle w:val="Compact"/>
      </w:pPr>
      <w:r>
        <w:t xml:space="preserve">A photoreproduction of the Zecuntang (澤存堂) edition, with a character index arranged by radical and stroke count.</w:t>
      </w:r>
    </w:p>
    <w:p>
      <w:pPr>
        <w:numPr>
          <w:ilvl w:val="0"/>
          <w:numId w:val="1155"/>
        </w:numPr>
        <w:pStyle w:val="Compact"/>
      </w:pPr>
      <w:r>
        <w:t xml:space="preserve">Liu Fu (劉復), ed. </w:t>
      </w:r>
      <w:r>
        <w:rPr>
          <w:iCs/>
          <w:i/>
        </w:rPr>
        <w:t xml:space="preserve">Shiyun Huibian</w:t>
      </w:r>
      <w:r>
        <w:t xml:space="preserve"> </w:t>
      </w:r>
      <w:r>
        <w:t xml:space="preserve">(十韵彙編, Compilation of Ten Rhyme Dictionaries). Taipei: Xuesheng Shuju (学生書局), 1975.</w:t>
      </w:r>
    </w:p>
    <w:p>
      <w:pPr>
        <w:numPr>
          <w:ilvl w:val="1"/>
          <w:numId w:val="1157"/>
        </w:numPr>
        <w:pStyle w:val="Compact"/>
      </w:pPr>
      <w:r>
        <w:t xml:space="preserve">Presents fragments of the</w:t>
      </w:r>
      <w:r>
        <w:t xml:space="preserve"> </w:t>
      </w:r>
      <w:r>
        <w:rPr>
          <w:iCs/>
          <w:i/>
        </w:rPr>
        <w:t xml:space="preserve">Qieyun</w:t>
      </w:r>
      <w:r>
        <w:t xml:space="preserve"> </w:t>
      </w:r>
      <w:r>
        <w:t xml:space="preserve">in the upper register, corresponding to the</w:t>
      </w:r>
      <w:r>
        <w:t xml:space="preserve"> </w:t>
      </w:r>
      <w:r>
        <w:rPr>
          <w:iCs/>
          <w:i/>
        </w:rPr>
        <w:t xml:space="preserve">Guangyun</w:t>
      </w:r>
      <w:r>
        <w:t xml:space="preserve"> </w:t>
      </w:r>
      <w:r>
        <w:t xml:space="preserve">in the lower register.</w:t>
      </w:r>
    </w:p>
    <w:p>
      <w:pPr>
        <w:numPr>
          <w:ilvl w:val="0"/>
          <w:numId w:val="1155"/>
        </w:numPr>
        <w:pStyle w:val="Compact"/>
      </w:pPr>
      <w:r>
        <w:t xml:space="preserve">Ding Du (丁度) et al., eds. </w:t>
      </w:r>
      <w:r>
        <w:rPr>
          <w:iCs/>
          <w:i/>
        </w:rPr>
        <w:t xml:space="preserve">Jiyun: Fu Suoyin</w:t>
      </w:r>
      <w:r>
        <w:t xml:space="preserve"> </w:t>
      </w:r>
      <w:r>
        <w:t xml:space="preserve">(集韻：附索引, The</w:t>
      </w:r>
      <w:r>
        <w:t xml:space="preserve"> </w:t>
      </w:r>
      <w:r>
        <w:rPr>
          <w:iCs/>
          <w:i/>
        </w:rPr>
        <w:t xml:space="preserve">Jiyun</w:t>
      </w:r>
      <w:r>
        <w:t xml:space="preserve">: With Index). Shanghai: Shanghai Guji Chubanshe (上海古籍出版社), 1985.</w:t>
      </w:r>
    </w:p>
    <w:p>
      <w:pPr>
        <w:numPr>
          <w:ilvl w:val="1"/>
          <w:numId w:val="1158"/>
        </w:numPr>
        <w:pStyle w:val="Compact"/>
      </w:pPr>
      <w:r>
        <w:t xml:space="preserve">Contains a photoreproduction of the Shugutang (述古堂) manuscript copy of a Song edition, held in the Shanghai Library. Includes a Four-Corner Index.</w:t>
      </w:r>
    </w:p>
    <w:p>
      <w:pPr>
        <w:numPr>
          <w:ilvl w:val="0"/>
          <w:numId w:val="1155"/>
        </w:numPr>
        <w:pStyle w:val="Compact"/>
      </w:pPr>
      <w:r>
        <w:t xml:space="preserve">Suzuki Shingo (鈴木慎吾).</w:t>
      </w:r>
      <w:r>
        <w:t xml:space="preserve"> </w:t>
      </w:r>
      <w:hyperlink r:id="rId248">
        <w:r>
          <w:rPr>
            <w:rStyle w:val="Hyperlink"/>
          </w:rPr>
          <w:t xml:space="preserve">“</w:t>
        </w:r>
        <w:r>
          <w:rPr>
            <w:rStyle w:val="Hyperlink"/>
          </w:rPr>
          <w:t xml:space="preserve">Hen’in Dētabēsu (PYDB)</w:t>
        </w:r>
        <w:r>
          <w:rPr>
            <w:rStyle w:val="Hyperlink"/>
          </w:rPr>
          <w:t xml:space="preserve">”</w:t>
        </w:r>
        <w:r>
          <w:rPr>
            <w:rStyle w:val="Hyperlink"/>
          </w:rPr>
          <w:t xml:space="preserve"> </w:t>
        </w:r>
        <w:r>
          <w:rPr>
            <w:rStyle w:val="Hyperlink"/>
          </w:rPr>
          <w:t xml:space="preserve">(篇韻データベース, Rhyme Database PYDB)</w:t>
        </w:r>
      </w:hyperlink>
      <w:r>
        <w:t xml:space="preserve">.</w:t>
      </w:r>
    </w:p>
    <w:p>
      <w:pPr>
        <w:numPr>
          <w:ilvl w:val="1"/>
          <w:numId w:val="1159"/>
        </w:numPr>
        <w:pStyle w:val="Compact"/>
      </w:pPr>
      <w:r>
        <w:t xml:space="preserve">The</w:t>
      </w:r>
      <w:r>
        <w:t xml:space="preserve"> </w:t>
      </w:r>
      <w:r>
        <w:rPr>
          <w:iCs/>
          <w:i/>
        </w:rPr>
        <w:t xml:space="preserve">Qieyun</w:t>
      </w:r>
      <w:r>
        <w:t xml:space="preserve">,</w:t>
      </w:r>
      <w:r>
        <w:t xml:space="preserve"> </w:t>
      </w:r>
      <w:r>
        <w:rPr>
          <w:iCs/>
          <w:i/>
        </w:rPr>
        <w:t xml:space="preserve">Guangyun</w:t>
      </w:r>
      <w:r>
        <w:t xml:space="preserve">, and Middle Chinese phonology section includes</w:t>
      </w:r>
      <w:r>
        <w:t xml:space="preserve"> </w:t>
      </w:r>
      <w:r>
        <w:t xml:space="preserve">“</w:t>
      </w:r>
      <w:r>
        <w:t xml:space="preserve">Web韻圖～廣韻檢索～</w:t>
      </w:r>
      <w:r>
        <w:t xml:space="preserve">”</w:t>
      </w:r>
      <w:r>
        <w:t xml:space="preserve"> </w:t>
      </w:r>
      <w:r>
        <w:t xml:space="preserve">(Web Rhyme Charts -</w:t>
      </w:r>
      <w:r>
        <w:t xml:space="preserve"> </w:t>
      </w:r>
      <w:r>
        <w:rPr>
          <w:iCs/>
          <w:i/>
        </w:rPr>
        <w:t xml:space="preserve">Guangyun</w:t>
      </w:r>
      <w:r>
        <w:t xml:space="preserve"> </w:t>
      </w:r>
      <w:r>
        <w:t xml:space="preserve">Search),</w:t>
      </w:r>
      <w:r>
        <w:t xml:space="preserve"> </w:t>
      </w:r>
      <w:r>
        <w:t xml:space="preserve">“</w:t>
      </w:r>
      <w:r>
        <w:t xml:space="preserve">『切韻』諸本輯覽</w:t>
      </w:r>
      <w:r>
        <w:t xml:space="preserve">”</w:t>
      </w:r>
      <w:r>
        <w:t xml:space="preserve"> </w:t>
      </w:r>
      <w:r>
        <w:t xml:space="preserve">(Collected Editions of the</w:t>
      </w:r>
      <w:r>
        <w:t xml:space="preserve"> </w:t>
      </w:r>
      <w:r>
        <w:rPr>
          <w:iCs/>
          <w:i/>
        </w:rPr>
        <w:t xml:space="preserve">Qieyun</w:t>
      </w:r>
      <w:r>
        <w:t xml:space="preserve">), and</w:t>
      </w:r>
      <w:r>
        <w:t xml:space="preserve"> </w:t>
      </w:r>
      <w:r>
        <w:t xml:space="preserve">“</w:t>
      </w:r>
      <w:r>
        <w:t xml:space="preserve">『切韻』佚文檢索</w:t>
      </w:r>
      <w:r>
        <w:t xml:space="preserve">”</w:t>
      </w:r>
      <w:r>
        <w:t xml:space="preserve"> </w:t>
      </w:r>
      <w:r>
        <w:t xml:space="preserve">(Search for Lost Texts of the</w:t>
      </w:r>
      <w:r>
        <w:t xml:space="preserve"> </w:t>
      </w:r>
      <w:r>
        <w:rPr>
          <w:iCs/>
          <w:i/>
        </w:rPr>
        <w:t xml:space="preserve">Qieyun</w:t>
      </w:r>
      <w:r>
        <w:t xml:space="preserve">).</w:t>
      </w:r>
    </w:p>
    <w:p>
      <w:pPr>
        <w:numPr>
          <w:ilvl w:val="0"/>
          <w:numId w:val="1155"/>
        </w:numPr>
        <w:pStyle w:val="Compact"/>
      </w:pPr>
      <w:r>
        <w:t xml:space="preserve">Ueda Tadashi (上田正).</w:t>
      </w:r>
      <w:r>
        <w:t xml:space="preserve"> </w:t>
      </w:r>
      <w:r>
        <w:rPr>
          <w:iCs/>
          <w:i/>
        </w:rPr>
        <w:t xml:space="preserve">Setsuin Itsubun no Kenkyū</w:t>
      </w:r>
      <w:r>
        <w:t xml:space="preserve"> </w:t>
      </w:r>
      <w:r>
        <w:t xml:space="preserve">(切韻逸文の研究, A Study of Lost Texts of the</w:t>
      </w:r>
      <w:r>
        <w:t xml:space="preserve"> </w:t>
      </w:r>
      <w:r>
        <w:rPr>
          <w:iCs/>
          <w:i/>
        </w:rPr>
        <w:t xml:space="preserve">Qieyun</w:t>
      </w:r>
      <w:r>
        <w:t xml:space="preserve">). Tokyo: Kyūko Shoin (汲古書院), 1984</w:t>
      </w:r>
    </w:p>
    <w:p>
      <w:pPr>
        <w:numPr>
          <w:ilvl w:val="0"/>
          <w:numId w:val="1155"/>
        </w:numPr>
        <w:pStyle w:val="Compact"/>
      </w:pPr>
      <w:hyperlink r:id="rId249">
        <w:r>
          <w:rPr>
            <w:rStyle w:val="Hyperlink"/>
          </w:rPr>
          <w:t xml:space="preserve">Chinese Text Project (CTP)</w:t>
        </w:r>
      </w:hyperlink>
      <w:r>
        <w:t xml:space="preserve"> </w:t>
      </w:r>
      <w:r>
        <w:t xml:space="preserve">(中國哲學書電子化計劃).</w:t>
      </w:r>
    </w:p>
    <w:p>
      <w:pPr>
        <w:numPr>
          <w:ilvl w:val="1"/>
          <w:numId w:val="1160"/>
        </w:numPr>
        <w:pStyle w:val="Compact"/>
      </w:pPr>
      <w:r>
        <w:t xml:space="preserve">The</w:t>
      </w:r>
      <w:r>
        <w:t xml:space="preserve"> </w:t>
      </w:r>
      <w:hyperlink r:id="rId249">
        <w:r>
          <w:rPr>
            <w:rStyle w:val="Hyperlink"/>
          </w:rPr>
          <w:t xml:space="preserve">Dictionary</w:t>
        </w:r>
      </w:hyperlink>
      <w:r>
        <w:t xml:space="preserve"> </w:t>
      </w:r>
      <w:r>
        <w:t xml:space="preserve">search function provides information from texts such as the</w:t>
      </w:r>
      <w:r>
        <w:t xml:space="preserve"> </w:t>
      </w:r>
      <w:r>
        <w:rPr>
          <w:iCs/>
          <w:i/>
        </w:rPr>
        <w:t xml:space="preserve">Shuowen Jiezi</w:t>
      </w:r>
      <w:r>
        <w:t xml:space="preserve">, the Song edition of the</w:t>
      </w:r>
      <w:r>
        <w:t xml:space="preserve"> </w:t>
      </w:r>
      <w:r>
        <w:rPr>
          <w:iCs/>
          <w:i/>
        </w:rPr>
        <w:t xml:space="preserve">Guangyun</w:t>
      </w:r>
      <w:r>
        <w:t xml:space="preserve">, and the</w:t>
      </w:r>
      <w:r>
        <w:t xml:space="preserve"> </w:t>
      </w:r>
      <w:r>
        <w:rPr>
          <w:iCs/>
          <w:i/>
        </w:rPr>
        <w:t xml:space="preserve">Kangxi Zidian</w:t>
      </w:r>
      <w:r>
        <w:t xml:space="preserve">. Searching for</w:t>
      </w:r>
      <w:r>
        <w:t xml:space="preserve"> </w:t>
      </w:r>
      <w:r>
        <w:t xml:space="preserve">“</w:t>
      </w:r>
      <w:r>
        <w:t xml:space="preserve">集韻</w:t>
      </w:r>
      <w:r>
        <w:t xml:space="preserve">”</w:t>
      </w:r>
      <w:r>
        <w:t xml:space="preserve"> </w:t>
      </w:r>
      <w:r>
        <w:t xml:space="preserve">(</w:t>
      </w:r>
      <w:r>
        <w:rPr>
          <w:iCs/>
          <w:i/>
        </w:rPr>
        <w:t xml:space="preserve">Jiyun</w:t>
      </w:r>
      <w:r>
        <w:t xml:space="preserve">) in the Title Search (書名檢索) allows access to various full-text versions (however, note that some may be</w:t>
      </w:r>
      <w:r>
        <w:t xml:space="preserve"> </w:t>
      </w:r>
      <w:r>
        <w:t xml:space="preserve">“</w:t>
      </w:r>
      <w:r>
        <w:t xml:space="preserve">未經校對</w:t>
      </w:r>
      <w:r>
        <w:t xml:space="preserve">”</w:t>
      </w:r>
      <w:r>
        <w:t xml:space="preserve"> </w:t>
      </w:r>
      <w:r>
        <w:t xml:space="preserve">- uncollated/uncorrected).</w:t>
      </w:r>
    </w:p>
    <w:p>
      <w:pPr>
        <w:pStyle w:val="FirstParagraph"/>
      </w:pPr>
      <w:r>
        <w:rPr>
          <w:bCs/>
          <w:b/>
        </w:rPr>
        <w:t xml:space="preserve">The</w:t>
      </w:r>
      <w:r>
        <w:rPr>
          <w:bCs/>
          <w:b/>
        </w:rPr>
        <w:t xml:space="preserve"> </w:t>
      </w:r>
      <w:r>
        <w:rPr>
          <w:iCs/>
          <w:i/>
          <w:bCs/>
          <w:b/>
        </w:rPr>
        <w:t xml:space="preserve">Yupian</w:t>
      </w:r>
      <w:r>
        <w:rPr>
          <w:bCs/>
          <w:b/>
        </w:rPr>
        <w:t xml:space="preserve"> </w:t>
      </w:r>
      <w:r>
        <w:rPr>
          <w:bCs/>
          <w:b/>
        </w:rPr>
        <w:t xml:space="preserve">(玉篇)</w:t>
      </w:r>
    </w:p>
    <w:p>
      <w:pPr>
        <w:numPr>
          <w:ilvl w:val="0"/>
          <w:numId w:val="1161"/>
        </w:numPr>
        <w:pStyle w:val="Compact"/>
      </w:pPr>
      <w:r>
        <w:t xml:space="preserve">Gu Yewang (顧野王), comp.</w:t>
      </w:r>
      <w:r>
        <w:t xml:space="preserve"> </w:t>
      </w:r>
      <w:r>
        <w:rPr>
          <w:iCs/>
          <w:i/>
        </w:rPr>
        <w:t xml:space="preserve">Yuánběn Yùpiān Cánjuàn</w:t>
      </w:r>
      <w:r>
        <w:t xml:space="preserve"> </w:t>
      </w:r>
      <w:r>
        <w:t xml:space="preserve">(原本玉篇殘卷, Surviving Fragments of the Original</w:t>
      </w:r>
      <w:r>
        <w:t xml:space="preserve"> </w:t>
      </w:r>
      <w:r>
        <w:rPr>
          <w:iCs/>
          <w:i/>
        </w:rPr>
        <w:t xml:space="preserve">Yupian</w:t>
      </w:r>
      <w:r>
        <w:t xml:space="preserve">). In</w:t>
      </w:r>
      <w:r>
        <w:t xml:space="preserve"> </w:t>
      </w:r>
      <w:r>
        <w:rPr>
          <w:iCs/>
          <w:i/>
        </w:rPr>
        <w:t xml:space="preserve">Gǔdài Zìshū Jíkān</w:t>
      </w:r>
      <w:r>
        <w:t xml:space="preserve"> </w:t>
      </w:r>
      <w:r>
        <w:t xml:space="preserve">(古代字書輯刊, Collection of Ancient Dictionaries). Beijing: Zhonghua Shuju (中華書局), 2004.</w:t>
      </w:r>
    </w:p>
    <w:p>
      <w:pPr>
        <w:numPr>
          <w:ilvl w:val="0"/>
          <w:numId w:val="1161"/>
        </w:numPr>
        <w:pStyle w:val="Compact"/>
      </w:pPr>
      <w:r>
        <w:t xml:space="preserve">Zang Kehe (臧克和).</w:t>
      </w:r>
      <w:r>
        <w:t xml:space="preserve"> </w:t>
      </w:r>
      <w:r>
        <w:rPr>
          <w:iCs/>
          <w:i/>
        </w:rPr>
        <w:t xml:space="preserve">Zhōnggǔ Hànzì Liúbiàn</w:t>
      </w:r>
      <w:r>
        <w:t xml:space="preserve"> </w:t>
      </w:r>
      <w:r>
        <w:t xml:space="preserve">(中古漢字流變, Evolution of Middle Chinese Characters). Shanghai: Huadong Shifan Daxue Chubanshe (華東師範大學出版社), 2008.</w:t>
      </w:r>
    </w:p>
    <w:p>
      <w:pPr>
        <w:numPr>
          <w:ilvl w:val="1"/>
          <w:numId w:val="1162"/>
        </w:numPr>
        <w:pStyle w:val="Compact"/>
      </w:pPr>
      <w:r>
        <w:t xml:space="preserve">Collates and annotates the</w:t>
      </w:r>
      <w:r>
        <w:t xml:space="preserve"> </w:t>
      </w:r>
      <w:r>
        <w:rPr>
          <w:iCs/>
          <w:i/>
        </w:rPr>
        <w:t xml:space="preserve">Shuowen Jiezi</w:t>
      </w:r>
      <w:r>
        <w:t xml:space="preserve">, surviving fragments of the original</w:t>
      </w:r>
      <w:r>
        <w:t xml:space="preserve"> </w:t>
      </w:r>
      <w:r>
        <w:rPr>
          <w:iCs/>
          <w:i/>
        </w:rPr>
        <w:t xml:space="preserve">Yupian</w:t>
      </w:r>
      <w:r>
        <w:t xml:space="preserve">, the Song edition of the</w:t>
      </w:r>
      <w:r>
        <w:t xml:space="preserve"> </w:t>
      </w:r>
      <w:r>
        <w:rPr>
          <w:iCs/>
          <w:i/>
        </w:rPr>
        <w:t xml:space="preserve">Yupian</w:t>
      </w:r>
      <w:r>
        <w:t xml:space="preserve">, and the</w:t>
      </w:r>
      <w:r>
        <w:t xml:space="preserve"> </w:t>
      </w:r>
      <w:r>
        <w:rPr>
          <w:iCs/>
          <w:i/>
        </w:rPr>
        <w:t xml:space="preserve">Tenrei Banshō Meigi</w:t>
      </w:r>
      <w:r>
        <w:t xml:space="preserve">.</w:t>
      </w:r>
    </w:p>
    <w:p>
      <w:pPr>
        <w:numPr>
          <w:ilvl w:val="0"/>
          <w:numId w:val="1161"/>
        </w:numPr>
        <w:pStyle w:val="Compact"/>
      </w:pPr>
      <w:r>
        <w:t xml:space="preserve">Lü Hao (呂浩).</w:t>
      </w:r>
      <w:r>
        <w:t xml:space="preserve"> </w:t>
      </w:r>
      <w:r>
        <w:rPr>
          <w:iCs/>
          <w:i/>
        </w:rPr>
        <w:t xml:space="preserve">“</w:t>
      </w:r>
      <w:r>
        <w:rPr>
          <w:iCs/>
          <w:i/>
        </w:rPr>
        <w:t xml:space="preserve">Yupian</w:t>
      </w:r>
      <w:r>
        <w:rPr>
          <w:iCs/>
          <w:i/>
        </w:rPr>
        <w:t xml:space="preserve">”</w:t>
      </w:r>
      <w:r>
        <w:rPr>
          <w:iCs/>
          <w:i/>
        </w:rPr>
        <w:t xml:space="preserve"> </w:t>
      </w:r>
      <w:r>
        <w:rPr>
          <w:iCs/>
          <w:i/>
        </w:rPr>
        <w:t xml:space="preserve">Wenxian Kaoshu</w:t>
      </w:r>
      <w:r>
        <w:t xml:space="preserve"> </w:t>
      </w:r>
      <w:r>
        <w:t xml:space="preserve">(《玉篇》文獻考述, A Philological Study of</w:t>
      </w:r>
      <w:r>
        <w:t xml:space="preserve"> </w:t>
      </w:r>
      <w:r>
        <w:rPr>
          <w:iCs/>
          <w:i/>
        </w:rPr>
        <w:t xml:space="preserve">Yupian</w:t>
      </w:r>
      <w:r>
        <w:t xml:space="preserve"> </w:t>
      </w:r>
      <w:r>
        <w:t xml:space="preserve">Documents). Shanghai: Shanghai Renmin Chubanshe (上海人民出版社), 2018.</w:t>
      </w:r>
    </w:p>
    <w:p>
      <w:pPr>
        <w:numPr>
          <w:ilvl w:val="1"/>
          <w:numId w:val="1163"/>
        </w:numPr>
        <w:pStyle w:val="Compact"/>
      </w:pPr>
      <w:r>
        <w:t xml:space="preserve">In addition to studies on the</w:t>
      </w:r>
      <w:r>
        <w:t xml:space="preserve"> </w:t>
      </w:r>
      <w:r>
        <w:rPr>
          <w:iCs/>
          <w:i/>
        </w:rPr>
        <w:t xml:space="preserve">Yupian</w:t>
      </w:r>
      <w:r>
        <w:t xml:space="preserve">, the appendices include</w:t>
      </w:r>
      <w:r>
        <w:t xml:space="preserve"> </w:t>
      </w:r>
      <w:r>
        <w:t xml:space="preserve">“</w:t>
      </w:r>
      <w:r>
        <w:t xml:space="preserve">Yuánběn Yùpiān Cánjuàn Jiàodiǎnběn</w:t>
      </w:r>
      <w:r>
        <w:t xml:space="preserve">”</w:t>
      </w:r>
      <w:r>
        <w:t xml:space="preserve"> </w:t>
      </w:r>
      <w:r>
        <w:t xml:space="preserve">(原本《玉篇》殘卷校點本, A Collated and Punctuated Edition of the Surviving Fragments of the Original</w:t>
      </w:r>
      <w:r>
        <w:t xml:space="preserve"> </w:t>
      </w:r>
      <w:r>
        <w:rPr>
          <w:iCs/>
          <w:i/>
        </w:rPr>
        <w:t xml:space="preserve">Yupian</w:t>
      </w:r>
      <w:r>
        <w:t xml:space="preserve">) and</w:t>
      </w:r>
      <w:r>
        <w:t xml:space="preserve"> </w:t>
      </w:r>
      <w:r>
        <w:t xml:space="preserve">“</w:t>
      </w:r>
      <w:r>
        <w:t xml:space="preserve">Yùpiān Yìwén Jílù</w:t>
      </w:r>
      <w:r>
        <w:t xml:space="preserve">”</w:t>
      </w:r>
      <w:r>
        <w:t xml:space="preserve"> </w:t>
      </w:r>
      <w:r>
        <w:t xml:space="preserve">(《玉篇》逸文輯録, A Compilation of Lost Texts of the</w:t>
      </w:r>
      <w:r>
        <w:t xml:space="preserve"> </w:t>
      </w:r>
      <w:r>
        <w:rPr>
          <w:iCs/>
          <w:i/>
        </w:rPr>
        <w:t xml:space="preserve">Yupian</w:t>
      </w:r>
      <w:r>
        <w:t xml:space="preserve">).</w:t>
      </w:r>
    </w:p>
    <w:p>
      <w:pPr>
        <w:numPr>
          <w:ilvl w:val="0"/>
          <w:numId w:val="1161"/>
        </w:numPr>
        <w:pStyle w:val="Compact"/>
      </w:pPr>
      <w:r>
        <w:t xml:space="preserve">Gu Yewang (顧野王), comp., and Yao Yongming (姚永銘), coll. and ed. </w:t>
      </w:r>
      <w:r>
        <w:rPr>
          <w:iCs/>
          <w:i/>
        </w:rPr>
        <w:t xml:space="preserve">“</w:t>
      </w:r>
      <w:r>
        <w:rPr>
          <w:iCs/>
          <w:i/>
        </w:rPr>
        <w:t xml:space="preserve">Yuánběn Yùpiān Cánjuàn</w:t>
      </w:r>
      <w:r>
        <w:rPr>
          <w:iCs/>
          <w:i/>
        </w:rPr>
        <w:t xml:space="preserve">”</w:t>
      </w:r>
      <w:r>
        <w:rPr>
          <w:iCs/>
          <w:i/>
        </w:rPr>
        <w:t xml:space="preserve"> </w:t>
      </w:r>
      <w:r>
        <w:rPr>
          <w:iCs/>
          <w:i/>
        </w:rPr>
        <w:t xml:space="preserve">Jiàozhèng</w:t>
      </w:r>
      <w:r>
        <w:t xml:space="preserve"> </w:t>
      </w:r>
      <w:r>
        <w:t xml:space="preserve">(《原本玉篇殘卷》校證, A Collated and Annotated Edition of the Surviving Fragments of the Original</w:t>
      </w:r>
      <w:r>
        <w:t xml:space="preserve"> </w:t>
      </w:r>
      <w:r>
        <w:rPr>
          <w:iCs/>
          <w:i/>
        </w:rPr>
        <w:t xml:space="preserve">Yupian</w:t>
      </w:r>
      <w:r>
        <w:t xml:space="preserve">). Hangzhou: Zhejiang Guji Chubanshe (浙江古籍出版社), 2023.</w:t>
      </w:r>
    </w:p>
    <w:p>
      <w:pPr>
        <w:numPr>
          <w:ilvl w:val="1"/>
          <w:numId w:val="1164"/>
        </w:numPr>
        <w:pStyle w:val="Compact"/>
      </w:pPr>
      <w:r>
        <w:t xml:space="preserve">Exhaustively collects surviving texts related to the original</w:t>
      </w:r>
      <w:r>
        <w:t xml:space="preserve"> </w:t>
      </w:r>
      <w:r>
        <w:rPr>
          <w:iCs/>
          <w:i/>
        </w:rPr>
        <w:t xml:space="preserve">Yupian</w:t>
      </w:r>
      <w:r>
        <w:t xml:space="preserve">, performs comparative collation, and provides detailed annotations.</w:t>
      </w:r>
    </w:p>
    <w:p>
      <w:pPr>
        <w:numPr>
          <w:ilvl w:val="0"/>
          <w:numId w:val="1161"/>
        </w:numPr>
        <w:pStyle w:val="Compact"/>
      </w:pPr>
      <w:r>
        <w:t xml:space="preserve">Gu Yewang (顧野王), comp.</w:t>
      </w:r>
      <w:r>
        <w:t xml:space="preserve"> </w:t>
      </w:r>
      <w:r>
        <w:rPr>
          <w:iCs/>
          <w:i/>
        </w:rPr>
        <w:t xml:space="preserve">Daguang Yihui Yupian</w:t>
      </w:r>
      <w:r>
        <w:t xml:space="preserve"> </w:t>
      </w:r>
      <w:r>
        <w:t xml:space="preserve">(大廣益會玉篇, The Great Expanded and Assembled</w:t>
      </w:r>
      <w:r>
        <w:t xml:space="preserve"> </w:t>
      </w:r>
      <w:r>
        <w:rPr>
          <w:iCs/>
          <w:i/>
        </w:rPr>
        <w:t xml:space="preserve">Yupian</w:t>
      </w:r>
      <w:r>
        <w:t xml:space="preserve">). In</w:t>
      </w:r>
      <w:r>
        <w:t xml:space="preserve"> </w:t>
      </w:r>
      <w:r>
        <w:rPr>
          <w:iCs/>
          <w:i/>
        </w:rPr>
        <w:t xml:space="preserve">Gǔdài Zìshū Jíkān</w:t>
      </w:r>
      <w:r>
        <w:t xml:space="preserve"> </w:t>
      </w:r>
      <w:r>
        <w:t xml:space="preserve">(古代字書輯刊, Collection of Ancient Dictionaries). Beijing: Zhonghua Shuju (中華書局), 1987.</w:t>
      </w:r>
    </w:p>
    <w:p>
      <w:pPr>
        <w:numPr>
          <w:ilvl w:val="1"/>
          <w:numId w:val="1165"/>
        </w:numPr>
        <w:pStyle w:val="Compact"/>
      </w:pPr>
      <w:r>
        <w:t xml:space="preserve">A photoreproduction of the Zecuntang (澤存堂) edition, with a Four-Corner Index.</w:t>
      </w:r>
    </w:p>
    <w:p>
      <w:pPr>
        <w:numPr>
          <w:ilvl w:val="0"/>
          <w:numId w:val="1161"/>
        </w:numPr>
        <w:pStyle w:val="Compact"/>
      </w:pPr>
      <w:r>
        <w:t xml:space="preserve">Gu Yewang (顧野王), comp., and Lü Hao (呂浩), coll. and ed. </w:t>
      </w:r>
      <w:r>
        <w:rPr>
          <w:iCs/>
          <w:i/>
        </w:rPr>
        <w:t xml:space="preserve">Daguang Yihui Yupian</w:t>
      </w:r>
      <w:r>
        <w:t xml:space="preserve"> </w:t>
      </w:r>
      <w:r>
        <w:t xml:space="preserve">(大廣益會玉篇, The Great Expanded and Assembled</w:t>
      </w:r>
      <w:r>
        <w:t xml:space="preserve"> </w:t>
      </w:r>
      <w:r>
        <w:rPr>
          <w:iCs/>
          <w:i/>
        </w:rPr>
        <w:t xml:space="preserve">Yupian</w:t>
      </w:r>
      <w:r>
        <w:t xml:space="preserve">). In</w:t>
      </w:r>
      <w:r>
        <w:t xml:space="preserve"> </w:t>
      </w:r>
      <w:r>
        <w:rPr>
          <w:iCs/>
          <w:i/>
        </w:rPr>
        <w:t xml:space="preserve">Zhōngguó Gǔdài Yǔyánxué Jīběn Diǎnjí Cóngshū</w:t>
      </w:r>
      <w:r>
        <w:t xml:space="preserve"> </w:t>
      </w:r>
      <w:r>
        <w:t xml:space="preserve">(中國古代語言學基本典籍叢書, Basic Classical Works on Ancient Chinese Linguistics Series). 3 vols. (upper, middle, lower). Beijing: Zhonghua Shuju (中華書局), 2019.</w:t>
      </w:r>
    </w:p>
    <w:p>
      <w:pPr>
        <w:numPr>
          <w:ilvl w:val="1"/>
          <w:numId w:val="1166"/>
        </w:numPr>
        <w:pStyle w:val="Compact"/>
      </w:pPr>
      <w:r>
        <w:t xml:space="preserve">Based on the Song dynasty edition held by the Imperial Household Agency Archives (宮内庁書陵部蔵宋本,</w:t>
      </w:r>
      <w:r>
        <w:t xml:space="preserve"> </w:t>
      </w:r>
      <w:r>
        <w:rPr>
          <w:iCs/>
          <w:i/>
        </w:rPr>
        <w:t xml:space="preserve">Kunaichō Shoryōbu-zō Sōhon</w:t>
      </w:r>
      <w:r>
        <w:t xml:space="preserve">), collated against the Song 11-line edition (宋十一行本,</w:t>
      </w:r>
      <w:r>
        <w:t xml:space="preserve"> </w:t>
      </w:r>
      <w:r>
        <w:rPr>
          <w:iCs/>
          <w:i/>
        </w:rPr>
        <w:t xml:space="preserve">Sòng shíyī háng běn</w:t>
      </w:r>
      <w:r>
        <w:t xml:space="preserve">), the Qing Rentei edition (清楝亭本,</w:t>
      </w:r>
      <w:r>
        <w:t xml:space="preserve"> </w:t>
      </w:r>
      <w:r>
        <w:rPr>
          <w:iCs/>
          <w:i/>
        </w:rPr>
        <w:t xml:space="preserve">Qīng liàn tíng běn</w:t>
      </w:r>
      <w:r>
        <w:t xml:space="preserve">; known as the Yangzhou Shiju (揚州詩局) edition, held by the Nanjing Library), among others.</w:t>
      </w:r>
    </w:p>
    <w:p>
      <w:pPr>
        <w:numPr>
          <w:ilvl w:val="0"/>
          <w:numId w:val="1161"/>
        </w:numPr>
        <w:pStyle w:val="Compact"/>
      </w:pPr>
      <w:hyperlink r:id="rId250">
        <w:r>
          <w:rPr>
            <w:rStyle w:val="Hyperlink"/>
          </w:rPr>
          <w:t xml:space="preserve">Integrated Database of Hanzi Dictionaries in Early Japan (HDIC)</w:t>
        </w:r>
      </w:hyperlink>
      <w:r>
        <w:t xml:space="preserve">.</w:t>
      </w:r>
      <w:r>
        <w:t xml:space="preserve"> </w:t>
      </w:r>
      <w:r>
        <w:t xml:space="preserve">“</w:t>
      </w:r>
      <w:r>
        <w:rPr>
          <w:iCs/>
          <w:i/>
        </w:rPr>
        <w:t xml:space="preserve">Songben Yupian</w:t>
      </w:r>
      <w:r>
        <w:t xml:space="preserve"> </w:t>
      </w:r>
      <w:r>
        <w:t xml:space="preserve">(Song Edition</w:t>
      </w:r>
      <w:r>
        <w:t xml:space="preserve"> </w:t>
      </w:r>
      <w:r>
        <w:rPr>
          <w:iCs/>
          <w:i/>
        </w:rPr>
        <w:t xml:space="preserve">Yupian</w:t>
      </w:r>
      <w:r>
        <w:t xml:space="preserve">)</w:t>
      </w:r>
      <w:r>
        <w:t xml:space="preserve">”</w:t>
      </w:r>
      <w:r>
        <w:t xml:space="preserve"> </w:t>
      </w:r>
      <w:r>
        <w:t xml:space="preserve">(SYP).</w:t>
      </w:r>
    </w:p>
    <w:p>
      <w:pPr>
        <w:numPr>
          <w:ilvl w:val="1"/>
          <w:numId w:val="1167"/>
        </w:numPr>
        <w:pStyle w:val="Compact"/>
      </w:pPr>
      <w:r>
        <w:t xml:space="preserve">An input version based on the Song dynasty edition held by the Imperial Household Agency Archives. Searchable via Suzuki Shingo’s</w:t>
      </w:r>
      <w:r>
        <w:t xml:space="preserve"> </w:t>
      </w:r>
      <w:r>
        <w:t xml:space="preserve">“</w:t>
      </w:r>
      <w:r>
        <w:t xml:space="preserve">Hen’in Dētabēsu</w:t>
      </w:r>
      <w:r>
        <w:t xml:space="preserve">”</w:t>
      </w:r>
      <w:r>
        <w:t xml:space="preserve"> </w:t>
      </w:r>
      <w:r>
        <w:t xml:space="preserve">(PYDB) under</w:t>
      </w:r>
      <w:r>
        <w:t xml:space="preserve"> </w:t>
      </w:r>
      <w:hyperlink r:id="rId251">
        <w:r>
          <w:rPr>
            <w:rStyle w:val="Hyperlink"/>
            <w:iCs/>
            <w:i/>
          </w:rPr>
          <w:t xml:space="preserve">Sōhon Gyokuhen Kensaku</w:t>
        </w:r>
        <w:r>
          <w:rPr>
            <w:rStyle w:val="Hyperlink"/>
          </w:rPr>
          <w:t xml:space="preserve"> </w:t>
        </w:r>
        <w:r>
          <w:rPr>
            <w:rStyle w:val="Hyperlink"/>
          </w:rPr>
          <w:t xml:space="preserve">(宋本玉篇検索, Song Edition</w:t>
        </w:r>
        <w:r>
          <w:rPr>
            <w:rStyle w:val="Hyperlink"/>
          </w:rPr>
          <w:t xml:space="preserve"> </w:t>
        </w:r>
        <w:r>
          <w:rPr>
            <w:rStyle w:val="Hyperlink"/>
            <w:iCs/>
            <w:i/>
          </w:rPr>
          <w:t xml:space="preserve">Yupian</w:t>
        </w:r>
        <w:r>
          <w:rPr>
            <w:rStyle w:val="Hyperlink"/>
          </w:rPr>
          <w:t xml:space="preserve"> </w:t>
        </w:r>
        <w:r>
          <w:rPr>
            <w:rStyle w:val="Hyperlink"/>
          </w:rPr>
          <w:t xml:space="preserve">Search)</w:t>
        </w:r>
      </w:hyperlink>
      <w:r>
        <w:t xml:space="preserve">.</w:t>
      </w:r>
    </w:p>
    <w:p>
      <w:pPr>
        <w:pStyle w:val="FirstParagraph"/>
      </w:pPr>
      <w:r>
        <w:rPr>
          <w:bCs/>
          <w:b/>
        </w:rPr>
        <w:t xml:space="preserve">The</w:t>
      </w:r>
      <w:r>
        <w:rPr>
          <w:bCs/>
          <w:b/>
        </w:rPr>
        <w:t xml:space="preserve"> </w:t>
      </w:r>
      <w:r>
        <w:rPr>
          <w:iCs/>
          <w:i/>
          <w:bCs/>
          <w:b/>
        </w:rPr>
        <w:t xml:space="preserve">Tenrei Banshō Meigi</w:t>
      </w:r>
      <w:r>
        <w:rPr>
          <w:bCs/>
          <w:b/>
        </w:rPr>
        <w:t xml:space="preserve"> </w:t>
      </w:r>
      <w:r>
        <w:rPr>
          <w:bCs/>
          <w:b/>
        </w:rPr>
        <w:t xml:space="preserve">(篆隷万象名義)</w:t>
      </w:r>
    </w:p>
    <w:p>
      <w:pPr>
        <w:pStyle w:val="BodyText"/>
      </w:pPr>
      <w:r>
        <w:t xml:space="preserve">The</w:t>
      </w:r>
      <w:r>
        <w:t xml:space="preserve"> </w:t>
      </w:r>
      <w:r>
        <w:rPr>
          <w:iCs/>
          <w:i/>
        </w:rPr>
        <w:t xml:space="preserve">Tenrei Banshō Meigi</w:t>
      </w:r>
      <w:r>
        <w:t xml:space="preserve"> </w:t>
      </w:r>
      <w:r>
        <w:t xml:space="preserve">is an abridged version of the original</w:t>
      </w:r>
      <w:r>
        <w:t xml:space="preserve"> </w:t>
      </w:r>
      <w:r>
        <w:rPr>
          <w:iCs/>
          <w:i/>
        </w:rPr>
        <w:t xml:space="preserve">Yupian</w:t>
      </w:r>
      <w:r>
        <w:t xml:space="preserve"> </w:t>
      </w:r>
      <w:r>
        <w:t xml:space="preserve">and can therefore be used as a substitute for it.</w:t>
      </w:r>
    </w:p>
    <w:p>
      <w:pPr>
        <w:numPr>
          <w:ilvl w:val="0"/>
          <w:numId w:val="1168"/>
        </w:numPr>
        <w:pStyle w:val="Compact"/>
      </w:pPr>
      <w:r>
        <w:t xml:space="preserve">Kōyasan Daigaku and Kōyasan Daigaku Mikkyō Bunka Kenkyūjo (高野山大学・高野山大学密教文化研究所), eds. </w:t>
      </w:r>
      <w:r>
        <w:rPr>
          <w:iCs/>
          <w:i/>
        </w:rPr>
        <w:t xml:space="preserve">Tenrei Banshō Meigi</w:t>
      </w:r>
      <w:r>
        <w:t xml:space="preserve"> </w:t>
      </w:r>
      <w:r>
        <w:t xml:space="preserve">(篆隷萬象名義). Kōyasan: Mikkyō Bunka Kenkyūjo (密教文化研究所), 1966.</w:t>
      </w:r>
    </w:p>
    <w:p>
      <w:pPr>
        <w:numPr>
          <w:ilvl w:val="0"/>
          <w:numId w:val="1168"/>
        </w:numPr>
        <w:pStyle w:val="Compact"/>
      </w:pPr>
      <w:r>
        <w:t xml:space="preserve">Kūkai (空海) and Yamada Yoshio (山田孝雄).</w:t>
      </w:r>
      <w:r>
        <w:t xml:space="preserve"> </w:t>
      </w:r>
      <w:r>
        <w:rPr>
          <w:iCs/>
          <w:i/>
        </w:rPr>
        <w:t xml:space="preserve">Tenrei Banshō Meigi</w:t>
      </w:r>
      <w:r>
        <w:t xml:space="preserve"> </w:t>
      </w:r>
      <w:r>
        <w:t xml:space="preserve">(篆隷萬象名義). In</w:t>
      </w:r>
      <w:r>
        <w:t xml:space="preserve"> </w:t>
      </w:r>
      <w:r>
        <w:rPr>
          <w:iCs/>
          <w:i/>
        </w:rPr>
        <w:t xml:space="preserve">Sūbun Sōsho</w:t>
      </w:r>
      <w:r>
        <w:t xml:space="preserve"> </w:t>
      </w:r>
      <w:r>
        <w:t xml:space="preserve">(崇文叢書, Sūbun Series), Dai 1-shū no 27–43. Tokyo: Sūbun’in (崇文院), 1926.</w:t>
      </w:r>
    </w:p>
    <w:p>
      <w:pPr>
        <w:numPr>
          <w:ilvl w:val="0"/>
          <w:numId w:val="1168"/>
        </w:numPr>
        <w:pStyle w:val="Compact"/>
      </w:pPr>
      <w:r>
        <w:t xml:space="preserve">Kōzanji Tenseki Monjo Sōgō Chōsadan (高山寺典籍文書綜合調査団), ed. </w:t>
      </w:r>
      <w:r>
        <w:rPr>
          <w:iCs/>
          <w:i/>
        </w:rPr>
        <w:t xml:space="preserve">Kōzanji Kojisho Shiryō Daiichi</w:t>
      </w:r>
      <w:r>
        <w:t xml:space="preserve"> </w:t>
      </w:r>
      <w:r>
        <w:t xml:space="preserve">(高山寺古辭書資料第一, Kōzan-ji Old Dictionary Materials, Vol. 1). In</w:t>
      </w:r>
      <w:r>
        <w:t xml:space="preserve"> </w:t>
      </w:r>
      <w:r>
        <w:rPr>
          <w:iCs/>
          <w:i/>
        </w:rPr>
        <w:t xml:space="preserve">Kōzanji Shiryō Sōsho</w:t>
      </w:r>
      <w:r>
        <w:t xml:space="preserve"> </w:t>
      </w:r>
      <w:r>
        <w:t xml:space="preserve">(高山寺資料叢書, Kōzan-ji Materials Series), vol. 6. Tokyo: Tōkyō Daigaku Shuppankai (東京大學出版會), 1977.</w:t>
      </w:r>
    </w:p>
    <w:p>
      <w:pPr>
        <w:numPr>
          <w:ilvl w:val="0"/>
          <w:numId w:val="1168"/>
        </w:numPr>
        <w:pStyle w:val="Compact"/>
      </w:pPr>
      <w:r>
        <w:t xml:space="preserve">Lü Hao (吕浩).</w:t>
      </w:r>
      <w:r>
        <w:t xml:space="preserve"> </w:t>
      </w:r>
      <w:r>
        <w:rPr>
          <w:iCs/>
          <w:i/>
        </w:rPr>
        <w:t xml:space="preserve">Zhuànlì Wànxiàng Míngyì Jiàoshì</w:t>
      </w:r>
      <w:r>
        <w:t xml:space="preserve"> </w:t>
      </w:r>
      <w:r>
        <w:t xml:space="preserve">(篆隷萬象名義校釋, Collated and Annotated</w:t>
      </w:r>
      <w:r>
        <w:t xml:space="preserve"> </w:t>
      </w:r>
      <w:r>
        <w:rPr>
          <w:iCs/>
          <w:i/>
        </w:rPr>
        <w:t xml:space="preserve">Tenrei Banshō Meigi</w:t>
      </w:r>
      <w:r>
        <w:t xml:space="preserve">). Shanghai: Xuelin Chubanshe (學林出版社), 2007.</w:t>
      </w:r>
    </w:p>
    <w:p>
      <w:pPr>
        <w:numPr>
          <w:ilvl w:val="0"/>
          <w:numId w:val="1168"/>
        </w:numPr>
        <w:pStyle w:val="Compact"/>
      </w:pPr>
      <w:hyperlink r:id="rId250">
        <w:r>
          <w:rPr>
            <w:rStyle w:val="Hyperlink"/>
          </w:rPr>
          <w:t xml:space="preserve">Integrated Database of Hanzi Dictionaries in Early Japan (HDIC)</w:t>
        </w:r>
      </w:hyperlink>
      <w:r>
        <w:t xml:space="preserve">.</w:t>
      </w:r>
      <w:r>
        <w:t xml:space="preserve"> </w:t>
      </w:r>
      <w:r>
        <w:t xml:space="preserve">“</w:t>
      </w:r>
      <w:r>
        <w:rPr>
          <w:iCs/>
          <w:i/>
        </w:rPr>
        <w:t xml:space="preserve">Tenrei Banshō Meigi</w:t>
      </w:r>
      <w:r>
        <w:t xml:space="preserve"> </w:t>
      </w:r>
      <w:r>
        <w:t xml:space="preserve">(Kōsan-ji manuscript)</w:t>
      </w:r>
      <w:r>
        <w:t xml:space="preserve">”</w:t>
      </w:r>
      <w:r>
        <w:t xml:space="preserve"> </w:t>
      </w:r>
      <w:r>
        <w:t xml:space="preserve">(KTB).</w:t>
      </w:r>
    </w:p>
    <w:p>
      <w:pPr>
        <w:pStyle w:val="FirstParagraph"/>
      </w:pPr>
      <w:r>
        <w:rPr>
          <w:bCs/>
          <w:b/>
        </w:rPr>
        <w:t xml:space="preserve">The</w:t>
      </w:r>
      <w:r>
        <w:rPr>
          <w:bCs/>
          <w:b/>
        </w:rPr>
        <w:t xml:space="preserve"> </w:t>
      </w:r>
      <w:r>
        <w:rPr>
          <w:iCs/>
          <w:i/>
          <w:bCs/>
          <w:b/>
        </w:rPr>
        <w:t xml:space="preserve">Longkan Shoujian/Shoujing</w:t>
      </w:r>
      <w:r>
        <w:rPr>
          <w:bCs/>
          <w:b/>
        </w:rPr>
        <w:t xml:space="preserve"> </w:t>
      </w:r>
      <w:r>
        <w:rPr>
          <w:bCs/>
          <w:b/>
        </w:rPr>
        <w:t xml:space="preserve">(龍龕手鑑/鏡 - Dragon Niche Hand Mirror/Guide)</w:t>
      </w:r>
    </w:p>
    <w:p>
      <w:pPr>
        <w:numPr>
          <w:ilvl w:val="0"/>
          <w:numId w:val="1169"/>
        </w:numPr>
        <w:pStyle w:val="Compact"/>
      </w:pPr>
      <w:r>
        <w:t xml:space="preserve">Shi Xingjun (釋行均), ed. </w:t>
      </w:r>
      <w:r>
        <w:rPr>
          <w:iCs/>
          <w:i/>
        </w:rPr>
        <w:t xml:space="preserve">Longkan Shoujing</w:t>
      </w:r>
      <w:r>
        <w:t xml:space="preserve"> </w:t>
      </w:r>
      <w:r>
        <w:t xml:space="preserve">(龍龕手鏡, Dragon Niche Hand Mirror). Beijing: Zhonghua Shuju (中華書局), 1985.</w:t>
      </w:r>
    </w:p>
    <w:p>
      <w:pPr>
        <w:numPr>
          <w:ilvl w:val="1"/>
          <w:numId w:val="1170"/>
        </w:numPr>
        <w:pStyle w:val="Compact"/>
      </w:pPr>
      <w:r>
        <w:t xml:space="preserve">Contains photoreproductions of Volume 1, Volume 3, and Volume 4 of the Goryeo edition. The entirety of Volume 2 (missing from the Goryeo edition), along with the last page of Volume 1, and the table of contents and the first page of the</w:t>
      </w:r>
      <w:r>
        <w:t xml:space="preserve"> </w:t>
      </w:r>
      <w:r>
        <w:t xml:space="preserve">“</w:t>
      </w:r>
      <w:r>
        <w:t xml:space="preserve">見</w:t>
      </w:r>
      <w:r>
        <w:t xml:space="preserve">”</w:t>
      </w:r>
      <w:r>
        <w:t xml:space="preserve"> </w:t>
      </w:r>
      <w:r>
        <w:t xml:space="preserve">(jiàn/miru) radical section of Volume 3, are supplemented from a Song edition.</w:t>
      </w:r>
    </w:p>
    <w:p>
      <w:pPr>
        <w:numPr>
          <w:ilvl w:val="0"/>
          <w:numId w:val="1169"/>
        </w:numPr>
        <w:pStyle w:val="Compact"/>
      </w:pPr>
      <w:r>
        <w:t xml:space="preserve">Fujimoto Yukio (藤本幸夫) and Jeong Gwang (鄭光).</w:t>
      </w:r>
      <w:r>
        <w:t xml:space="preserve"> </w:t>
      </w:r>
      <w:r>
        <w:rPr>
          <w:iCs/>
          <w:i/>
        </w:rPr>
        <w:t xml:space="preserve">Ryūkan Shukyō (Shukan) Kenkyū</w:t>
      </w:r>
      <w:r>
        <w:t xml:space="preserve"> </w:t>
      </w:r>
      <w:r>
        <w:t xml:space="preserve">(龍龕手鏡（鑑）研究, Studies on the</w:t>
      </w:r>
      <w:r>
        <w:t xml:space="preserve"> </w:t>
      </w:r>
      <w:r>
        <w:rPr>
          <w:iCs/>
          <w:i/>
        </w:rPr>
        <w:t xml:space="preserve">Longkan Shoujing/Shoujian</w:t>
      </w:r>
      <w:r>
        <w:t xml:space="preserve">). Kashiwa: Reitaku Daigaku Shuppankai (麗澤大学出版会) / Hiroike Gakuen Jigyōbu (廣池学園事業部), 2015.</w:t>
      </w:r>
    </w:p>
    <w:p>
      <w:pPr>
        <w:numPr>
          <w:ilvl w:val="1"/>
          <w:numId w:val="1171"/>
        </w:numPr>
        <w:pStyle w:val="Compact"/>
      </w:pPr>
      <w:r>
        <w:t xml:space="preserve">Comprises three research papers and photoreproductions. The photoreproductions follow the same composition as the Zhonghua Shuju edition.</w:t>
      </w:r>
    </w:p>
    <w:p>
      <w:pPr>
        <w:numPr>
          <w:ilvl w:val="0"/>
          <w:numId w:val="1169"/>
        </w:numPr>
        <w:pStyle w:val="Compact"/>
      </w:pPr>
      <w:r>
        <w:t xml:space="preserve">Shi Xingjun (釋行均), comp., and Kyōjō Teikoku Daigaku Hōbun Gakubu (京城帝國大學法文學部), ed. </w:t>
      </w:r>
      <w:r>
        <w:rPr>
          <w:iCs/>
          <w:i/>
        </w:rPr>
        <w:t xml:space="preserve">Ryūkan Shūkyō</w:t>
      </w:r>
      <w:r>
        <w:t xml:space="preserve"> </w:t>
      </w:r>
      <w:r>
        <w:t xml:space="preserve">(龍龕手鏡, Dragon Niche Hand Mirror). 3 vols. (Vol. 1, Vol. 2, and Commentary). Tokyo: Shichijō Kenzō (七条憲三), 1928–1929.</w:t>
      </w:r>
    </w:p>
    <w:p>
      <w:pPr>
        <w:numPr>
          <w:ilvl w:val="1"/>
          <w:numId w:val="1172"/>
        </w:numPr>
        <w:pStyle w:val="Compact"/>
      </w:pPr>
      <w:r>
        <w:t xml:space="preserve">The photoreproductions in the two aforementioned books are both based on this edition. Difficult to obtain.</w:t>
      </w:r>
    </w:p>
    <w:p>
      <w:pPr>
        <w:pStyle w:val="FirstParagraph"/>
      </w:pPr>
      <w:r>
        <w:rPr>
          <w:bCs/>
          <w:b/>
        </w:rPr>
        <w:t xml:space="preserve">The</w:t>
      </w:r>
      <w:r>
        <w:rPr>
          <w:bCs/>
          <w:b/>
        </w:rPr>
        <w:t xml:space="preserve"> </w:t>
      </w:r>
      <w:r>
        <w:rPr>
          <w:iCs/>
          <w:i/>
          <w:bCs/>
          <w:b/>
        </w:rPr>
        <w:t xml:space="preserve">Yiqiejing Yinyi</w:t>
      </w:r>
      <w:r>
        <w:rPr>
          <w:bCs/>
          <w:b/>
        </w:rPr>
        <w:t xml:space="preserve"> </w:t>
      </w:r>
      <w:r>
        <w:rPr>
          <w:bCs/>
          <w:b/>
        </w:rPr>
        <w:t xml:space="preserve">(一切経音義 - Pronunciation and Meaning in the Entire Buddhist Canon)</w:t>
      </w:r>
    </w:p>
    <w:p>
      <w:pPr>
        <w:pStyle w:val="BodyText"/>
      </w:pPr>
      <w:r>
        <w:t xml:space="preserve">Many old manuscripts and early printed editions of Xuan Ying’s (玄応)</w:t>
      </w:r>
      <w:r>
        <w:t xml:space="preserve"> </w:t>
      </w:r>
      <w:r>
        <w:rPr>
          <w:iCs/>
          <w:i/>
        </w:rPr>
        <w:t xml:space="preserve">Yiqiejing Yinyi</w:t>
      </w:r>
      <w:r>
        <w:t xml:space="preserve"> </w:t>
      </w:r>
      <w:r>
        <w:t xml:space="preserve">(一切経音義) are extant. Furthermore, some parts of Xuan Ying’s</w:t>
      </w:r>
      <w:r>
        <w:t xml:space="preserve"> </w:t>
      </w:r>
      <w:r>
        <w:rPr>
          <w:iCs/>
          <w:i/>
        </w:rPr>
        <w:t xml:space="preserve">Yiqiejing Yinyi</w:t>
      </w:r>
      <w:r>
        <w:t xml:space="preserve"> </w:t>
      </w:r>
      <w:r>
        <w:t xml:space="preserve">are also included verbatim in Huilin’s (慧琳)</w:t>
      </w:r>
      <w:r>
        <w:t xml:space="preserve"> </w:t>
      </w:r>
      <w:r>
        <w:rPr>
          <w:iCs/>
          <w:i/>
        </w:rPr>
        <w:t xml:space="preserve">Yiqiejing Yinyi</w:t>
      </w:r>
      <w:r>
        <w:t xml:space="preserve">.</w:t>
      </w:r>
    </w:p>
    <w:p>
      <w:pPr>
        <w:numPr>
          <w:ilvl w:val="0"/>
          <w:numId w:val="1173"/>
        </w:numPr>
        <w:pStyle w:val="Compact"/>
      </w:pPr>
      <w:r>
        <w:t xml:space="preserve">Kōkyō Shoin (弘教書院), ed. </w:t>
      </w:r>
      <w:r>
        <w:rPr>
          <w:iCs/>
          <w:i/>
        </w:rPr>
        <w:t xml:space="preserve">Dainihon Kōtei Daizōkyō Ongibu Iroku</w:t>
      </w:r>
      <w:r>
        <w:t xml:space="preserve"> </w:t>
      </w:r>
      <w:r>
        <w:t xml:space="preserve">(大日本校訂大藏經音義部爲六, The Great Japan Collated Tripitaka, Lexicographical Section, Vol. 6). Tokyo: Kōkyō Shoin (弘教書院), 1885.</w:t>
      </w:r>
    </w:p>
    <w:p>
      <w:pPr>
        <w:numPr>
          <w:ilvl w:val="1"/>
          <w:numId w:val="1174"/>
        </w:numPr>
        <w:pStyle w:val="Compact"/>
      </w:pPr>
      <w:r>
        <w:t xml:space="preserve">Contains the Goryeo edition. A typeset edition.</w:t>
      </w:r>
    </w:p>
    <w:p>
      <w:pPr>
        <w:numPr>
          <w:ilvl w:val="0"/>
          <w:numId w:val="1173"/>
        </w:numPr>
        <w:pStyle w:val="Compact"/>
      </w:pPr>
      <w:r>
        <w:t xml:space="preserve">Yamada Yoshio (山田孝雄).</w:t>
      </w:r>
      <w:r>
        <w:t xml:space="preserve"> </w:t>
      </w:r>
      <w:r>
        <w:rPr>
          <w:iCs/>
          <w:i/>
        </w:rPr>
        <w:t xml:space="preserve">Issaikyō Ongi Sakuin</w:t>
      </w:r>
      <w:r>
        <w:t xml:space="preserve"> </w:t>
      </w:r>
      <w:r>
        <w:t xml:space="preserve">(一切經音義索引, Index to the</w:t>
      </w:r>
      <w:r>
        <w:t xml:space="preserve"> </w:t>
      </w:r>
      <w:r>
        <w:rPr>
          <w:iCs/>
          <w:i/>
        </w:rPr>
        <w:t xml:space="preserve">Yiqiejing Yinyi</w:t>
      </w:r>
      <w:r>
        <w:t xml:space="preserve">). Tokyo: Seitō Shobō (西東書房), 1925.</w:t>
      </w:r>
    </w:p>
    <w:p>
      <w:pPr>
        <w:numPr>
          <w:ilvl w:val="1"/>
          <w:numId w:val="1175"/>
        </w:numPr>
        <w:pStyle w:val="Compact"/>
      </w:pPr>
      <w:r>
        <w:t xml:space="preserve">An index to both Xuan Ying’s and Huilin’s</w:t>
      </w:r>
      <w:r>
        <w:t xml:space="preserve"> </w:t>
      </w:r>
      <w:r>
        <w:rPr>
          <w:iCs/>
          <w:i/>
        </w:rPr>
        <w:t xml:space="preserve">Yiqiejing Yinyi</w:t>
      </w:r>
      <w:r>
        <w:t xml:space="preserve">. Includes Yamada Yoshio’s</w:t>
      </w:r>
      <w:r>
        <w:t xml:space="preserve"> </w:t>
      </w:r>
      <w:r>
        <w:t xml:space="preserve">“</w:t>
      </w:r>
      <w:r>
        <w:t xml:space="preserve">Issaikyō Ongi Kankō no Tenmatsu</w:t>
      </w:r>
      <w:r>
        <w:t xml:space="preserve">”</w:t>
      </w:r>
      <w:r>
        <w:t xml:space="preserve"> </w:t>
      </w:r>
      <w:r>
        <w:t xml:space="preserve">(一切経音義刊行の顛末, An Account of the Publication of the</w:t>
      </w:r>
      <w:r>
        <w:t xml:space="preserve"> </w:t>
      </w:r>
      <w:r>
        <w:rPr>
          <w:iCs/>
          <w:i/>
        </w:rPr>
        <w:t xml:space="preserve">Yiqiejing Yinyi</w:t>
      </w:r>
      <w:r>
        <w:t xml:space="preserve">).</w:t>
      </w:r>
    </w:p>
    <w:p>
      <w:pPr>
        <w:numPr>
          <w:ilvl w:val="0"/>
          <w:numId w:val="1173"/>
        </w:numPr>
        <w:pStyle w:val="Compact"/>
      </w:pPr>
      <w:r>
        <w:t xml:space="preserve">Xuan Ying (玄應) and Yamada Yoshio (山田孝雄).</w:t>
      </w:r>
      <w:r>
        <w:t xml:space="preserve"> </w:t>
      </w:r>
      <w:r>
        <w:rPr>
          <w:iCs/>
          <w:i/>
        </w:rPr>
        <w:t xml:space="preserve">Issaikyō Ongi</w:t>
      </w:r>
      <w:r>
        <w:t xml:space="preserve"> </w:t>
      </w:r>
      <w:r>
        <w:t xml:space="preserve">(一切經音義). Tokyo: Seitō Shobō (西東書房), 1932.</w:t>
      </w:r>
    </w:p>
    <w:p>
      <w:pPr>
        <w:numPr>
          <w:ilvl w:val="1"/>
          <w:numId w:val="1176"/>
        </w:numPr>
        <w:pStyle w:val="Compact"/>
      </w:pPr>
      <w:r>
        <w:t xml:space="preserve">A photoreproduction of the Hōryū-ji Issaikyō manuscript copied in the Daiji era (1126-1131) (abbreviated as the Daiji-bon 大治本). Currently held by the Imperial Household Agency Archives. Contains 19 fascicles in 5 cases (vols. 1-2 and 9-25). Missing parts are supplemented from the Goryeo edition.</w:t>
      </w:r>
    </w:p>
    <w:p>
      <w:pPr>
        <w:numPr>
          <w:ilvl w:val="0"/>
          <w:numId w:val="1173"/>
        </w:numPr>
        <w:pStyle w:val="Compact"/>
      </w:pPr>
      <w:r>
        <w:t xml:space="preserve">Xuan Ying (玄應) and Zhou Fagao (周法高).</w:t>
      </w:r>
      <w:r>
        <w:t xml:space="preserve"> </w:t>
      </w:r>
      <w:r>
        <w:rPr>
          <w:iCs/>
          <w:i/>
        </w:rPr>
        <w:t xml:space="preserve">Xuán Yìng Yīqièjīng Yīnyì</w:t>
      </w:r>
      <w:r>
        <w:t xml:space="preserve"> </w:t>
      </w:r>
      <w:r>
        <w:t xml:space="preserve">(玄應一切經音義). In</w:t>
      </w:r>
      <w:r>
        <w:t xml:space="preserve"> </w:t>
      </w:r>
      <w:r>
        <w:rPr>
          <w:iCs/>
          <w:i/>
        </w:rPr>
        <w:t xml:space="preserve">Zhōngyāng Yánjiūyuàn Lìshǐ Yǔyán Yánjiūsuǒ Zhuānkān</w:t>
      </w:r>
      <w:r>
        <w:t xml:space="preserve"> </w:t>
      </w:r>
      <w:r>
        <w:t xml:space="preserve">(中央研究院歴史語言研究所專刊, Special Publications of the Institute of History and Philology, Academia Sinica) 47:</w:t>
      </w:r>
      <w:r>
        <w:t xml:space="preserve"> </w:t>
      </w:r>
      <w:r>
        <w:rPr>
          <w:iCs/>
          <w:i/>
        </w:rPr>
        <w:t xml:space="preserve">Xuán Yìng Yīqièjīng Yīnyì Fǎnqiè Kǎo, Fùcè</w:t>
      </w:r>
      <w:r>
        <w:t xml:space="preserve"> </w:t>
      </w:r>
      <w:r>
        <w:t xml:space="preserve">(玄應一切經音義反切考・附冊, A Study of the Fanqie Spellings in Xuan Ying’s Yiqiejing Yinyi, with Supplement). Taipei: Zhongyang Yanjiuyuan Lishi Yuyan Yanjiusuo (中央研究院歴史語言研究所), 1962.</w:t>
      </w:r>
    </w:p>
    <w:p>
      <w:pPr>
        <w:numPr>
          <w:ilvl w:val="1"/>
          <w:numId w:val="1177"/>
        </w:numPr>
        <w:pStyle w:val="Compact"/>
      </w:pPr>
      <w:r>
        <w:t xml:space="preserve">Contains the Kōkyō Shoin edition.</w:t>
      </w:r>
    </w:p>
    <w:p>
      <w:pPr>
        <w:numPr>
          <w:ilvl w:val="0"/>
          <w:numId w:val="1173"/>
        </w:numPr>
        <w:pStyle w:val="Compact"/>
      </w:pPr>
      <w:r>
        <w:t xml:space="preserve">Yi Seon-geun (이선근, 李瑄根), ed. </w:t>
      </w:r>
      <w:r>
        <w:rPr>
          <w:iCs/>
          <w:i/>
        </w:rPr>
        <w:t xml:space="preserve">Ilchegyeong Eumui: Oe Sibib部</w:t>
      </w:r>
      <w:r>
        <w:t xml:space="preserve"> </w:t>
      </w:r>
      <w:r>
        <w:t xml:space="preserve">(일체경음의: 외십이부, 一切經音義：外十二部, The</w:t>
      </w:r>
      <w:r>
        <w:t xml:space="preserve"> </w:t>
      </w:r>
      <w:r>
        <w:rPr>
          <w:iCs/>
          <w:i/>
        </w:rPr>
        <w:t xml:space="preserve">Yiqiejing Yinyi</w:t>
      </w:r>
      <w:r>
        <w:t xml:space="preserve">: With Twelve Other Works). In</w:t>
      </w:r>
      <w:r>
        <w:t xml:space="preserve"> </w:t>
      </w:r>
      <w:r>
        <w:rPr>
          <w:iCs/>
          <w:i/>
        </w:rPr>
        <w:t xml:space="preserve">Goryeo Daejanggyeong</w:t>
      </w:r>
      <w:r>
        <w:t xml:space="preserve"> </w:t>
      </w:r>
      <w:r>
        <w:t xml:space="preserve">(고려대장경, 高麗大藏經, The Goryeo Tripitaka), vol. 32. Seoul: Dongguk Daehakgyo Chulpanbu (동국대학교 출판부, Dongguk University Press), 1975.</w:t>
      </w:r>
    </w:p>
    <w:p>
      <w:pPr>
        <w:numPr>
          <w:ilvl w:val="1"/>
          <w:numId w:val="1178"/>
        </w:numPr>
        <w:pStyle w:val="Compact"/>
      </w:pPr>
      <w:r>
        <w:t xml:space="preserve">Contains Xuan Ying’s</w:t>
      </w:r>
      <w:r>
        <w:t xml:space="preserve"> </w:t>
      </w:r>
      <w:r>
        <w:rPr>
          <w:iCs/>
          <w:i/>
        </w:rPr>
        <w:t xml:space="preserve">Yiqiejing Yinyi</w:t>
      </w:r>
      <w:r>
        <w:t xml:space="preserve">.</w:t>
      </w:r>
    </w:p>
    <w:p>
      <w:pPr>
        <w:numPr>
          <w:ilvl w:val="0"/>
          <w:numId w:val="1173"/>
        </w:numPr>
        <w:pStyle w:val="Compact"/>
      </w:pPr>
      <w:r>
        <w:t xml:space="preserve">Huilin (慧琳) and Yi Seon-geun (이선근, 李瑄根), ed. </w:t>
      </w:r>
      <w:r>
        <w:rPr>
          <w:iCs/>
          <w:i/>
        </w:rPr>
        <w:t xml:space="preserve">Hyerin Gyeong Eumui</w:t>
      </w:r>
      <w:r>
        <w:t xml:space="preserve"> </w:t>
      </w:r>
      <w:r>
        <w:t xml:space="preserve">(혜림경음의, 慧琳經音義, Huilin’s</w:t>
      </w:r>
      <w:r>
        <w:t xml:space="preserve"> </w:t>
      </w:r>
      <w:r>
        <w:rPr>
          <w:iCs/>
          <w:i/>
        </w:rPr>
        <w:t xml:space="preserve">Yiqiejing Yinyi</w:t>
      </w:r>
      <w:r>
        <w:t xml:space="preserve">). In</w:t>
      </w:r>
      <w:r>
        <w:t xml:space="preserve"> </w:t>
      </w:r>
      <w:r>
        <w:rPr>
          <w:iCs/>
          <w:i/>
        </w:rPr>
        <w:t xml:space="preserve">Goryeo Daejanggyeong</w:t>
      </w:r>
      <w:r>
        <w:t xml:space="preserve"> </w:t>
      </w:r>
      <w:r>
        <w:t xml:space="preserve">(고려대장경, 高麗大藏經, The Goryeo Tripitaka), vols. 42-43. Seoul: Dongguk Daehakgyo Chulpanbu (동국대학교 출판부, Dongguk University Press), 1976.</w:t>
      </w:r>
    </w:p>
    <w:p>
      <w:pPr>
        <w:numPr>
          <w:ilvl w:val="1"/>
          <w:numId w:val="1179"/>
        </w:numPr>
        <w:pStyle w:val="Compact"/>
      </w:pPr>
      <w:r>
        <w:t xml:space="preserve">Contains Huilin’s</w:t>
      </w:r>
      <w:r>
        <w:t xml:space="preserve"> </w:t>
      </w:r>
      <w:r>
        <w:rPr>
          <w:iCs/>
          <w:i/>
        </w:rPr>
        <w:t xml:space="preserve">Yiqiejing Yinyi</w:t>
      </w:r>
      <w:r>
        <w:t xml:space="preserve">.</w:t>
      </w:r>
    </w:p>
    <w:p>
      <w:pPr>
        <w:numPr>
          <w:ilvl w:val="0"/>
          <w:numId w:val="1173"/>
        </w:numPr>
        <w:pStyle w:val="Compact"/>
      </w:pPr>
      <w:r>
        <w:t xml:space="preserve">Xuan Ying (玄應) and Kobayashi Yoshinori (小林芳規).</w:t>
      </w:r>
      <w:r>
        <w:t xml:space="preserve"> </w:t>
      </w:r>
      <w:r>
        <w:rPr>
          <w:iCs/>
          <w:i/>
        </w:rPr>
        <w:t xml:space="preserve">Issaikyō Ongi</w:t>
      </w:r>
      <w:r>
        <w:t xml:space="preserve"> </w:t>
      </w:r>
      <w:r>
        <w:t xml:space="preserve">(一切經音義). In</w:t>
      </w:r>
      <w:r>
        <w:t xml:space="preserve"> </w:t>
      </w:r>
      <w:r>
        <w:rPr>
          <w:iCs/>
          <w:i/>
        </w:rPr>
        <w:t xml:space="preserve">Kojisho Ongi Shūsei</w:t>
      </w:r>
      <w:r>
        <w:t xml:space="preserve"> </w:t>
      </w:r>
      <w:r>
        <w:t xml:space="preserve">(古辞書音義集成, Collection of Old Dictionaries with Phonetic and Semantic Glosses), vols. 7–9. Tokyo: Kyūko Shoin (汲古書院), 1980.</w:t>
      </w:r>
    </w:p>
    <w:p>
      <w:pPr>
        <w:numPr>
          <w:ilvl w:val="1"/>
          <w:numId w:val="1180"/>
        </w:numPr>
        <w:pStyle w:val="Compact"/>
      </w:pPr>
      <w:r>
        <w:t xml:space="preserve">In addition to the Daiji-bon, includes the Hiroshima University manuscript (vols. 2–5) and the Tenri Library manuscript (vol. 9) of the Ishiyama-dera Issaikyō-bon, as well as Volume 18 of the Tenri Library manuscript (a late Kamakura period copy). Furthermore, Volumes 3–8 are supplemented from the Goryeo edition.</w:t>
      </w:r>
    </w:p>
    <w:p>
      <w:pPr>
        <w:numPr>
          <w:ilvl w:val="0"/>
          <w:numId w:val="1173"/>
        </w:numPr>
        <w:pStyle w:val="Compact"/>
      </w:pPr>
      <w:r>
        <w:t xml:space="preserve">Numoto Katsuaki (沼本克明), Ikeda Shōju (池田証壽), and Hara Takushi (原卓志), eds. </w:t>
      </w:r>
      <w:r>
        <w:rPr>
          <w:iCs/>
          <w:i/>
        </w:rPr>
        <w:t xml:space="preserve">Issaikyō Ongi Sakuin</w:t>
      </w:r>
      <w:r>
        <w:t xml:space="preserve"> </w:t>
      </w:r>
      <w:r>
        <w:t xml:space="preserve">(一切經音義索引, Index to the</w:t>
      </w:r>
      <w:r>
        <w:t xml:space="preserve"> </w:t>
      </w:r>
      <w:r>
        <w:rPr>
          <w:iCs/>
          <w:i/>
        </w:rPr>
        <w:t xml:space="preserve">Yiqiejing Yinyi</w:t>
      </w:r>
      <w:r>
        <w:t xml:space="preserve">). In</w:t>
      </w:r>
      <w:r>
        <w:t xml:space="preserve"> </w:t>
      </w:r>
      <w:r>
        <w:rPr>
          <w:iCs/>
          <w:i/>
        </w:rPr>
        <w:t xml:space="preserve">Kojisho Ongi Shūsei</w:t>
      </w:r>
      <w:r>
        <w:t xml:space="preserve"> </w:t>
      </w:r>
      <w:r>
        <w:t xml:space="preserve">(古辞書音義集成, Collection of Old Dictionaries with Phonetic and Semantic Glosses), vol. 19. Tokyo: Kyūko Shoin (汲古書院), 1984.</w:t>
      </w:r>
    </w:p>
    <w:p>
      <w:pPr>
        <w:numPr>
          <w:ilvl w:val="1"/>
          <w:numId w:val="1181"/>
        </w:numPr>
        <w:pStyle w:val="Compact"/>
      </w:pPr>
      <w:r>
        <w:t xml:space="preserve">An index of headword characters, phonetic glosses, and cited sources, based on the</w:t>
      </w:r>
      <w:r>
        <w:t xml:space="preserve"> </w:t>
      </w:r>
      <w:r>
        <w:rPr>
          <w:iCs/>
          <w:i/>
        </w:rPr>
        <w:t xml:space="preserve">Kojisho Ongi Shūsei</w:t>
      </w:r>
      <w:r>
        <w:t xml:space="preserve"> </w:t>
      </w:r>
      <w:r>
        <w:t xml:space="preserve">edition.</w:t>
      </w:r>
    </w:p>
    <w:p>
      <w:pPr>
        <w:numPr>
          <w:ilvl w:val="0"/>
          <w:numId w:val="1173"/>
        </w:numPr>
        <w:pStyle w:val="Compact"/>
      </w:pPr>
      <w:r>
        <w:t xml:space="preserve">Kokusai Bukkyōgaku Daigakuin Daigaku Gakujutsu Frontier Jikkō Iinkai (国際仏教学大学院大学学術フロンティア実行委員会), ed. </w:t>
      </w:r>
      <w:r>
        <w:rPr>
          <w:iCs/>
          <w:i/>
        </w:rPr>
        <w:t xml:space="preserve">Gen’ō Sen Issaikyō Ongi Nijūgokan</w:t>
      </w:r>
      <w:r>
        <w:t xml:space="preserve"> </w:t>
      </w:r>
      <w:r>
        <w:t xml:space="preserve">(玄應撰一切經音義二十五卷, Xuan Ying’s</w:t>
      </w:r>
      <w:r>
        <w:t xml:space="preserve"> </w:t>
      </w:r>
      <w:r>
        <w:rPr>
          <w:iCs/>
          <w:i/>
        </w:rPr>
        <w:t xml:space="preserve">Yiqiejing Yinyi</w:t>
      </w:r>
      <w:r>
        <w:t xml:space="preserve"> </w:t>
      </w:r>
      <w:r>
        <w:t xml:space="preserve">in Twenty-Five Fascicles). In</w:t>
      </w:r>
      <w:r>
        <w:t xml:space="preserve"> </w:t>
      </w:r>
      <w:r>
        <w:rPr>
          <w:iCs/>
          <w:i/>
        </w:rPr>
        <w:t xml:space="preserve">Nihon Koshakyō Zenpon Sōkan</w:t>
      </w:r>
      <w:r>
        <w:t xml:space="preserve"> </w:t>
      </w:r>
      <w:r>
        <w:t xml:space="preserve">(日本古寫經善本叢刊, Series of Rare Old Japanese Manuscript Sutras), 1st series. Tokyo: Kokusai Bukkyōgaku Daigakuin Daigaku Gakujutsu Frontier Jikkō Iinkai (国際仏教学大学院大学学術フロンティア実行委員会), 2006.</w:t>
      </w:r>
    </w:p>
    <w:p>
      <w:pPr>
        <w:numPr>
          <w:ilvl w:val="1"/>
          <w:numId w:val="1182"/>
        </w:numPr>
        <w:pStyle w:val="Compact"/>
      </w:pPr>
      <w:r>
        <w:t xml:space="preserve">Contains photoreproductions totaling 53 fascicles: 21 fascicles from the Kongō-ji manuscript, 20 fascicles from the Nanatsu-dera manuscript, Volume 15 from the Historiographical Institute, University of Tokyo manuscript (from the Nanatsu-dera Issaikyō), Volumes 6 and 7 from the Faculty of Letters, Kyoto University manuscript (from the Ishiyama-dera Issaikyō), and 9 fascicles from the Saihō-ji manuscript.</w:t>
      </w:r>
    </w:p>
    <w:p>
      <w:pPr>
        <w:numPr>
          <w:ilvl w:val="0"/>
          <w:numId w:val="1173"/>
        </w:numPr>
        <w:pStyle w:val="Compact"/>
      </w:pPr>
      <w:r>
        <w:t xml:space="preserve">Xu Shiyi (徐時儀), coll. and ann.</w:t>
      </w:r>
      <w:r>
        <w:t xml:space="preserve"> </w:t>
      </w:r>
      <w:r>
        <w:rPr>
          <w:iCs/>
          <w:i/>
        </w:rPr>
        <w:t xml:space="preserve">Yīqièjīng Yīnyì Sānzhǒng Jiàoběn Hékān</w:t>
      </w:r>
      <w:r>
        <w:t xml:space="preserve"> </w:t>
      </w:r>
      <w:r>
        <w:t xml:space="preserve">(一切經音義三種校本合刊, A Combined Edition of Three Collated Versions of the</w:t>
      </w:r>
      <w:r>
        <w:t xml:space="preserve"> </w:t>
      </w:r>
      <w:r>
        <w:rPr>
          <w:iCs/>
          <w:i/>
        </w:rPr>
        <w:t xml:space="preserve">Yiqiejing Yinyi</w:t>
      </w:r>
      <w:r>
        <w:t xml:space="preserve">). Shanghai: Shanghai Guji Chubanshe (上海古籍出版社), 2008.</w:t>
      </w:r>
    </w:p>
    <w:p>
      <w:pPr>
        <w:numPr>
          <w:ilvl w:val="1"/>
          <w:numId w:val="1183"/>
        </w:numPr>
        <w:pStyle w:val="Compact"/>
      </w:pPr>
      <w:r>
        <w:t xml:space="preserve">A collated and annotated edition of the Yinyi by Xuan Ying, Huilin, and Xilin (希麟). Revised edition published in 2012.</w:t>
      </w:r>
    </w:p>
    <w:p>
      <w:pPr>
        <w:pStyle w:val="FirstParagraph"/>
      </w:pPr>
      <w:r>
        <w:t xml:space="preserve">Recently, the following work, which comprehensively covers historical Chinese character pronunciation data, was published:</w:t>
      </w:r>
    </w:p>
    <w:p>
      <w:pPr>
        <w:pStyle w:val="BodyText"/>
      </w:pPr>
      <w:r>
        <w:rPr>
          <w:bCs/>
          <w:b/>
        </w:rPr>
        <w:t xml:space="preserve">The</w:t>
      </w:r>
      <w:r>
        <w:rPr>
          <w:bCs/>
          <w:b/>
        </w:rPr>
        <w:t xml:space="preserve"> </w:t>
      </w:r>
      <w:r>
        <w:rPr>
          <w:iCs/>
          <w:i/>
          <w:bCs/>
          <w:b/>
        </w:rPr>
        <w:t xml:space="preserve">Gǔyīn Huìzuǎn</w:t>
      </w:r>
      <w:r>
        <w:rPr>
          <w:bCs/>
          <w:b/>
        </w:rPr>
        <w:t xml:space="preserve"> </w:t>
      </w:r>
      <w:r>
        <w:rPr>
          <w:bCs/>
          <w:b/>
        </w:rPr>
        <w:t xml:space="preserve">(古音匯纂 - Compilation of Ancient Pronunciations)</w:t>
      </w:r>
    </w:p>
    <w:p>
      <w:pPr>
        <w:numPr>
          <w:ilvl w:val="0"/>
          <w:numId w:val="1184"/>
        </w:numPr>
        <w:pStyle w:val="Compact"/>
      </w:pPr>
      <w:r>
        <w:t xml:space="preserve">Zong Fubang (宗福邦), Chen Shiyao (陳世鐃), and Yu Ting (于亭), chief eds. </w:t>
      </w:r>
      <w:r>
        <w:rPr>
          <w:iCs/>
          <w:i/>
        </w:rPr>
        <w:t xml:space="preserve">Gǔyīn Huìzuǎn</w:t>
      </w:r>
      <w:r>
        <w:t xml:space="preserve"> </w:t>
      </w:r>
      <w:r>
        <w:t xml:space="preserve">(古音匯纂). Beijing: Shangwu Yinshuguan (商務印書館), 2019.</w:t>
      </w:r>
    </w:p>
    <w:p>
      <w:pPr>
        <w:numPr>
          <w:ilvl w:val="1"/>
          <w:numId w:val="1185"/>
        </w:numPr>
        <w:pStyle w:val="Compact"/>
      </w:pPr>
      <w:r>
        <w:t xml:space="preserve">Comprehensively covers Old Chinese (上古,</w:t>
      </w:r>
      <w:r>
        <w:t xml:space="preserve"> </w:t>
      </w:r>
      <w:r>
        <w:rPr>
          <w:iCs/>
          <w:i/>
        </w:rPr>
        <w:t xml:space="preserve">Shànggǔ</w:t>
      </w:r>
      <w:r>
        <w:t xml:space="preserve">), Middle Chinese (中古,</w:t>
      </w:r>
      <w:r>
        <w:t xml:space="preserve"> </w:t>
      </w:r>
      <w:r>
        <w:rPr>
          <w:iCs/>
          <w:i/>
        </w:rPr>
        <w:t xml:space="preserve">Zhōnggǔ</w:t>
      </w:r>
      <w:r>
        <w:t xml:space="preserve">), and Modern Chinese (近代,</w:t>
      </w:r>
      <w:r>
        <w:t xml:space="preserve"> </w:t>
      </w:r>
      <w:r>
        <w:rPr>
          <w:iCs/>
          <w:i/>
        </w:rPr>
        <w:t xml:space="preserve">Jìndài</w:t>
      </w:r>
      <w:r>
        <w:t xml:space="preserve">) character pronunciation data from the Pre-Qin period to the late Qing dynasty. Includes 127 primary cited works. A companion volume to the</w:t>
      </w:r>
      <w:r>
        <w:t xml:space="preserve"> </w:t>
      </w:r>
      <w:r>
        <w:rPr>
          <w:iCs/>
          <w:i/>
        </w:rPr>
        <w:t xml:space="preserve">Guxun Huizuan</w:t>
      </w:r>
      <w:r>
        <w:t xml:space="preserve"> </w:t>
      </w:r>
      <w:r>
        <w:t xml:space="preserve">(故訓匯纂).</w:t>
      </w:r>
    </w:p>
    <w:bookmarkEnd w:id="252"/>
    <w:bookmarkEnd w:id="253"/>
    <w:bookmarkEnd w:id="254"/>
    <w:bookmarkEnd w:id="255"/>
    <w:bookmarkStart w:id="504" w:name="Xcb9ff8fdd56d4a65fea961e3456c5d301bd150c"/>
    <w:bookmarkStart w:id="503" w:name="X2f3faf89dc0b5ec140523c06d7a6ee3c56720a7"/>
    <w:p>
      <w:pPr>
        <w:pStyle w:val="Heading1"/>
      </w:pPr>
      <w:r>
        <w:rPr>
          <w:rStyle w:val="SectionNumber"/>
        </w:rPr>
        <w:t xml:space="preserve">21</w:t>
      </w:r>
      <w:r>
        <w:tab/>
      </w:r>
      <w:r>
        <w:t xml:space="preserve">Calculation of Headword Character Count</w:t>
      </w:r>
    </w:p>
    <w:p>
      <w:pPr>
        <w:pStyle w:val="FirstParagraph"/>
      </w:pPr>
      <w:r>
        <w:t xml:space="preserve">This section will explain issues such as</w:t>
      </w:r>
      <w:r>
        <w:t xml:space="preserve"> </w:t>
      </w:r>
      <w:r>
        <w:rPr>
          <w:rStyle w:val="VerbatimChar"/>
          <w:bCs/>
          <w:b/>
        </w:rPr>
        <w:t xml:space="preserve">Miswritten Characters</w:t>
      </w:r>
      <w:r>
        <w:t xml:space="preserve"> </w:t>
      </w:r>
      <w:r>
        <w:t xml:space="preserve">(誤字,</w:t>
      </w:r>
      <w:r>
        <w:t xml:space="preserve"> </w:t>
      </w:r>
      <w:r>
        <w:rPr>
          <w:iCs/>
          <w:i/>
        </w:rPr>
        <w:t xml:space="preserve">goji</w:t>
      </w:r>
      <w:r>
        <w:t xml:space="preserve">),</w:t>
      </w:r>
      <w:r>
        <w:t xml:space="preserve"> </w:t>
      </w:r>
      <w:r>
        <w:rPr>
          <w:rStyle w:val="VerbatimChar"/>
          <w:bCs/>
          <w:b/>
        </w:rPr>
        <w:t xml:space="preserve">Omitted Characters</w:t>
      </w:r>
      <w:r>
        <w:t xml:space="preserve"> </w:t>
      </w:r>
      <w:r>
        <w:t xml:space="preserve">(脱字,</w:t>
      </w:r>
      <w:r>
        <w:t xml:space="preserve"> </w:t>
      </w:r>
      <w:r>
        <w:rPr>
          <w:iCs/>
          <w:i/>
        </w:rPr>
        <w:t xml:space="preserve">datsuji</w:t>
      </w:r>
      <w:r>
        <w:t xml:space="preserve">),</w:t>
      </w:r>
      <w:r>
        <w:t xml:space="preserve"> </w:t>
      </w:r>
      <w:r>
        <w:rPr>
          <w:rStyle w:val="VerbatimChar"/>
          <w:bCs/>
          <w:b/>
        </w:rPr>
        <w:t xml:space="preserve">Superfluous Characters</w:t>
      </w:r>
      <w:r>
        <w:t xml:space="preserve"> </w:t>
      </w:r>
      <w:r>
        <w:t xml:space="preserve">(衍字,</w:t>
      </w:r>
      <w:r>
        <w:t xml:space="preserve"> </w:t>
      </w:r>
      <w:r>
        <w:rPr>
          <w:iCs/>
          <w:i/>
        </w:rPr>
        <w:t xml:space="preserve">enji</w:t>
      </w:r>
      <w:r>
        <w:t xml:space="preserve">), interpolations (補入,</w:t>
      </w:r>
      <w:r>
        <w:t xml:space="preserve"> </w:t>
      </w:r>
      <w:r>
        <w:rPr>
          <w:iCs/>
          <w:i/>
        </w:rPr>
        <w:t xml:space="preserve">honyū</w:t>
      </w:r>
      <w:r>
        <w:t xml:space="preserve">),</w:t>
      </w:r>
      <w:r>
        <w:t xml:space="preserve"> </w:t>
      </w:r>
      <w:r>
        <w:rPr>
          <w:rStyle w:val="VerbatimChar"/>
          <w:bCs/>
          <w:b/>
        </w:rPr>
        <w:t xml:space="preserve">Embedded Items</w:t>
      </w:r>
      <w:r>
        <w:t xml:space="preserve"> </w:t>
      </w:r>
      <w:r>
        <w:t xml:space="preserve">(埋字,</w:t>
      </w:r>
      <w:r>
        <w:t xml:space="preserve"> </w:t>
      </w:r>
      <w:r>
        <w:rPr>
          <w:iCs/>
          <w:i/>
        </w:rPr>
        <w:t xml:space="preserve">umeji</w:t>
      </w:r>
      <w:r>
        <w:t xml:space="preserve">; referring to entries incorporated within another entry),</w:t>
      </w:r>
      <w:r>
        <w:t xml:space="preserve"> </w:t>
      </w:r>
      <w:r>
        <w:rPr>
          <w:rStyle w:val="VerbatimChar"/>
          <w:bCs/>
          <w:b/>
        </w:rPr>
        <w:t xml:space="preserve">Substitution Marks</w:t>
      </w:r>
      <w:r>
        <w:t xml:space="preserve"> </w:t>
      </w:r>
      <w:r>
        <w:t xml:space="preserve">(代用符号,</w:t>
      </w:r>
      <w:r>
        <w:t xml:space="preserve"> </w:t>
      </w:r>
      <w:r>
        <w:rPr>
          <w:iCs/>
          <w:i/>
        </w:rPr>
        <w:t xml:space="preserve">daiyō fugō</w:t>
      </w:r>
      <w:r>
        <w:t xml:space="preserve">), and</w:t>
      </w:r>
      <w:r>
        <w:t xml:space="preserve"> </w:t>
      </w:r>
      <w:r>
        <w:rPr>
          <w:rStyle w:val="VerbatimChar"/>
          <w:bCs/>
          <w:b/>
        </w:rPr>
        <w:t xml:space="preserve">Iteration Marks</w:t>
      </w:r>
      <w:r>
        <w:t xml:space="preserve"> </w:t>
      </w:r>
      <w:r>
        <w:t xml:space="preserve">(踊り字,</w:t>
      </w:r>
      <w:r>
        <w:t xml:space="preserve"> </w:t>
      </w:r>
      <w:r>
        <w:rPr>
          <w:iCs/>
          <w:i/>
        </w:rPr>
        <w:t xml:space="preserve">odoriji</w:t>
      </w:r>
      <w:r>
        <w:t xml:space="preserve">). Following this discussion, it will proceed to calculate the</w:t>
      </w:r>
      <w:r>
        <w:t xml:space="preserve"> </w:t>
      </w:r>
      <w:r>
        <w:rPr>
          <w:iCs/>
          <w:i/>
        </w:rPr>
        <w:t xml:space="preserve">keishutsuji-sū</w:t>
      </w:r>
      <w:r>
        <w:t xml:space="preserve"> </w:t>
      </w:r>
      <w:r>
        <w:t xml:space="preserve">(掲出字数). The</w:t>
      </w:r>
      <w:r>
        <w:t xml:space="preserve"> </w:t>
      </w:r>
      <w:r>
        <w:rPr>
          <w:iCs/>
          <w:i/>
        </w:rPr>
        <w:t xml:space="preserve">keishutsuji-sū</w:t>
      </w:r>
      <w:r>
        <w:t xml:space="preserve"> </w:t>
      </w:r>
      <w:r>
        <w:t xml:space="preserve">refers to the total number of characters that constitute all</w:t>
      </w:r>
      <w:r>
        <w:t xml:space="preserve"> </w:t>
      </w:r>
      <w:r>
        <w:rPr>
          <w:rStyle w:val="VerbatimChar"/>
          <w:bCs/>
          <w:b/>
        </w:rPr>
        <w:t xml:space="preserve">Headwords</w:t>
      </w:r>
      <w:r>
        <w:t xml:space="preserve">.</w:t>
      </w:r>
    </w:p>
    <w:p>
      <w:pPr>
        <w:pStyle w:val="BodyText"/>
      </w:pPr>
      <w:r>
        <w:t xml:space="preserve">Then, based on the results of this</w:t>
      </w:r>
      <w:r>
        <w:t xml:space="preserve"> </w:t>
      </w:r>
      <w:r>
        <w:rPr>
          <w:iCs/>
          <w:i/>
        </w:rPr>
        <w:t xml:space="preserve">keishutsuji-sū</w:t>
      </w:r>
      <w:r>
        <w:t xml:space="preserve"> </w:t>
      </w:r>
      <w:r>
        <w:t xml:space="preserve">calculation, the number of</w:t>
      </w:r>
      <w:r>
        <w:t xml:space="preserve"> </w:t>
      </w:r>
      <w:r>
        <w:rPr>
          <w:rStyle w:val="VerbatimChar"/>
          <w:bCs/>
          <w:b/>
        </w:rPr>
        <w:t xml:space="preserve">Entries</w:t>
      </w:r>
      <w:r>
        <w:t xml:space="preserve"> </w:t>
      </w:r>
      <w:r>
        <w:t xml:space="preserve">(</w:t>
      </w:r>
      <w:r>
        <w:rPr>
          <w:iCs/>
          <w:i/>
        </w:rPr>
        <w:t xml:space="preserve">keishutsu kōmoku-sū</w:t>
      </w:r>
      <w:r>
        <w:t xml:space="preserve">, 掲出項目数) will also be calculated. The number of</w:t>
      </w:r>
      <w:r>
        <w:t xml:space="preserve"> </w:t>
      </w:r>
      <w:r>
        <w:rPr>
          <w:rStyle w:val="VerbatimChar"/>
          <w:bCs/>
          <w:b/>
        </w:rPr>
        <w:t xml:space="preserve">Entries</w:t>
      </w:r>
      <w:r>
        <w:t xml:space="preserve"> </w:t>
      </w:r>
      <w:r>
        <w:t xml:space="preserve">will be aggregated according to the number of characters constituting their</w:t>
      </w:r>
      <w:r>
        <w:t xml:space="preserve"> </w:t>
      </w:r>
      <w:r>
        <w:rPr>
          <w:rStyle w:val="VerbatimChar"/>
          <w:bCs/>
          <w:b/>
        </w:rPr>
        <w:t xml:space="preserve">Headwords</w:t>
      </w:r>
      <w:r>
        <w:t xml:space="preserve"> </w:t>
      </w:r>
      <w:r>
        <w:t xml:space="preserve">(e.g.,</w:t>
      </w:r>
      <w:r>
        <w:t xml:space="preserve"> </w:t>
      </w:r>
      <w:r>
        <w:rPr>
          <w:rStyle w:val="VerbatimChar"/>
          <w:bCs/>
          <w:b/>
        </w:rPr>
        <w:t xml:space="preserve">Entries</w:t>
      </w:r>
      <w:r>
        <w:t xml:space="preserve"> </w:t>
      </w:r>
      <w:r>
        <w:t xml:space="preserve">with single-character</w:t>
      </w:r>
      <w:r>
        <w:t xml:space="preserve"> </w:t>
      </w:r>
      <w:r>
        <w:rPr>
          <w:rStyle w:val="VerbatimChar"/>
          <w:bCs/>
          <w:b/>
        </w:rPr>
        <w:t xml:space="preserve">Headwords</w:t>
      </w:r>
      <w:r>
        <w:t xml:space="preserve">,</w:t>
      </w:r>
      <w:r>
        <w:t xml:space="preserve"> </w:t>
      </w:r>
      <w:r>
        <w:rPr>
          <w:rStyle w:val="VerbatimChar"/>
          <w:bCs/>
          <w:b/>
        </w:rPr>
        <w:t xml:space="preserve">Entries</w:t>
      </w:r>
      <w:r>
        <w:t xml:space="preserve"> </w:t>
      </w:r>
      <w:r>
        <w:t xml:space="preserve">with two-character</w:t>
      </w:r>
      <w:r>
        <w:t xml:space="preserve"> </w:t>
      </w:r>
      <w:r>
        <w:rPr>
          <w:rStyle w:val="VerbatimChar"/>
          <w:bCs/>
          <w:b/>
        </w:rPr>
        <w:t xml:space="preserve">Headwords</w:t>
      </w:r>
      <w:r>
        <w:t xml:space="preserve">, and so on).</w:t>
      </w:r>
    </w:p>
    <w:p>
      <w:pPr>
        <w:pStyle w:val="BodyText"/>
      </w:pPr>
      <w:r>
        <w:t xml:space="preserve">Finally, a list will be provided showing the</w:t>
      </w:r>
      <w:r>
        <w:t xml:space="preserve"> </w:t>
      </w:r>
      <w:r>
        <w:rPr>
          <w:iCs/>
          <w:i/>
        </w:rPr>
        <w:t xml:space="preserve">keishutsuji-sū</w:t>
      </w:r>
      <w:r>
        <w:t xml:space="preserve"> </w:t>
      </w:r>
      <w:r>
        <w:t xml:space="preserve">(total headword character count) and the number of</w:t>
      </w:r>
      <w:r>
        <w:t xml:space="preserve"> </w:t>
      </w:r>
      <w:r>
        <w:rPr>
          <w:rStyle w:val="VerbatimChar"/>
          <w:bCs/>
          <w:b/>
        </w:rPr>
        <w:t xml:space="preserve">Entries</w:t>
      </w:r>
      <w:r>
        <w:t xml:space="preserve"> </w:t>
      </w:r>
      <w:r>
        <w:t xml:space="preserve">(</w:t>
      </w:r>
      <w:r>
        <w:rPr>
          <w:iCs/>
          <w:i/>
        </w:rPr>
        <w:t xml:space="preserve">keishutsu kōmoku-sū</w:t>
      </w:r>
      <w:r>
        <w:t xml:space="preserve">) for each of the 120 radical sections of the</w:t>
      </w:r>
      <w:r>
        <w:t xml:space="preserve"> </w:t>
      </w:r>
      <w:r>
        <w:rPr>
          <w:iCs/>
          <w:i/>
        </w:rPr>
        <w:t xml:space="preserve">Myōgishō</w:t>
      </w:r>
      <w:r>
        <w:t xml:space="preserve">. In this listing, our calculated number of</w:t>
      </w:r>
      <w:r>
        <w:t xml:space="preserve"> </w:t>
      </w:r>
      <w:r>
        <w:rPr>
          <w:rStyle w:val="VerbatimChar"/>
          <w:bCs/>
          <w:b/>
        </w:rPr>
        <w:t xml:space="preserve">Entries</w:t>
      </w:r>
      <w:r>
        <w:t xml:space="preserve"> </w:t>
      </w:r>
      <w:r>
        <w:t xml:space="preserve">will be compared with the entry count calculated by Sakai Kenji, and any discrepancies between our calculations and his will also be explained.</w:t>
      </w:r>
    </w:p>
    <w:bookmarkStart w:id="275" w:name="Xb633d4a29cb8bd0aa0b4e1c3de7890c513439ef"/>
    <w:p>
      <w:pPr>
        <w:pStyle w:val="Heading2"/>
      </w:pPr>
      <w:r>
        <w:rPr>
          <w:rStyle w:val="SectionNumber"/>
        </w:rPr>
        <w:t xml:space="preserve">21.1</w:t>
      </w:r>
      <w:r>
        <w:tab/>
      </w:r>
      <w:r>
        <w:rPr>
          <w:rStyle w:val="VerbatimChar"/>
        </w:rPr>
        <w:t xml:space="preserve">Miswritten Characters</w:t>
      </w:r>
      <w:r>
        <w:t xml:space="preserve"> </w:t>
      </w:r>
      <w:r>
        <w:t xml:space="preserve">(</w:t>
      </w:r>
      <w:r>
        <w:rPr>
          <w:iCs/>
          <w:i/>
        </w:rPr>
        <w:t xml:space="preserve">goji</w:t>
      </w:r>
      <w:r>
        <w:t xml:space="preserve">)</w:t>
      </w:r>
    </w:p>
    <w:p>
      <w:pPr>
        <w:pStyle w:val="FirstParagraph"/>
      </w:pPr>
      <w:r>
        <w:t xml:space="preserve">Below are some examples of</w:t>
      </w:r>
      <w:r>
        <w:t xml:space="preserve"> </w:t>
      </w:r>
      <w:r>
        <w:rPr>
          <w:rStyle w:val="VerbatimChar"/>
          <w:bCs/>
          <w:b/>
        </w:rPr>
        <w:t xml:space="preserve">Miswritten Characters</w:t>
      </w:r>
      <w:r>
        <w:t xml:space="preserve"> </w:t>
      </w:r>
      <w:r>
        <w:t xml:space="preserve">(誤字,</w:t>
      </w:r>
      <w:r>
        <w:t xml:space="preserve"> </w:t>
      </w:r>
      <w:r>
        <w:rPr>
          <w:iCs/>
          <w:i/>
        </w:rPr>
        <w:t xml:space="preserve">goji</w:t>
      </w:r>
      <w:r>
        <w:t xml:space="preserve">) found in</w:t>
      </w:r>
      <w:r>
        <w:t xml:space="preserve"> </w:t>
      </w:r>
      <w:r>
        <w:rPr>
          <w:rStyle w:val="VerbatimChar"/>
          <w:bCs/>
          <w:b/>
        </w:rPr>
        <w:t xml:space="preserve">Headwords</w:t>
      </w:r>
      <w:r>
        <w:t xml:space="preserve">.</w:t>
      </w:r>
    </w:p>
    <w:p>
      <w:pPr>
        <w:pStyle w:val="BodyText"/>
      </w:pPr>
      <w:r>
        <w:t xml:space="preserve">The examples are presented by extracting relevant portions from</w:t>
      </w:r>
      <w:r>
        <w:t xml:space="preserve"> </w:t>
      </w:r>
      <w:r>
        <w:rPr>
          <w:rStyle w:val="VerbatimChar"/>
        </w:rPr>
        <w:t xml:space="preserve">krm_main.tsv</w:t>
      </w:r>
      <w:r>
        <w:t xml:space="preserve"> </w:t>
      </w:r>
      <w:r>
        <w:t xml:space="preserve">and adding the content of the</w:t>
      </w:r>
      <w:r>
        <w:t xml:space="preserve"> </w:t>
      </w:r>
      <w:r>
        <w:rPr>
          <w:rStyle w:val="VerbatimChar"/>
        </w:rPr>
        <w:t xml:space="preserve">remarks</w:t>
      </w:r>
      <w:r>
        <w:t xml:space="preserve"> </w:t>
      </w:r>
      <w:r>
        <w:t xml:space="preserve">column from</w:t>
      </w:r>
      <w:r>
        <w:t xml:space="preserve"> </w:t>
      </w:r>
      <w:r>
        <w:rPr>
          <w:rStyle w:val="VerbatimChar"/>
        </w:rPr>
        <w:t xml:space="preserve">krm_notes.tsv</w:t>
      </w:r>
      <w:r>
        <w:t xml:space="preserve">. For ease of reference, the Kazama Edition location is also shown as</w:t>
      </w:r>
      <w:r>
        <w:t xml:space="preserve"> </w:t>
      </w:r>
      <w:r>
        <w:rPr>
          <w:rStyle w:val="VerbatimChar"/>
        </w:rPr>
        <w:t xml:space="preserve">kazama_location</w:t>
      </w:r>
      <w:r>
        <w:t xml:space="preserve">. For instance,</w:t>
      </w:r>
      <w:r>
        <w:t xml:space="preserve"> </w:t>
      </w:r>
      <w:r>
        <w:rPr>
          <w:rStyle w:val="VerbatimChar"/>
        </w:rPr>
        <w:t xml:space="preserve">K02008840</w:t>
      </w:r>
      <w:r>
        <w:t xml:space="preserve"> </w:t>
      </w:r>
      <w:r>
        <w:t xml:space="preserve">indicates an appearance in Volume 2 (仏中,</w:t>
      </w:r>
      <w:r>
        <w:t xml:space="preserve"> </w:t>
      </w:r>
      <w:r>
        <w:rPr>
          <w:iCs/>
          <w:i/>
        </w:rPr>
        <w:t xml:space="preserve">Butsuchū</w:t>
      </w:r>
      <w:r>
        <w:t xml:space="preserve">), Page 8, Line 8, Segment 4 (the explanation for the last digit, which represents character order within the segment, is omitted here).</w:t>
      </w:r>
    </w:p>
    <w:p>
      <w:pPr>
        <w:pStyle w:val="BodyText"/>
      </w:pPr>
      <w:r>
        <w:t xml:space="preserve">The first example is relatively straightforward.</w:t>
      </w:r>
    </w:p>
    <w:p>
      <w:pPr>
        <w:pStyle w:val="BodyText"/>
      </w:pPr>
      <w:r>
        <w:rPr>
          <w:bCs/>
          <w:b/>
        </w:rPr>
        <w:t xml:space="preserve">Example:</w:t>
      </w:r>
      <w:r>
        <w:t xml:space="preserve"> </w:t>
      </w:r>
      <w:r>
        <w:t xml:space="preserve">*</w:t>
      </w:r>
      <w:r>
        <w:t xml:space="preserve"> </w:t>
      </w:r>
      <w:r>
        <w:rPr>
          <w:rStyle w:val="VerbatimChar"/>
        </w:rPr>
        <w:t xml:space="preserve">kazama_location</w:t>
      </w:r>
      <w:r>
        <w:t xml:space="preserve">: K02008840</w:t>
      </w:r>
      <w:r>
        <w:t xml:space="preserve"> </w:t>
      </w:r>
      <w:r>
        <w:t xml:space="preserve">*</w:t>
      </w:r>
      <w:r>
        <w:t xml:space="preserve"> </w:t>
      </w:r>
      <w:r>
        <w:rPr>
          <w:rStyle w:val="VerbatimChar"/>
        </w:rPr>
        <w:t xml:space="preserve">hanzi_entry</w:t>
      </w:r>
      <w:r>
        <w:t xml:space="preserve">: 姡</w:t>
      </w:r>
      <w:r>
        <w:t xml:space="preserve"> </w:t>
      </w:r>
      <w:r>
        <w:t xml:space="preserve">*</w:t>
      </w:r>
      <w:r>
        <w:t xml:space="preserve"> </w:t>
      </w:r>
      <w:r>
        <w:rPr>
          <w:rStyle w:val="VerbatimChar"/>
        </w:rPr>
        <w:t xml:space="preserve">original_entry</w:t>
      </w:r>
      <w:r>
        <w:t xml:space="preserve">: 活</w:t>
      </w:r>
      <w:r>
        <w:t xml:space="preserve"> </w:t>
      </w:r>
      <w:r>
        <w:t xml:space="preserve">*</w:t>
      </w:r>
      <w:r>
        <w:t xml:space="preserve"> </w:t>
      </w:r>
      <w:r>
        <w:rPr>
          <w:rStyle w:val="VerbatimChar"/>
        </w:rPr>
        <w:t xml:space="preserve">definition</w:t>
      </w:r>
      <w:r>
        <w:t xml:space="preserve">: 今</w:t>
      </w:r>
      <w:r>
        <w:t xml:space="preserve"> </w:t>
      </w:r>
      <w:r>
        <w:t xml:space="preserve">*</w:t>
      </w:r>
      <w:r>
        <w:t xml:space="preserve"> </w:t>
      </w:r>
      <w:r>
        <w:rPr>
          <w:rStyle w:val="VerbatimChar"/>
        </w:rPr>
        <w:t xml:space="preserve">remarks</w:t>
      </w:r>
      <w:r>
        <w:t xml:space="preserve">: The</w:t>
      </w:r>
      <w:r>
        <w:t xml:space="preserve"> </w:t>
      </w:r>
      <w:r>
        <w:rPr>
          <w:rStyle w:val="VerbatimChar"/>
          <w:bCs/>
          <w:b/>
        </w:rPr>
        <w:t xml:space="preserve">Headword</w:t>
      </w:r>
      <w:r>
        <w:t xml:space="preserve"> </w:t>
      </w:r>
      <w:r>
        <w:t xml:space="preserve">is a scribal error. It has been corrected to</w:t>
      </w:r>
      <w:r>
        <w:t xml:space="preserve"> </w:t>
      </w:r>
      <w:r>
        <w:t xml:space="preserve">‘</w:t>
      </w:r>
      <w:r>
        <w:t xml:space="preserve">姡</w:t>
      </w:r>
      <w:r>
        <w:t xml:space="preserve">’</w:t>
      </w:r>
      <w:r>
        <w:t xml:space="preserve"> </w:t>
      </w:r>
      <w:r>
        <w:t xml:space="preserve">based on the Kōzan-ji, Renshō-in, and Sainen-ji manuscripts, all of which have</w:t>
      </w:r>
      <w:r>
        <w:t xml:space="preserve"> </w:t>
      </w:r>
      <w:r>
        <w:t xml:space="preserve">‘</w:t>
      </w:r>
      <w:r>
        <w:t xml:space="preserve">姡</w:t>
      </w:r>
      <w:r>
        <w:t xml:space="preserve">’</w:t>
      </w:r>
      <w:r>
        <w:t xml:space="preserve">.</w:t>
      </w:r>
    </w:p>
    <w:p>
      <w:pPr>
        <w:pStyle w:val="BodyText"/>
      </w:pPr>
      <w:r>
        <w:t xml:space="preserve">This example is a</w:t>
      </w:r>
      <w:r>
        <w:t xml:space="preserve"> </w:t>
      </w:r>
      <w:r>
        <w:rPr>
          <w:rStyle w:val="VerbatimChar"/>
          <w:bCs/>
          <w:b/>
        </w:rPr>
        <w:t xml:space="preserve">Headword</w:t>
      </w:r>
      <w:r>
        <w:t xml:space="preserve"> </w:t>
      </w:r>
      <w:r>
        <w:t xml:space="preserve">from the</w:t>
      </w:r>
      <w:r>
        <w:t xml:space="preserve"> </w:t>
      </w:r>
      <w:r>
        <w:t xml:space="preserve">“</w:t>
      </w:r>
      <w:r>
        <w:t xml:space="preserve">女</w:t>
      </w:r>
      <w:r>
        <w:t xml:space="preserve">”</w:t>
      </w:r>
      <w:r>
        <w:t xml:space="preserve"> </w:t>
      </w:r>
      <w:r>
        <w:t xml:space="preserve">(woman) radical section. Since other manuscripts (異本,</w:t>
      </w:r>
      <w:r>
        <w:t xml:space="preserve"> </w:t>
      </w:r>
      <w:r>
        <w:rPr>
          <w:iCs/>
          <w:i/>
        </w:rPr>
        <w:t xml:space="preserve">ihon</w:t>
      </w:r>
      <w:r>
        <w:t xml:space="preserve">) have the character</w:t>
      </w:r>
      <w:r>
        <w:t xml:space="preserve"> </w:t>
      </w:r>
      <w:r>
        <w:t xml:space="preserve">‘</w:t>
      </w:r>
      <w:r>
        <w:t xml:space="preserve">姡</w:t>
      </w:r>
      <w:r>
        <w:t xml:space="preserve">’</w:t>
      </w:r>
      <w:r>
        <w:t xml:space="preserve"> </w:t>
      </w:r>
      <w:r>
        <w:t xml:space="preserve">(with the</w:t>
      </w:r>
      <w:r>
        <w:t xml:space="preserve"> </w:t>
      </w:r>
      <w:r>
        <w:t xml:space="preserve">“</w:t>
      </w:r>
      <w:r>
        <w:t xml:space="preserve">女</w:t>
      </w:r>
      <w:r>
        <w:t xml:space="preserve">”</w:t>
      </w:r>
      <w:r>
        <w:t xml:space="preserve"> </w:t>
      </w:r>
      <w:r>
        <w:t xml:space="preserve">woman radical), it is clear that there is a scribal error in the Kanchi-in manuscript.</w:t>
      </w:r>
    </w:p>
    <w:p>
      <w:pPr>
        <w:pStyle w:val="BodyText"/>
      </w:pPr>
      <w:r>
        <w:t xml:space="preserve">The following is an example where it is difficult to determine whether the</w:t>
      </w:r>
      <w:r>
        <w:t xml:space="preserve"> </w:t>
      </w:r>
      <w:r>
        <w:rPr>
          <w:rStyle w:val="VerbatimChar"/>
          <w:bCs/>
          <w:b/>
        </w:rPr>
        <w:t xml:space="preserve">Headword</w:t>
      </w:r>
      <w:r>
        <w:t xml:space="preserve"> </w:t>
      </w:r>
      <w:r>
        <w:t xml:space="preserve">is a</w:t>
      </w:r>
      <w:r>
        <w:t xml:space="preserve"> </w:t>
      </w:r>
      <w:r>
        <w:rPr>
          <w:rStyle w:val="VerbatimChar"/>
          <w:bCs/>
          <w:b/>
        </w:rPr>
        <w:t xml:space="preserve">Miswritten Character</w:t>
      </w:r>
      <w:r>
        <w:t xml:space="preserve">.</w:t>
      </w:r>
    </w:p>
    <w:p>
      <w:pPr>
        <w:pStyle w:val="BodyText"/>
      </w:pPr>
      <w:r>
        <w:rPr>
          <w:bCs/>
          <w:b/>
        </w:rPr>
        <w:t xml:space="preserve">Example:</w:t>
      </w:r>
    </w:p>
    <w:p>
      <w:pPr>
        <w:numPr>
          <w:ilvl w:val="0"/>
          <w:numId w:val="1186"/>
        </w:numPr>
        <w:pStyle w:val="Compact"/>
      </w:pPr>
      <w:r>
        <w:rPr>
          <w:rStyle w:val="VerbatimChar"/>
        </w:rPr>
        <w:t xml:space="preserve">kazama_location</w:t>
      </w:r>
      <w:r>
        <w:t xml:space="preserve">: K01045610</w:t>
      </w:r>
    </w:p>
    <w:p>
      <w:pPr>
        <w:numPr>
          <w:ilvl w:val="0"/>
          <w:numId w:val="1186"/>
        </w:numPr>
        <w:pStyle w:val="Compact"/>
      </w:pPr>
      <w:r>
        <w:rPr>
          <w:rStyle w:val="VerbatimChar"/>
        </w:rPr>
        <w:t xml:space="preserve">hanzi_entry</w:t>
      </w:r>
      <w:r>
        <w:t xml:space="preserve">: 迷</w:t>
      </w:r>
    </w:p>
    <w:p>
      <w:pPr>
        <w:numPr>
          <w:ilvl w:val="0"/>
          <w:numId w:val="1186"/>
        </w:numPr>
        <w:pStyle w:val="Compact"/>
      </w:pPr>
      <w:r>
        <w:rPr>
          <w:rStyle w:val="VerbatimChar"/>
        </w:rPr>
        <w:t xml:space="preserve">original_entry</w:t>
      </w:r>
      <w:r>
        <w:t xml:space="preserve">: 〇</w:t>
      </w:r>
    </w:p>
    <w:p>
      <w:pPr>
        <w:numPr>
          <w:ilvl w:val="0"/>
          <w:numId w:val="1186"/>
        </w:numPr>
        <w:pStyle w:val="Compact"/>
      </w:pPr>
      <w:r>
        <w:rPr>
          <w:rStyle w:val="VerbatimChar"/>
        </w:rPr>
        <w:t xml:space="preserve">definition</w:t>
      </w:r>
      <w:r>
        <w:t xml:space="preserve">: 俗悉字　私逸反</w:t>
      </w:r>
    </w:p>
    <w:p>
      <w:pPr>
        <w:numPr>
          <w:ilvl w:val="0"/>
          <w:numId w:val="1186"/>
        </w:numPr>
        <w:pStyle w:val="Compact"/>
      </w:pPr>
      <w:r>
        <w:rPr>
          <w:rStyle w:val="VerbatimChar"/>
        </w:rPr>
        <w:t xml:space="preserve">remarks</w:t>
      </w:r>
      <w:r>
        <w:t xml:space="preserve">: Is the</w:t>
      </w:r>
      <w:r>
        <w:t xml:space="preserve"> </w:t>
      </w:r>
      <w:r>
        <w:rPr>
          <w:rStyle w:val="VerbatimChar"/>
          <w:bCs/>
          <w:b/>
        </w:rPr>
        <w:t xml:space="preserve">Headword</w:t>
      </w:r>
      <w:r>
        <w:t xml:space="preserve"> </w:t>
      </w:r>
      <w:r>
        <w:t xml:space="preserve">‘</w:t>
      </w:r>
      <w:r>
        <w:t xml:space="preserve">迷</w:t>
      </w:r>
      <w:r>
        <w:t xml:space="preserve">’</w:t>
      </w:r>
      <w:r>
        <w:t xml:space="preserve"> </w:t>
      </w:r>
      <w:r>
        <w:t xml:space="preserve">a glyph form that evolved from</w:t>
      </w:r>
      <w:r>
        <w:t xml:space="preserve"> </w:t>
      </w:r>
      <w:r>
        <w:t xml:space="preserve">‘</w:t>
      </w:r>
      <w:r>
        <w:t xml:space="preserve">⿺辶半</w:t>
      </w:r>
      <w:r>
        <w:t xml:space="preserve">’</w:t>
      </w:r>
      <w:r>
        <w:t xml:space="preserve">, a</w:t>
      </w:r>
      <w:r>
        <w:t xml:space="preserve"> </w:t>
      </w:r>
      <w:r>
        <w:rPr>
          <w:rStyle w:val="VerbatimChar"/>
          <w:bCs/>
          <w:b/>
        </w:rPr>
        <w:t xml:space="preserve">variant character</w:t>
      </w:r>
      <w:r>
        <w:rPr>
          <w:bCs/>
          <w:b/>
        </w:rPr>
        <w:t xml:space="preserve"> </w:t>
      </w:r>
      <w:r>
        <w:rPr>
          <w:bCs/>
          <w:b/>
        </w:rPr>
        <w:t xml:space="preserve">(</w:t>
      </w:r>
      <w:r>
        <w:rPr>
          <w:iCs/>
          <w:i/>
          <w:bCs/>
          <w:b/>
        </w:rPr>
        <w:t xml:space="preserve">itaiji</w:t>
      </w:r>
      <w:r>
        <w:rPr>
          <w:bCs/>
          <w:b/>
        </w:rPr>
        <w:t xml:space="preserve">)</w:t>
      </w:r>
      <w:r>
        <w:t xml:space="preserve"> </w:t>
      </w:r>
      <w:r>
        <w:t xml:space="preserve">of</w:t>
      </w:r>
      <w:r>
        <w:t xml:space="preserve"> </w:t>
      </w:r>
      <w:r>
        <w:t xml:space="preserve">‘</w:t>
      </w:r>
      <w:r>
        <w:t xml:space="preserve">悉</w:t>
      </w:r>
      <w:r>
        <w:t xml:space="preserve">’</w:t>
      </w:r>
      <w:r>
        <w:t xml:space="preserve">?</w:t>
      </w:r>
    </w:p>
    <w:p>
      <w:pPr>
        <w:pStyle w:val="FirstParagraph"/>
      </w:pPr>
      <w:r>
        <w:t xml:space="preserve">In this example, the</w:t>
      </w:r>
      <w:r>
        <w:t xml:space="preserve"> </w:t>
      </w:r>
      <w:r>
        <w:rPr>
          <w:rStyle w:val="VerbatimChar"/>
          <w:bCs/>
          <w:b/>
        </w:rPr>
        <w:t xml:space="preserve">Headword</w:t>
      </w:r>
      <w:r>
        <w:t xml:space="preserve"> </w:t>
      </w:r>
      <w:r>
        <w:t xml:space="preserve">‘</w:t>
      </w:r>
      <w:r>
        <w:t xml:space="preserve">迷</w:t>
      </w:r>
      <w:r>
        <w:t xml:space="preserve">’</w:t>
      </w:r>
      <w:r>
        <w:t xml:space="preserve"> </w:t>
      </w:r>
      <w:r>
        <w:t xml:space="preserve">has the</w:t>
      </w:r>
      <w:r>
        <w:t xml:space="preserve"> </w:t>
      </w:r>
      <w:r>
        <w:rPr>
          <w:rStyle w:val="VerbatimChar"/>
          <w:bCs/>
          <w:b/>
        </w:rPr>
        <w:t xml:space="preserve">Note on Character Form</w:t>
      </w:r>
      <w:r>
        <w:t xml:space="preserve"> </w:t>
      </w:r>
      <w:r>
        <w:t xml:space="preserve">“</w:t>
      </w:r>
      <w:r>
        <w:t xml:space="preserve">俗悉字</w:t>
      </w:r>
      <w:r>
        <w:t xml:space="preserve">”</w:t>
      </w:r>
      <w:r>
        <w:t xml:space="preserve"> </w:t>
      </w:r>
      <w:r>
        <w:t xml:space="preserve">(</w:t>
      </w:r>
      <w:r>
        <w:rPr>
          <w:iCs/>
          <w:i/>
        </w:rPr>
        <w:t xml:space="preserve">zoku Shitsu ji</w:t>
      </w:r>
      <w:r>
        <w:t xml:space="preserve">;</w:t>
      </w:r>
      <w:r>
        <w:t xml:space="preserve"> </w:t>
      </w:r>
      <w:r>
        <w:t xml:space="preserve">“</w:t>
      </w:r>
      <w:r>
        <w:t xml:space="preserve">popular form of 悉</w:t>
      </w:r>
      <w:r>
        <w:t xml:space="preserve">”</w:t>
      </w:r>
      <w:r>
        <w:t xml:space="preserve">) in its</w:t>
      </w:r>
      <w:r>
        <w:t xml:space="preserve"> </w:t>
      </w:r>
      <w:r>
        <w:rPr>
          <w:rStyle w:val="VerbatimChar"/>
          <w:bCs/>
          <w:b/>
        </w:rPr>
        <w:t xml:space="preserve">Original Glosses</w:t>
      </w:r>
      <w:r>
        <w:t xml:space="preserve">, indicating it is treated as a</w:t>
      </w:r>
      <w:r>
        <w:t xml:space="preserve"> </w:t>
      </w:r>
      <w:r>
        <w:t xml:space="preserve">‘</w:t>
      </w:r>
      <w:r>
        <w:t xml:space="preserve">popular</w:t>
      </w:r>
      <w:r>
        <w:t xml:space="preserve">’</w:t>
      </w:r>
      <w:r>
        <w:t xml:space="preserve"> </w:t>
      </w:r>
      <w:r>
        <w:t xml:space="preserve">form of</w:t>
      </w:r>
      <w:r>
        <w:t xml:space="preserve"> </w:t>
      </w:r>
      <w:r>
        <w:t xml:space="preserve">‘</w:t>
      </w:r>
      <w:r>
        <w:t xml:space="preserve">悉</w:t>
      </w:r>
      <w:r>
        <w:t xml:space="preserve">’</w:t>
      </w:r>
      <w:r>
        <w:t xml:space="preserve">. However,</w:t>
      </w:r>
      <w:r>
        <w:t xml:space="preserve"> </w:t>
      </w:r>
      <w:r>
        <w:t xml:space="preserve">‘</w:t>
      </w:r>
      <w:r>
        <w:t xml:space="preserve">迷</w:t>
      </w:r>
      <w:r>
        <w:t xml:space="preserve">’</w:t>
      </w:r>
      <w:r>
        <w:t xml:space="preserve"> </w:t>
      </w:r>
      <w:r>
        <w:t xml:space="preserve">and</w:t>
      </w:r>
      <w:r>
        <w:t xml:space="preserve"> </w:t>
      </w:r>
      <w:r>
        <w:t xml:space="preserve">‘</w:t>
      </w:r>
      <w:r>
        <w:t xml:space="preserve">悉</w:t>
      </w:r>
      <w:r>
        <w:t xml:space="preserve">’</w:t>
      </w:r>
      <w:r>
        <w:t xml:space="preserve"> </w:t>
      </w:r>
      <w:r>
        <w:t xml:space="preserve">are distinct characters, and to connect them, a scribal error must be assumed. It is presumed that this form arose from writing the</w:t>
      </w:r>
      <w:r>
        <w:t xml:space="preserve"> </w:t>
      </w:r>
      <w:r>
        <w:t xml:space="preserve">‘</w:t>
      </w:r>
      <w:r>
        <w:t xml:space="preserve">心</w:t>
      </w:r>
      <w:r>
        <w:t xml:space="preserve">’</w:t>
      </w:r>
      <w:r>
        <w:t xml:space="preserve"> </w:t>
      </w:r>
      <w:r>
        <w:t xml:space="preserve">(heart) component at the bottom of</w:t>
      </w:r>
      <w:r>
        <w:t xml:space="preserve"> </w:t>
      </w:r>
      <w:r>
        <w:t xml:space="preserve">‘</w:t>
      </w:r>
      <w:r>
        <w:t xml:space="preserve">悉</w:t>
      </w:r>
      <w:r>
        <w:t xml:space="preserve">’</w:t>
      </w:r>
      <w:r>
        <w:t xml:space="preserve"> </w:t>
      </w:r>
      <w:r>
        <w:t xml:space="preserve">in a way that resembles</w:t>
      </w:r>
      <w:r>
        <w:t xml:space="preserve"> </w:t>
      </w:r>
      <w:r>
        <w:t xml:space="preserve">‘</w:t>
      </w:r>
      <w:r>
        <w:t xml:space="preserve">辶</w:t>
      </w:r>
      <w:r>
        <w:t xml:space="preserve">’</w:t>
      </w:r>
      <w:r>
        <w:t xml:space="preserve"> </w:t>
      </w:r>
      <w:r>
        <w:t xml:space="preserve">(motion radical). This is an example where a</w:t>
      </w:r>
      <w:r>
        <w:t xml:space="preserve"> </w:t>
      </w:r>
      <w:r>
        <w:rPr>
          <w:rStyle w:val="VerbatimChar"/>
          <w:bCs/>
          <w:b/>
        </w:rPr>
        <w:t xml:space="preserve">variant character</w:t>
      </w:r>
      <w:r>
        <w:rPr>
          <w:bCs/>
          <w:b/>
        </w:rPr>
        <w:t xml:space="preserve"> </w:t>
      </w:r>
      <w:r>
        <w:rPr>
          <w:bCs/>
          <w:b/>
        </w:rPr>
        <w:t xml:space="preserve">(</w:t>
      </w:r>
      <w:r>
        <w:rPr>
          <w:iCs/>
          <w:i/>
          <w:bCs/>
          <w:b/>
        </w:rPr>
        <w:t xml:space="preserve">itaiji</w:t>
      </w:r>
      <w:r>
        <w:rPr>
          <w:bCs/>
          <w:b/>
        </w:rPr>
        <w:t xml:space="preserve">)</w:t>
      </w:r>
      <w:r>
        <w:t xml:space="preserve"> </w:t>
      </w:r>
      <w:r>
        <w:t xml:space="preserve">of</w:t>
      </w:r>
      <w:r>
        <w:t xml:space="preserve"> </w:t>
      </w:r>
      <w:r>
        <w:t xml:space="preserve">‘</w:t>
      </w:r>
      <w:r>
        <w:t xml:space="preserve">悉</w:t>
      </w:r>
      <w:r>
        <w:t xml:space="preserve">’</w:t>
      </w:r>
      <w:r>
        <w:t xml:space="preserve"> </w:t>
      </w:r>
      <w:r>
        <w:t xml:space="preserve">appears to have been conflated with, or graphically evolved towards, the character</w:t>
      </w:r>
      <w:r>
        <w:t xml:space="preserve"> </w:t>
      </w:r>
      <w:r>
        <w:t xml:space="preserve">‘</w:t>
      </w:r>
      <w:r>
        <w:t xml:space="preserve">迷</w:t>
      </w:r>
      <w:r>
        <w:t xml:space="preserve">’</w:t>
      </w:r>
      <w:r>
        <w:t xml:space="preserve">.</w:t>
      </w:r>
    </w:p>
    <w:p>
      <w:pPr>
        <w:pStyle w:val="BodyText"/>
      </w:pPr>
      <w:r>
        <w:t xml:space="preserve">The hypothesized process of change from</w:t>
      </w:r>
      <w:r>
        <w:t xml:space="preserve"> </w:t>
      </w:r>
      <w:r>
        <w:t xml:space="preserve">‘</w:t>
      </w:r>
      <w:r>
        <w:t xml:space="preserve">悉</w:t>
      </w:r>
      <w:r>
        <w:t xml:space="preserve">’</w:t>
      </w:r>
      <w:r>
        <w:t xml:space="preserve"> </w:t>
      </w:r>
      <w:r>
        <w:t xml:space="preserve">to</w:t>
      </w:r>
      <w:r>
        <w:t xml:space="preserve"> </w:t>
      </w:r>
      <w:r>
        <w:t xml:space="preserve">‘</w:t>
      </w:r>
      <w:r>
        <w:t xml:space="preserve">迷</w:t>
      </w:r>
      <w:r>
        <w:t xml:space="preserve">’</w:t>
      </w:r>
      <w:r>
        <w:t xml:space="preserve"> </w:t>
      </w:r>
      <w:r>
        <w:t xml:space="preserve">can be illustrated as follows:</w:t>
      </w:r>
    </w:p>
    <w:p>
      <w:pPr>
        <w:pStyle w:val="BodyText"/>
      </w:pPr>
      <w:r>
        <w:drawing>
          <wp:inline>
            <wp:extent cx="476250" cy="476250"/>
            <wp:effectExtent b="0" l="0" r="0" t="0"/>
            <wp:docPr descr="悉" title="" id="257" name="Picture"/>
            <a:graphic>
              <a:graphicData uri="http://schemas.openxmlformats.org/drawingml/2006/picture">
                <pic:pic>
                  <pic:nvPicPr>
                    <pic:cNvPr descr="https://glyphwiki.org/glyph/u6089.50px.png" id="258" name="Picture"/>
                    <pic:cNvPicPr>
                      <a:picLocks noChangeArrowheads="1" noChangeAspect="1"/>
                    </pic:cNvPicPr>
                  </pic:nvPicPr>
                  <pic:blipFill>
                    <a:blip r:embed="rId256"/>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w:t>
      </w:r>
      <w:r>
        <w:t xml:space="preserve"> </w:t>
      </w:r>
      <w:r>
        <w:drawing>
          <wp:inline>
            <wp:extent cx="635000" cy="635000"/>
            <wp:effectExtent b="0" l="0" r="0" t="0"/>
            <wp:docPr descr="𢘻" title="" id="260" name="Picture"/>
            <a:graphic>
              <a:graphicData uri="http://schemas.openxmlformats.org/drawingml/2006/picture">
                <pic:pic>
                  <pic:nvPicPr>
                    <pic:cNvPr descr="https://glyphwiki.org/glyph/u2263b.50px.png" id="261" name="Picture"/>
                    <pic:cNvPicPr>
                      <a:picLocks noChangeArrowheads="1" noChangeAspect="1"/>
                    </pic:cNvPicPr>
                  </pic:nvPicPr>
                  <pic:blipFill>
                    <a:blip r:embed="rId259"/>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w:t>
      </w:r>
      <w:r>
        <w:t xml:space="preserve"> </w:t>
      </w:r>
      <w:r>
        <w:drawing>
          <wp:inline>
            <wp:extent cx="635000" cy="635000"/>
            <wp:effectExtent b="0" l="0" r="0" t="0"/>
            <wp:docPr descr="𭜧" title="" id="263" name="Picture"/>
            <a:graphic>
              <a:graphicData uri="http://schemas.openxmlformats.org/drawingml/2006/picture">
                <pic:pic>
                  <pic:nvPicPr>
                    <pic:cNvPr descr="https://glyphwiki.org/glyph/u2d727-j.50px.png" id="264" name="Picture"/>
                    <pic:cNvPicPr>
                      <a:picLocks noChangeArrowheads="1" noChangeAspect="1"/>
                    </pic:cNvPicPr>
                  </pic:nvPicPr>
                  <pic:blipFill>
                    <a:blip r:embed="rId262"/>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w:t>
      </w:r>
      <w:r>
        <w:t xml:space="preserve"> </w:t>
      </w:r>
      <w:r>
        <w:drawing>
          <wp:inline>
            <wp:extent cx="476250" cy="476250"/>
            <wp:effectExtent b="0" l="0" r="0" t="0"/>
            <wp:docPr descr="𨒃" title="" id="266" name="Picture"/>
            <a:graphic>
              <a:graphicData uri="http://schemas.openxmlformats.org/drawingml/2006/picture">
                <pic:pic>
                  <pic:nvPicPr>
                    <pic:cNvPr descr="https://glyphwiki.org/glyph/u28483-g.50px.png" id="267" name="Picture"/>
                    <pic:cNvPicPr>
                      <a:picLocks noChangeArrowheads="1" noChangeAspect="1"/>
                    </pic:cNvPicPr>
                  </pic:nvPicPr>
                  <pic:blipFill>
                    <a:blip r:embed="rId265"/>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w:t>
      </w:r>
      <w:r>
        <w:t xml:space="preserve"> </w:t>
      </w:r>
      <w:r>
        <w:drawing>
          <wp:inline>
            <wp:extent cx="476250" cy="476250"/>
            <wp:effectExtent b="0" l="0" r="0" t="0"/>
            <wp:docPr descr="迷" title="" id="269" name="Picture"/>
            <a:graphic>
              <a:graphicData uri="http://schemas.openxmlformats.org/drawingml/2006/picture">
                <pic:pic>
                  <pic:nvPicPr>
                    <pic:cNvPr descr="https://glyphwiki.org/glyph/u8ff7.50px.png" id="270" name="Picture"/>
                    <pic:cNvPicPr>
                      <a:picLocks noChangeArrowheads="1" noChangeAspect="1"/>
                    </pic:cNvPicPr>
                  </pic:nvPicPr>
                  <pic:blipFill>
                    <a:blip r:embed="rId268"/>
                    <a:stretch>
                      <a:fillRect/>
                    </a:stretch>
                  </pic:blipFill>
                  <pic:spPr bwMode="auto">
                    <a:xfrm>
                      <a:off x="0" y="0"/>
                      <a:ext cx="476250" cy="476250"/>
                    </a:xfrm>
                    <a:prstGeom prst="rect">
                      <a:avLst/>
                    </a:prstGeom>
                    <a:noFill/>
                    <a:ln w="9525">
                      <a:noFill/>
                      <a:headEnd/>
                      <a:tailEnd/>
                    </a:ln>
                  </pic:spPr>
                </pic:pic>
              </a:graphicData>
            </a:graphic>
          </wp:inline>
        </w:drawing>
      </w:r>
    </w:p>
    <w:p>
      <w:pPr>
        <w:pStyle w:val="BodyText"/>
      </w:pPr>
      <w:r>
        <w:t xml:space="preserve">According to GlyphWiki, an example of</w:t>
      </w:r>
      <w:r>
        <w:t xml:space="preserve"> </w:t>
      </w:r>
      <w:r>
        <w:drawing>
          <wp:inline>
            <wp:extent cx="476250" cy="476250"/>
            <wp:effectExtent b="0" l="0" r="0" t="0"/>
            <wp:docPr descr="𨒃" title="" id="271" name="Picture"/>
            <a:graphic>
              <a:graphicData uri="http://schemas.openxmlformats.org/drawingml/2006/picture">
                <pic:pic>
                  <pic:nvPicPr>
                    <pic:cNvPr descr="https://glyphwiki.org/glyph/u28483-g.50px.png" id="272" name="Picture"/>
                    <pic:cNvPicPr>
                      <a:picLocks noChangeArrowheads="1" noChangeAspect="1"/>
                    </pic:cNvPicPr>
                  </pic:nvPicPr>
                  <pic:blipFill>
                    <a:blip r:embed="rId265"/>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(𨒃, U+28483) can be found in [</w:t>
      </w:r>
      <w:r>
        <w:rPr>
          <w:iCs/>
          <w:i/>
        </w:rPr>
        <w:t xml:space="preserve">Yínánzì Kǎoshì Yǔ Yánjiū</w:t>
      </w:r>
      <w:r>
        <w:t xml:space="preserve"> </w:t>
      </w:r>
      <w:r>
        <w:t xml:space="preserve">(疑難字考釋與研究, Philological Studies and Research on Difficult and Problematic Characters)].</w:t>
      </w:r>
    </w:p>
    <w:bookmarkStart w:id="273" w:name="X420b384ea441090d270b71791407c3b1b63df8d"/>
    <w:p>
      <w:pPr>
        <w:pStyle w:val="Heading3"/>
      </w:pPr>
      <w:r>
        <w:rPr>
          <w:rStyle w:val="SectionNumber"/>
        </w:rPr>
        <w:t xml:space="preserve">21.1.1</w:t>
      </w:r>
      <w:r>
        <w:tab/>
      </w:r>
      <w:r>
        <w:rPr>
          <w:rStyle w:val="VerbatimChar"/>
        </w:rPr>
        <w:t xml:space="preserve">Omitted Characters</w:t>
      </w:r>
      <w:r>
        <w:t xml:space="preserve"> </w:t>
      </w:r>
      <w:r>
        <w:t xml:space="preserve">(脱字,</w:t>
      </w:r>
      <w:r>
        <w:t xml:space="preserve"> </w:t>
      </w:r>
      <w:r>
        <w:rPr>
          <w:iCs/>
          <w:i/>
        </w:rPr>
        <w:t xml:space="preserve">datsuji</w:t>
      </w:r>
      <w:r>
        <w:t xml:space="preserve">)</w:t>
      </w:r>
    </w:p>
    <w:p>
      <w:pPr>
        <w:pStyle w:val="FirstParagraph"/>
      </w:pPr>
      <w:r>
        <w:rPr>
          <w:rStyle w:val="VerbatimChar"/>
          <w:bCs/>
          <w:b/>
        </w:rPr>
        <w:t xml:space="preserve">Omitted Characters</w:t>
      </w:r>
      <w:r>
        <w:t xml:space="preserve"> </w:t>
      </w:r>
      <w:r>
        <w:t xml:space="preserve">(</w:t>
      </w:r>
      <w:r>
        <w:rPr>
          <w:iCs/>
          <w:i/>
        </w:rPr>
        <w:t xml:space="preserve">datsuji</w:t>
      </w:r>
      <w:r>
        <w:t xml:space="preserve">) in</w:t>
      </w:r>
      <w:r>
        <w:t xml:space="preserve"> </w:t>
      </w:r>
      <w:r>
        <w:rPr>
          <w:rStyle w:val="VerbatimChar"/>
          <w:bCs/>
          <w:b/>
        </w:rPr>
        <w:t xml:space="preserve">Headwords</w:t>
      </w:r>
      <w:r>
        <w:t xml:space="preserve">, which have been detailed elsewhere, are handled as follows: when a character is clearly omitted from a</w:t>
      </w:r>
      <w:r>
        <w:t xml:space="preserve"> </w:t>
      </w:r>
      <w:r>
        <w:rPr>
          <w:rStyle w:val="VerbatimChar"/>
          <w:bCs/>
          <w:b/>
        </w:rPr>
        <w:t xml:space="preserve">Headword</w:t>
      </w:r>
      <w:r>
        <w:t xml:space="preserve">, the presumed omitted character is indicated by enclosing it in full-width square brackets</w:t>
      </w:r>
      <w:r>
        <w:t xml:space="preserve"> </w:t>
      </w:r>
      <w:r>
        <w:t xml:space="preserve">“</w:t>
      </w:r>
      <w:r>
        <w:t xml:space="preserve">［］</w:t>
      </w:r>
      <w:r>
        <w:t xml:space="preserve">”</w:t>
      </w:r>
      <w:r>
        <w:t xml:space="preserve">.</w:t>
      </w:r>
    </w:p>
    <w:p>
      <w:pPr>
        <w:pStyle w:val="BodyText"/>
      </w:pPr>
      <w:r>
        <w:rPr>
          <w:bCs/>
          <w:b/>
        </w:rPr>
        <w:t xml:space="preserve">Example:</w:t>
      </w:r>
    </w:p>
    <w:p>
      <w:pPr>
        <w:pStyle w:val="SourceCode"/>
      </w:pPr>
      <w:r>
        <w:rPr>
          <w:rStyle w:val="VerbatimChar"/>
        </w:rPr>
        <w:t xml:space="preserve">是／［以］</w:t>
      </w:r>
      <w:r>
        <w:br/>
      </w:r>
      <w:r>
        <w:rPr>
          <w:rStyle w:val="VerbatimChar"/>
        </w:rPr>
        <w:t xml:space="preserve">不／奈／［何］</w:t>
      </w:r>
      <w:r>
        <w:br/>
      </w:r>
      <w:r>
        <w:rPr>
          <w:rStyle w:val="VerbatimChar"/>
        </w:rPr>
        <w:t xml:space="preserve">将／為／［便］</w:t>
      </w:r>
      <w:r>
        <w:br/>
      </w:r>
      <w:r>
        <w:rPr>
          <w:rStyle w:val="VerbatimChar"/>
        </w:rPr>
        <w:t xml:space="preserve">嘻／［囉］</w:t>
      </w:r>
      <w:r>
        <w:br/>
      </w:r>
      <w:r>
        <w:rPr>
          <w:rStyle w:val="VerbatimChar"/>
        </w:rPr>
        <w:t xml:space="preserve">奢／［侈］</w:t>
      </w:r>
      <w:r>
        <w:br/>
      </w:r>
      <w:r>
        <w:rPr>
          <w:rStyle w:val="VerbatimChar"/>
        </w:rPr>
        <w:t xml:space="preserve">奚／［如］</w:t>
      </w:r>
    </w:p>
    <w:p>
      <w:pPr>
        <w:pStyle w:val="FirstParagraph"/>
      </w:pPr>
      <w:r>
        <w:t xml:space="preserve">An example of the corresponding annotation is shown below:</w:t>
      </w:r>
    </w:p>
    <w:p>
      <w:pPr>
        <w:pStyle w:val="BodyText"/>
      </w:pPr>
      <w:r>
        <w:rPr>
          <w:bCs/>
          <w:b/>
        </w:rPr>
        <w:t xml:space="preserve">Example:</w:t>
      </w:r>
      <w:r>
        <w:t xml:space="preserve"> </w:t>
      </w:r>
      <w:r>
        <w:t xml:space="preserve">*</w:t>
      </w:r>
      <w:r>
        <w:t xml:space="preserve"> </w:t>
      </w:r>
      <w:r>
        <w:rPr>
          <w:rStyle w:val="VerbatimChar"/>
        </w:rPr>
        <w:t xml:space="preserve">kazama_location</w:t>
      </w:r>
      <w:r>
        <w:t xml:space="preserve">: K0200663</w:t>
      </w:r>
      <w:r>
        <w:t xml:space="preserve"> </w:t>
      </w:r>
      <w:r>
        <w:t xml:space="preserve">*</w:t>
      </w:r>
      <w:r>
        <w:t xml:space="preserve"> </w:t>
      </w:r>
      <w:r>
        <w:rPr>
          <w:rStyle w:val="VerbatimChar"/>
        </w:rPr>
        <w:t xml:space="preserve">hanzi_entry</w:t>
      </w:r>
      <w:r>
        <w:t xml:space="preserve">: 奚／［如］</w:t>
      </w:r>
      <w:r>
        <w:t xml:space="preserve"> </w:t>
      </w:r>
      <w:r>
        <w:t xml:space="preserve">*</w:t>
      </w:r>
      <w:r>
        <w:t xml:space="preserve"> </w:t>
      </w:r>
      <w:r>
        <w:rPr>
          <w:rStyle w:val="VerbatimChar"/>
        </w:rPr>
        <w:t xml:space="preserve">original_entry</w:t>
      </w:r>
      <w:r>
        <w:t xml:space="preserve">: 〇／〇</w:t>
      </w:r>
      <w:r>
        <w:t xml:space="preserve"> </w:t>
      </w:r>
      <w:r>
        <w:t xml:space="preserve">*</w:t>
      </w:r>
      <w:r>
        <w:t xml:space="preserve"> </w:t>
      </w:r>
      <w:r>
        <w:rPr>
          <w:rStyle w:val="VerbatimChar"/>
        </w:rPr>
        <w:t xml:space="preserve">definition</w:t>
      </w:r>
      <w:r>
        <w:t xml:space="preserve">: イカム（__L</w:t>
      </w:r>
      <w:r>
        <w:t xml:space="preserve"> </w:t>
      </w:r>
      <w:r>
        <w:t xml:space="preserve">*</w:t>
      </w:r>
      <w:r>
        <w:t xml:space="preserve"> </w:t>
      </w:r>
      <w:r>
        <w:rPr>
          <w:rStyle w:val="VerbatimChar"/>
        </w:rPr>
        <w:t xml:space="preserve">remarks</w:t>
      </w:r>
      <w:r>
        <w:t xml:space="preserve">: The character</w:t>
      </w:r>
      <w:r>
        <w:t xml:space="preserve"> </w:t>
      </w:r>
      <w:r>
        <w:t xml:space="preserve">‘</w:t>
      </w:r>
      <w:r>
        <w:t xml:space="preserve">如</w:t>
      </w:r>
      <w:r>
        <w:t xml:space="preserve">’</w:t>
      </w:r>
      <w:r>
        <w:t xml:space="preserve"> </w:t>
      </w:r>
      <w:r>
        <w:t xml:space="preserve">is omitted. The Renjō-in manuscript has</w:t>
      </w:r>
      <w:r>
        <w:t xml:space="preserve"> </w:t>
      </w:r>
      <w:r>
        <w:t xml:space="preserve">‘</w:t>
      </w:r>
      <w:r>
        <w:t xml:space="preserve">奚如</w:t>
      </w:r>
      <w:r>
        <w:t xml:space="preserve">’</w:t>
      </w:r>
      <w:r>
        <w:t xml:space="preserve">. The Kōzan-ji manuscript does not use the substitution mark</w:t>
      </w:r>
      <w:r>
        <w:t xml:space="preserve"> </w:t>
      </w:r>
      <w:r>
        <w:t xml:space="preserve">‘</w:t>
      </w:r>
      <w:r>
        <w:t xml:space="preserve">ー</w:t>
      </w:r>
      <w:r>
        <w:t xml:space="preserve">’</w:t>
      </w:r>
      <w:r>
        <w:t xml:space="preserve"> </w:t>
      </w:r>
      <w:r>
        <w:t xml:space="preserve">but explicitly writes</w:t>
      </w:r>
      <w:r>
        <w:t xml:space="preserve"> </w:t>
      </w:r>
      <w:r>
        <w:t xml:space="preserve">‘</w:t>
      </w:r>
      <w:r>
        <w:t xml:space="preserve">如</w:t>
      </w:r>
      <w:r>
        <w:t xml:space="preserve">’</w:t>
      </w:r>
      <w:r>
        <w:t xml:space="preserve">, and this entry is located near the latter half of the</w:t>
      </w:r>
      <w:r>
        <w:t xml:space="preserve"> </w:t>
      </w:r>
      <w:r>
        <w:t xml:space="preserve">“</w:t>
      </w:r>
      <w:r>
        <w:t xml:space="preserve">女</w:t>
      </w:r>
      <w:r>
        <w:t xml:space="preserve">”</w:t>
      </w:r>
      <w:r>
        <w:t xml:space="preserve"> </w:t>
      </w:r>
      <w:r>
        <w:t xml:space="preserve">(woman) radical section. This Kōzan-ji manuscript usage is considered to be an earlier example (Okada’s research, p. 192).</w:t>
      </w:r>
    </w:p>
    <w:bookmarkEnd w:id="273"/>
    <w:bookmarkStart w:id="274" w:name="Xc780a531fb3d6eaf35e0587504b3b336852e112"/>
    <w:p>
      <w:pPr>
        <w:pStyle w:val="Heading3"/>
      </w:pPr>
      <w:r>
        <w:rPr>
          <w:rStyle w:val="SectionNumber"/>
        </w:rPr>
        <w:t xml:space="preserve">21.1.2</w:t>
      </w:r>
      <w:r>
        <w:tab/>
      </w:r>
      <w:r>
        <w:t xml:space="preserve">Superfluous Characters</w:t>
      </w:r>
    </w:p>
    <w:bookmarkEnd w:id="274"/>
    <w:bookmarkEnd w:id="275"/>
    <w:bookmarkStart w:id="276" w:name="X1df72db34e3043895866eb3c0505cf60a07027d"/>
    <w:p>
      <w:pPr>
        <w:pStyle w:val="Heading2"/>
      </w:pPr>
      <w:r>
        <w:rPr>
          <w:rStyle w:val="SectionNumber"/>
        </w:rPr>
        <w:t xml:space="preserve">21.2</w:t>
      </w:r>
      <w:r>
        <w:tab/>
      </w:r>
      <w:r>
        <w:rPr>
          <w:rStyle w:val="VerbatimChar"/>
        </w:rPr>
        <w:t xml:space="preserve">Superfluous Characters</w:t>
      </w:r>
      <w:r>
        <w:t xml:space="preserve"> </w:t>
      </w:r>
      <w:r>
        <w:t xml:space="preserve">(</w:t>
      </w:r>
      <w:r>
        <w:rPr>
          <w:iCs/>
          <w:i/>
        </w:rPr>
        <w:t xml:space="preserve">enji</w:t>
      </w:r>
      <w:r>
        <w:t xml:space="preserve">)</w:t>
      </w:r>
    </w:p>
    <w:p>
      <w:pPr>
        <w:pStyle w:val="FirstParagraph"/>
      </w:pPr>
      <w:r>
        <w:t xml:space="preserve">Instances of</w:t>
      </w:r>
      <w:r>
        <w:t xml:space="preserve"> </w:t>
      </w:r>
      <w:r>
        <w:rPr>
          <w:rStyle w:val="VerbatimChar"/>
          <w:bCs/>
          <w:b/>
        </w:rPr>
        <w:t xml:space="preserve">Superfluous Characters</w:t>
      </w:r>
      <w:r>
        <w:t xml:space="preserve"> </w:t>
      </w:r>
      <w:r>
        <w:t xml:space="preserve">(</w:t>
      </w:r>
      <w:r>
        <w:rPr>
          <w:iCs/>
          <w:i/>
        </w:rPr>
        <w:t xml:space="preserve">enji</w:t>
      </w:r>
      <w:r>
        <w:t xml:space="preserve">) in</w:t>
      </w:r>
      <w:r>
        <w:t xml:space="preserve"> </w:t>
      </w:r>
      <w:r>
        <w:rPr>
          <w:rStyle w:val="VerbatimChar"/>
          <w:bCs/>
          <w:b/>
        </w:rPr>
        <w:t xml:space="preserve">Headwords</w:t>
      </w:r>
      <w:r>
        <w:t xml:space="preserve"> </w:t>
      </w:r>
      <w:r>
        <w:t xml:space="preserve">are rarely found.</w:t>
      </w:r>
    </w:p>
    <w:p>
      <w:pPr>
        <w:pStyle w:val="BodyText"/>
      </w:pPr>
      <w:r>
        <w:rPr>
          <w:bCs/>
          <w:b/>
        </w:rPr>
        <w:t xml:space="preserve">Example:</w:t>
      </w:r>
      <w:r>
        <w:t xml:space="preserve"> </w:t>
      </w:r>
      <w:r>
        <w:t xml:space="preserve">*</w:t>
      </w:r>
      <w:r>
        <w:t xml:space="preserve"> </w:t>
      </w:r>
      <w:r>
        <w:rPr>
          <w:rStyle w:val="VerbatimChar"/>
        </w:rPr>
        <w:t xml:space="preserve">kazama_location</w:t>
      </w:r>
      <w:r>
        <w:t xml:space="preserve">: K0402481,</w:t>
      </w:r>
      <w:r>
        <w:t xml:space="preserve"> </w:t>
      </w:r>
      <w:r>
        <w:rPr>
          <w:rStyle w:val="VerbatimChar"/>
        </w:rPr>
        <w:t xml:space="preserve">hanzi_entry</w:t>
      </w:r>
      <w:r>
        <w:t xml:space="preserve">: ⿱赤廾,</w:t>
      </w:r>
      <w:r>
        <w:t xml:space="preserve"> </w:t>
      </w:r>
      <w:r>
        <w:rPr>
          <w:rStyle w:val="VerbatimChar"/>
        </w:rPr>
        <w:t xml:space="preserve">definition</w:t>
      </w:r>
      <w:r>
        <w:t xml:space="preserve">: サカユ　シツカナリ</w:t>
      </w:r>
      <w:r>
        <w:t xml:space="preserve"> </w:t>
      </w:r>
      <w:r>
        <w:t xml:space="preserve">*</w:t>
      </w:r>
      <w:r>
        <w:t xml:space="preserve"> </w:t>
      </w:r>
      <w:r>
        <w:rPr>
          <w:rStyle w:val="VerbatimChar"/>
        </w:rPr>
        <w:t xml:space="preserve">kazama_location</w:t>
      </w:r>
      <w:r>
        <w:t xml:space="preserve">: K0402482,</w:t>
      </w:r>
      <w:r>
        <w:t xml:space="preserve"> </w:t>
      </w:r>
      <w:r>
        <w:rPr>
          <w:rStyle w:val="VerbatimChar"/>
        </w:rPr>
        <w:t xml:space="preserve">hanzi_entry</w:t>
      </w:r>
      <w:r>
        <w:t xml:space="preserve">: 人,</w:t>
      </w:r>
      <w:r>
        <w:t xml:space="preserve"> </w:t>
      </w:r>
      <w:r>
        <w:rPr>
          <w:rStyle w:val="VerbatimChar"/>
        </w:rPr>
        <w:t xml:space="preserve">definition</w:t>
      </w:r>
      <w:r>
        <w:t xml:space="preserve">: （無） (Unannotated),</w:t>
      </w:r>
      <w:r>
        <w:t xml:space="preserve"> </w:t>
      </w:r>
      <w:r>
        <w:rPr>
          <w:rStyle w:val="VerbatimChar"/>
        </w:rPr>
        <w:t xml:space="preserve">remarks</w:t>
      </w:r>
      <w:r>
        <w:t xml:space="preserve">: Could this</w:t>
      </w:r>
      <w:r>
        <w:t xml:space="preserve"> </w:t>
      </w:r>
      <w:r>
        <w:t xml:space="preserve">‘</w:t>
      </w:r>
      <w:r>
        <w:t xml:space="preserve">人</w:t>
      </w:r>
      <w:r>
        <w:t xml:space="preserve">’</w:t>
      </w:r>
      <w:r>
        <w:t xml:space="preserve"> </w:t>
      </w:r>
      <w:r>
        <w:t xml:space="preserve">be a superfluous character? Alternatively, the</w:t>
      </w:r>
      <w:r>
        <w:t xml:space="preserve"> </w:t>
      </w:r>
      <w:r>
        <w:rPr>
          <w:rStyle w:val="VerbatimChar"/>
          <w:bCs/>
          <w:b/>
        </w:rPr>
        <w:t xml:space="preserve">Headword</w:t>
      </w:r>
      <w:r>
        <w:t xml:space="preserve"> </w:t>
      </w:r>
      <w:r>
        <w:t xml:space="preserve">might be a variant of</w:t>
      </w:r>
      <w:r>
        <w:t xml:space="preserve"> </w:t>
      </w:r>
      <w:r>
        <w:t xml:space="preserve">‘</w:t>
      </w:r>
      <w:r>
        <w:t xml:space="preserve">奕</w:t>
      </w:r>
      <w:r>
        <w:t xml:space="preserve">’</w:t>
      </w:r>
      <w:r>
        <w:t xml:space="preserve">, and this</w:t>
      </w:r>
      <w:r>
        <w:t xml:space="preserve"> </w:t>
      </w:r>
      <w:r>
        <w:t xml:space="preserve">‘</w:t>
      </w:r>
      <w:r>
        <w:t xml:space="preserve">人</w:t>
      </w:r>
      <w:r>
        <w:t xml:space="preserve">’</w:t>
      </w:r>
      <w:r>
        <w:t xml:space="preserve"> </w:t>
      </w:r>
      <w:r>
        <w:t xml:space="preserve">a miscopied iteration mark for the compound</w:t>
      </w:r>
      <w:r>
        <w:t xml:space="preserve"> </w:t>
      </w:r>
      <w:r>
        <w:t xml:space="preserve">‘</w:t>
      </w:r>
      <w:r>
        <w:t xml:space="preserve">奕奕</w:t>
      </w:r>
      <w:r>
        <w:t xml:space="preserve">’</w:t>
      </w:r>
      <w:r>
        <w:t xml:space="preserve">. The compound</w:t>
      </w:r>
      <w:r>
        <w:t xml:space="preserve"> </w:t>
      </w:r>
      <w:r>
        <w:t xml:space="preserve">‘</w:t>
      </w:r>
      <w:r>
        <w:t xml:space="preserve">奕奕</w:t>
      </w:r>
      <w:r>
        <w:t xml:space="preserve">’</w:t>
      </w:r>
      <w:r>
        <w:t xml:space="preserve"> </w:t>
      </w:r>
      <w:r>
        <w:t xml:space="preserve">has examples in the</w:t>
      </w:r>
      <w:r>
        <w:t xml:space="preserve"> </w:t>
      </w:r>
      <w:r>
        <w:rPr>
          <w:iCs/>
          <w:i/>
        </w:rPr>
        <w:t xml:space="preserve">Shijing</w:t>
      </w:r>
      <w:r>
        <w:t xml:space="preserve"> </w:t>
      </w:r>
      <w:r>
        <w:t xml:space="preserve">(Book of Odes).</w:t>
      </w:r>
    </w:p>
    <w:p>
      <w:pPr>
        <w:pStyle w:val="BodyText"/>
      </w:pPr>
      <w:r>
        <w:t xml:space="preserve">The reason for the presence of the character</w:t>
      </w:r>
      <w:r>
        <w:t xml:space="preserve"> </w:t>
      </w:r>
      <w:r>
        <w:t xml:space="preserve">‘</w:t>
      </w:r>
      <w:r>
        <w:t xml:space="preserve">人</w:t>
      </w:r>
      <w:r>
        <w:t xml:space="preserve">’</w:t>
      </w:r>
      <w:r>
        <w:t xml:space="preserve"> </w:t>
      </w:r>
      <w:r>
        <w:t xml:space="preserve">in the second entry is unclear, and it is suspected to be a superfluous character.</w:t>
      </w:r>
    </w:p>
    <w:bookmarkEnd w:id="276"/>
    <w:bookmarkStart w:id="277" w:name="X7db1dc00c86c890e30e00d51a3d99cf33f1a08d"/>
    <w:p>
      <w:pPr>
        <w:pStyle w:val="Heading2"/>
      </w:pPr>
      <w:r>
        <w:rPr>
          <w:rStyle w:val="SectionNumber"/>
        </w:rPr>
        <w:t xml:space="preserve">21.3</w:t>
      </w:r>
      <w:r>
        <w:tab/>
      </w:r>
      <w:r>
        <w:rPr>
          <w:rStyle w:val="VerbatimChar"/>
        </w:rPr>
        <w:t xml:space="preserve">Embedded Characters</w:t>
      </w:r>
      <w:r>
        <w:t xml:space="preserve"> </w:t>
      </w:r>
      <w:r>
        <w:t xml:space="preserve">(</w:t>
      </w:r>
      <w:r>
        <w:rPr>
          <w:iCs/>
          <w:i/>
        </w:rPr>
        <w:t xml:space="preserve">umeji</w:t>
      </w:r>
      <w:r>
        <w:t xml:space="preserve">) and the</w:t>
      </w:r>
      <w:r>
        <w:t xml:space="preserve"> </w:t>
      </w:r>
      <w:r>
        <w:rPr>
          <w:iCs/>
          <w:i/>
        </w:rPr>
        <w:t xml:space="preserve">Bunchūshiki</w:t>
      </w:r>
      <w:r>
        <w:t xml:space="preserve"> </w:t>
      </w:r>
      <w:r>
        <w:t xml:space="preserve">(Divided-Annotation Style)</w:t>
      </w:r>
    </w:p>
    <w:p>
      <w:pPr>
        <w:pStyle w:val="FirstParagraph"/>
      </w:pPr>
      <w:r>
        <w:rPr>
          <w:rStyle w:val="VerbatimChar"/>
          <w:bCs/>
          <w:b/>
        </w:rPr>
        <w:t xml:space="preserve">Embedded Characters</w:t>
      </w:r>
      <w:r>
        <w:t xml:space="preserve"> </w:t>
      </w:r>
      <w:r>
        <w:t xml:space="preserve">(</w:t>
      </w:r>
      <w:r>
        <w:rPr>
          <w:iCs/>
          <w:i/>
        </w:rPr>
        <w:t xml:space="preserve">umeji</w:t>
      </w:r>
      <w:r>
        <w:t xml:space="preserve">) refer to</w:t>
      </w:r>
      <w:r>
        <w:t xml:space="preserve"> </w:t>
      </w:r>
      <w:r>
        <w:rPr>
          <w:rStyle w:val="VerbatimChar"/>
          <w:bCs/>
          <w:b/>
        </w:rPr>
        <w:t xml:space="preserve">Entry</w:t>
      </w:r>
      <w:r>
        <w:t xml:space="preserve">-like segments that are incorporated within another main</w:t>
      </w:r>
      <w:r>
        <w:t xml:space="preserve"> </w:t>
      </w:r>
      <w:r>
        <w:rPr>
          <w:rStyle w:val="VerbatimChar"/>
          <w:bCs/>
          <w:b/>
        </w:rPr>
        <w:t xml:space="preserve">Entry</w:t>
      </w:r>
      <w:r>
        <w:t xml:space="preserve">.</w:t>
      </w:r>
    </w:p>
    <w:p>
      <w:pPr>
        <w:pStyle w:val="BodyText"/>
      </w:pPr>
      <w:r>
        <w:rPr>
          <w:bCs/>
          <w:b/>
        </w:rPr>
        <w:t xml:space="preserve">Example:</w:t>
      </w:r>
      <w:r>
        <w:t xml:space="preserve"> </w:t>
      </w:r>
      <w:r>
        <w:t xml:space="preserve">*</w:t>
      </w:r>
      <w:r>
        <w:t xml:space="preserve"> </w:t>
      </w:r>
      <w:r>
        <w:rPr>
          <w:rStyle w:val="VerbatimChar"/>
        </w:rPr>
        <w:t xml:space="preserve">kazama_location</w:t>
      </w:r>
      <w:r>
        <w:t xml:space="preserve">: K0201261</w:t>
      </w:r>
      <w:r>
        <w:t xml:space="preserve"> </w:t>
      </w:r>
      <w:r>
        <w:t xml:space="preserve">*</w:t>
      </w:r>
      <w:r>
        <w:t xml:space="preserve"> </w:t>
      </w:r>
      <w:r>
        <w:rPr>
          <w:rStyle w:val="VerbatimChar"/>
        </w:rPr>
        <w:t xml:space="preserve">hanzi_entry</w:t>
      </w:r>
      <w:r>
        <w:t xml:space="preserve">: 娜</w:t>
      </w:r>
      <w:r>
        <w:t xml:space="preserve"> </w:t>
      </w:r>
      <w:r>
        <w:t xml:space="preserve">*</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乃可（H）反　マヽハヽ　タヲヤカナリ　婀ー　ヨキカホ　ナマメク</w:t>
      </w:r>
      <w:r>
        <w:t xml:space="preserve"> </w:t>
      </w:r>
      <w:r>
        <w:t xml:space="preserve">*</w:t>
      </w:r>
      <w:r>
        <w:t xml:space="preserve"> </w:t>
      </w:r>
      <w:r>
        <w:rPr>
          <w:rStyle w:val="VerbatimChar"/>
        </w:rPr>
        <w:t xml:space="preserve">remarks</w:t>
      </w:r>
      <w:r>
        <w:t xml:space="preserve"> </w:t>
      </w:r>
      <w:r>
        <w:t xml:space="preserve">(</w:t>
      </w:r>
      <w:r>
        <w:rPr>
          <w:rStyle w:val="VerbatimChar"/>
          <w:bCs/>
          <w:b/>
        </w:rPr>
        <w:t xml:space="preserve">Compiler's Remark</w:t>
      </w:r>
      <w:r>
        <w:t xml:space="preserve">): Could the segment</w:t>
      </w:r>
      <w:r>
        <w:t xml:space="preserve"> </w:t>
      </w:r>
      <w:r>
        <w:t xml:space="preserve">“</w:t>
      </w:r>
      <w:r>
        <w:t xml:space="preserve">婀ー　ヨキカホ　ナマメク</w:t>
      </w:r>
      <w:r>
        <w:t xml:space="preserve">”</w:t>
      </w:r>
      <w:r>
        <w:t xml:space="preserve"> </w:t>
      </w:r>
      <w:r>
        <w:t xml:space="preserve">be an embedded item/entry?</w:t>
      </w:r>
    </w:p>
    <w:p>
      <w:pPr>
        <w:pStyle w:val="BodyText"/>
      </w:pPr>
      <w:r>
        <w:t xml:space="preserve">These embedded segments can either be considered equivalent to a separate</w:t>
      </w:r>
      <w:r>
        <w:t xml:space="preserve"> </w:t>
      </w:r>
      <w:r>
        <w:rPr>
          <w:rStyle w:val="VerbatimChar"/>
          <w:bCs/>
          <w:b/>
        </w:rPr>
        <w:t xml:space="preserve">Entry</w:t>
      </w:r>
      <w:r>
        <w:t xml:space="preserve"> </w:t>
      </w:r>
      <w:r>
        <w:t xml:space="preserve">or interpreted as an explanation of a compound word provided within the</w:t>
      </w:r>
      <w:r>
        <w:t xml:space="preserve"> </w:t>
      </w:r>
      <w:r>
        <w:rPr>
          <w:rStyle w:val="VerbatimChar"/>
          <w:bCs/>
          <w:b/>
        </w:rPr>
        <w:t xml:space="preserve">Original Glosses</w:t>
      </w:r>
      <w:r>
        <w:t xml:space="preserve"> </w:t>
      </w:r>
      <w:r>
        <w:t xml:space="preserve">of the main</w:t>
      </w:r>
      <w:r>
        <w:t xml:space="preserve"> </w:t>
      </w:r>
      <w:r>
        <w:rPr>
          <w:rStyle w:val="VerbatimChar"/>
          <w:bCs/>
          <w:b/>
        </w:rPr>
        <w:t xml:space="preserve">Entry</w:t>
      </w:r>
      <w:r>
        <w:t xml:space="preserve">.</w:t>
      </w:r>
    </w:p>
    <w:p>
      <w:pPr>
        <w:pStyle w:val="BodyText"/>
      </w:pPr>
      <w:r>
        <w:t xml:space="preserve">The method of embedding glosses for a multi-character compound within the</w:t>
      </w:r>
      <w:r>
        <w:t xml:space="preserve"> </w:t>
      </w:r>
      <w:r>
        <w:rPr>
          <w:rStyle w:val="VerbatimChar"/>
          <w:bCs/>
          <w:b/>
        </w:rPr>
        <w:t xml:space="preserve">Original Glosses</w:t>
      </w:r>
      <w:r>
        <w:t xml:space="preserve"> </w:t>
      </w:r>
      <w:r>
        <w:t xml:space="preserve">of a single (often the first) character of that compound is termed the</w:t>
      </w:r>
      <w:r>
        <w:t xml:space="preserve"> </w:t>
      </w:r>
      <w:r>
        <w:t xml:space="preserve">“</w:t>
      </w:r>
      <w:r>
        <w:rPr>
          <w:rStyle w:val="VerbatimChar"/>
          <w:bCs/>
          <w:b/>
        </w:rPr>
        <w:t xml:space="preserve">Divided-Annotation Style</w:t>
      </w:r>
      <w:r>
        <w:t xml:space="preserve">”</w:t>
      </w:r>
      <w:r>
        <w:t xml:space="preserve"> </w:t>
      </w:r>
      <w:r>
        <w:t xml:space="preserve">(分註式,</w:t>
      </w:r>
      <w:r>
        <w:t xml:space="preserve"> </w:t>
      </w:r>
      <w:r>
        <w:rPr>
          <w:iCs/>
          <w:i/>
        </w:rPr>
        <w:t xml:space="preserve">Bunchūshiki</w:t>
      </w:r>
      <w:r>
        <w:t xml:space="preserve">). In contrast, the method of presenting such information as an independent</w:t>
      </w:r>
      <w:r>
        <w:t xml:space="preserve"> </w:t>
      </w:r>
      <w:r>
        <w:rPr>
          <w:rStyle w:val="VerbatimChar"/>
          <w:bCs/>
          <w:b/>
        </w:rPr>
        <w:t xml:space="preserve">Entry</w:t>
      </w:r>
      <w:r>
        <w:t xml:space="preserve"> </w:t>
      </w:r>
      <w:r>
        <w:t xml:space="preserve">following the main single-character</w:t>
      </w:r>
      <w:r>
        <w:t xml:space="preserve"> </w:t>
      </w:r>
      <w:r>
        <w:rPr>
          <w:rStyle w:val="VerbatimChar"/>
          <w:bCs/>
          <w:b/>
        </w:rPr>
        <w:t xml:space="preserve">Entry</w:t>
      </w:r>
      <w:r>
        <w:t xml:space="preserve"> </w:t>
      </w:r>
      <w:r>
        <w:t xml:space="preserve">is called the</w:t>
      </w:r>
      <w:r>
        <w:t xml:space="preserve"> </w:t>
      </w:r>
      <w:r>
        <w:t xml:space="preserve">“</w:t>
      </w:r>
      <w:r>
        <w:rPr>
          <w:rStyle w:val="VerbatimChar"/>
          <w:bCs/>
          <w:b/>
        </w:rPr>
        <w:t xml:space="preserve">Independent-Entry Style</w:t>
      </w:r>
      <w:r>
        <w:t xml:space="preserve">”</w:t>
      </w:r>
      <w:r>
        <w:t xml:space="preserve"> </w:t>
      </w:r>
      <w:r>
        <w:t xml:space="preserve">(独立式,</w:t>
      </w:r>
      <w:r>
        <w:t xml:space="preserve"> </w:t>
      </w:r>
      <w:r>
        <w:rPr>
          <w:iCs/>
          <w:i/>
        </w:rPr>
        <w:t xml:space="preserve">Dokuritsushiki</w:t>
      </w:r>
      <w:r>
        <w:t xml:space="preserve">) (Okada Yoshio,</w:t>
      </w:r>
      <w:r>
        <w:t xml:space="preserve"> </w:t>
      </w:r>
      <w:r>
        <w:rPr>
          <w:iCs/>
          <w:i/>
        </w:rPr>
        <w:t xml:space="preserve">Ruiju Myōgishō no Kenkyū</w:t>
      </w:r>
      <w:r>
        <w:t xml:space="preserve"> </w:t>
      </w:r>
      <w:r>
        <w:t xml:space="preserve">[A Study of the</w:t>
      </w:r>
      <w:r>
        <w:t xml:space="preserve"> </w:t>
      </w:r>
      <w:r>
        <w:rPr>
          <w:iCs/>
          <w:i/>
        </w:rPr>
        <w:t xml:space="preserve">Ruiju Myōgishō</w:t>
      </w:r>
      <w:r>
        <w:t xml:space="preserve">], p. 313 ff.).</w:t>
      </w:r>
    </w:p>
    <w:p>
      <w:pPr>
        <w:pStyle w:val="BodyText"/>
      </w:pPr>
      <w:r>
        <w:t xml:space="preserve">While these annotation styles are important indicators for studying the relationships between different manuscripts and the sequential ordering of</w:t>
      </w:r>
      <w:r>
        <w:t xml:space="preserve"> </w:t>
      </w:r>
      <w:r>
        <w:rPr>
          <w:rStyle w:val="VerbatimChar"/>
          <w:bCs/>
          <w:b/>
        </w:rPr>
        <w:t xml:space="preserve">Entries</w:t>
      </w:r>
      <w:r>
        <w:t xml:space="preserve">, they will not be discussed further in this section.</w:t>
      </w:r>
    </w:p>
    <w:bookmarkEnd w:id="277"/>
    <w:bookmarkStart w:id="278" w:name="X2d62f6a51189784d39f51426f954ed73d238a03"/>
    <w:p>
      <w:pPr>
        <w:pStyle w:val="Heading2"/>
      </w:pPr>
      <w:r>
        <w:rPr>
          <w:rStyle w:val="SectionNumber"/>
        </w:rPr>
        <w:t xml:space="preserve">21.4</w:t>
      </w:r>
      <w:r>
        <w:tab/>
      </w:r>
      <w:r>
        <w:rPr>
          <w:rStyle w:val="VerbatimChar"/>
        </w:rPr>
        <w:t xml:space="preserve">Substitution Marks</w:t>
      </w:r>
      <w:r>
        <w:t xml:space="preserve"> </w:t>
      </w:r>
      <w:r>
        <w:t xml:space="preserve">(代用符号,</w:t>
      </w:r>
      <w:r>
        <w:t xml:space="preserve"> </w:t>
      </w:r>
      <w:r>
        <w:rPr>
          <w:iCs/>
          <w:i/>
        </w:rPr>
        <w:t xml:space="preserve">daiyō fugō</w:t>
      </w:r>
      <w:r>
        <w:t xml:space="preserve">) using</w:t>
      </w:r>
      <w:r>
        <w:t xml:space="preserve"> </w:t>
      </w:r>
      <w:r>
        <w:t xml:space="preserve">‘</w:t>
      </w:r>
      <w:r>
        <w:t xml:space="preserve">｜</w:t>
      </w:r>
      <w:r>
        <w:t xml:space="preserve">’</w:t>
      </w:r>
      <w:r>
        <w:t xml:space="preserve"> </w:t>
      </w:r>
      <w:r>
        <w:t xml:space="preserve">(transcribed as</w:t>
      </w:r>
      <w:r>
        <w:t xml:space="preserve"> </w:t>
      </w:r>
      <w:r>
        <w:t xml:space="preserve">‘</w:t>
      </w:r>
      <w:r>
        <w:t xml:space="preserve">ー</w:t>
      </w:r>
      <w:r>
        <w:t xml:space="preserve">’</w:t>
      </w:r>
      <w:r>
        <w:t xml:space="preserve">)</w:t>
      </w:r>
    </w:p>
    <w:p>
      <w:pPr>
        <w:pStyle w:val="FirstParagraph"/>
      </w:pPr>
      <w:r>
        <w:t xml:space="preserve">When the same</w:t>
      </w:r>
      <w:r>
        <w:t xml:space="preserve"> </w:t>
      </w:r>
      <w:r>
        <w:rPr>
          <w:rStyle w:val="VerbatimChar"/>
          <w:bCs/>
          <w:b/>
        </w:rPr>
        <w:t xml:space="preserve">Headword</w:t>
      </w:r>
      <w:r>
        <w:t xml:space="preserve"> </w:t>
      </w:r>
      <w:r>
        <w:t xml:space="preserve">as in the preceding</w:t>
      </w:r>
      <w:r>
        <w:t xml:space="preserve"> </w:t>
      </w:r>
      <w:r>
        <w:rPr>
          <w:rStyle w:val="VerbatimChar"/>
          <w:bCs/>
          <w:b/>
        </w:rPr>
        <w:t xml:space="preserve">Entry</w:t>
      </w:r>
      <w:r>
        <w:t xml:space="preserve"> </w:t>
      </w:r>
      <w:r>
        <w:t xml:space="preserve">is used, the vertical line</w:t>
      </w:r>
      <w:r>
        <w:t xml:space="preserve"> </w:t>
      </w:r>
      <w:r>
        <w:t xml:space="preserve">‘</w:t>
      </w:r>
      <w:r>
        <w:t xml:space="preserve">丨</w:t>
      </w:r>
      <w:r>
        <w:t xml:space="preserve">’</w:t>
      </w:r>
      <w:r>
        <w:t xml:space="preserve"> </w:t>
      </w:r>
      <w:r>
        <w:t xml:space="preserve">(U+4E28) is sometimes employed in the original manuscript to substitute for it. In this database, for better readability in horizontal text, this</w:t>
      </w:r>
      <w:r>
        <w:t xml:space="preserve"> </w:t>
      </w:r>
      <w:r>
        <w:t xml:space="preserve">‘</w:t>
      </w:r>
      <w:r>
        <w:t xml:space="preserve">丨</w:t>
      </w:r>
      <w:r>
        <w:t xml:space="preserve">’</w:t>
      </w:r>
      <w:r>
        <w:t xml:space="preserve"> </w:t>
      </w:r>
      <w:r>
        <w:t xml:space="preserve">is represented by</w:t>
      </w:r>
      <w:r>
        <w:t xml:space="preserve"> </w:t>
      </w:r>
      <w:r>
        <w:t xml:space="preserve">‘</w:t>
      </w:r>
      <w:r>
        <w:t xml:space="preserve">ー</w:t>
      </w:r>
      <w:r>
        <w:t xml:space="preserve">’</w:t>
      </w:r>
      <w:r>
        <w:t xml:space="preserve"> </w:t>
      </w:r>
      <w:r>
        <w:t xml:space="preserve">(CHOONPU - long vowel mark, U+30FC), followed by the actual</w:t>
      </w:r>
      <w:r>
        <w:t xml:space="preserve"> </w:t>
      </w:r>
      <w:r>
        <w:rPr>
          <w:rStyle w:val="VerbatimChar"/>
          <w:bCs/>
          <w:b/>
        </w:rPr>
        <w:t xml:space="preserve">Headword</w:t>
      </w:r>
      <w:r>
        <w:t xml:space="preserve"> </w:t>
      </w:r>
      <w:r>
        <w:t xml:space="preserve">it represents, enclosed in parentheses.</w:t>
      </w:r>
    </w:p>
    <w:p>
      <w:pPr>
        <w:pStyle w:val="BodyText"/>
      </w:pPr>
      <w:r>
        <w:t xml:space="preserve">While the</w:t>
      </w:r>
      <w:r>
        <w:t xml:space="preserve"> </w:t>
      </w:r>
      <w:r>
        <w:rPr>
          <w:rStyle w:val="VerbatimChar"/>
          <w:bCs/>
          <w:b/>
        </w:rPr>
        <w:t xml:space="preserve">Substitution Mark</w:t>
      </w:r>
      <w:r>
        <w:t xml:space="preserve"> </w:t>
      </w:r>
      <w:r>
        <w:t xml:space="preserve">‘</w:t>
      </w:r>
      <w:r>
        <w:t xml:space="preserve">ー</w:t>
      </w:r>
      <w:r>
        <w:t xml:space="preserve">’</w:t>
      </w:r>
      <w:r>
        <w:t xml:space="preserve"> </w:t>
      </w:r>
      <w:r>
        <w:t xml:space="preserve">(representing the original</w:t>
      </w:r>
      <w:r>
        <w:t xml:space="preserve"> </w:t>
      </w:r>
      <w:r>
        <w:t xml:space="preserve">‘</w:t>
      </w:r>
      <w:r>
        <w:t xml:space="preserve">丨</w:t>
      </w:r>
      <w:r>
        <w:t xml:space="preserve">’</w:t>
      </w:r>
      <w:r>
        <w:t xml:space="preserve">) almost always refers to the</w:t>
      </w:r>
      <w:r>
        <w:t xml:space="preserve"> </w:t>
      </w:r>
      <w:r>
        <w:rPr>
          <w:rStyle w:val="VerbatimChar"/>
          <w:bCs/>
          <w:b/>
        </w:rPr>
        <w:t xml:space="preserve">Headword</w:t>
      </w:r>
      <w:r>
        <w:t xml:space="preserve"> </w:t>
      </w:r>
      <w:r>
        <w:t xml:space="preserve">of the immediately preceding</w:t>
      </w:r>
      <w:r>
        <w:t xml:space="preserve"> </w:t>
      </w:r>
      <w:r>
        <w:rPr>
          <w:rStyle w:val="VerbatimChar"/>
          <w:bCs/>
          <w:b/>
        </w:rPr>
        <w:t xml:space="preserve">Entry</w:t>
      </w:r>
      <w:r>
        <w:t xml:space="preserve">, users should be aware that in very rare cases, it may refer to the</w:t>
      </w:r>
      <w:r>
        <w:t xml:space="preserve"> </w:t>
      </w:r>
      <w:r>
        <w:rPr>
          <w:rStyle w:val="VerbatimChar"/>
          <w:bCs/>
          <w:b/>
        </w:rPr>
        <w:t xml:space="preserve">Headword</w:t>
      </w:r>
      <w:r>
        <w:t xml:space="preserve"> </w:t>
      </w:r>
      <w:r>
        <w:t xml:space="preserve">of an</w:t>
      </w:r>
      <w:r>
        <w:t xml:space="preserve"> </w:t>
      </w:r>
      <w:r>
        <w:rPr>
          <w:rStyle w:val="VerbatimChar"/>
          <w:bCs/>
          <w:b/>
        </w:rPr>
        <w:t xml:space="preserve">Entry</w:t>
      </w:r>
      <w:r>
        <w:t xml:space="preserve"> </w:t>
      </w:r>
      <w:r>
        <w:t xml:space="preserve">that is not directly adjacent, skipping over one or more intervening</w:t>
      </w:r>
      <w:r>
        <w:t xml:space="preserve"> </w:t>
      </w:r>
      <w:r>
        <w:rPr>
          <w:rStyle w:val="VerbatimChar"/>
          <w:bCs/>
          <w:b/>
        </w:rPr>
        <w:t xml:space="preserve">Entries</w:t>
      </w:r>
      <w:r>
        <w:t xml:space="preserve">.</w:t>
      </w:r>
    </w:p>
    <w:p>
      <w:pPr>
        <w:pStyle w:val="BodyText"/>
      </w:pPr>
      <w:r>
        <w:t xml:space="preserve">The following example illustrates a case where</w:t>
      </w:r>
      <w:r>
        <w:t xml:space="preserve"> </w:t>
      </w:r>
      <w:r>
        <w:t xml:space="preserve">‘</w:t>
      </w:r>
      <w:r>
        <w:t xml:space="preserve">ー</w:t>
      </w:r>
      <w:r>
        <w:t xml:space="preserve">’</w:t>
      </w:r>
      <w:r>
        <w:t xml:space="preserve"> </w:t>
      </w:r>
      <w:r>
        <w:t xml:space="preserve">refers to a</w:t>
      </w:r>
      <w:r>
        <w:t xml:space="preserve"> </w:t>
      </w:r>
      <w:r>
        <w:rPr>
          <w:rStyle w:val="VerbatimChar"/>
          <w:bCs/>
          <w:b/>
        </w:rPr>
        <w:t xml:space="preserve">Headword</w:t>
      </w:r>
      <w:r>
        <w:t xml:space="preserve"> </w:t>
      </w:r>
      <w:r>
        <w:t xml:space="preserve">that is considerably distant.</w:t>
      </w:r>
    </w:p>
    <w:p>
      <w:pPr>
        <w:pStyle w:val="BodyText"/>
      </w:pPr>
      <w:r>
        <w:rPr>
          <w:bCs/>
          <w:b/>
        </w:rPr>
        <w:t xml:space="preserve">Example:</w:t>
      </w:r>
      <w:r>
        <w:t xml:space="preserve"> </w:t>
      </w:r>
      <w:r>
        <w:t xml:space="preserve">*</w:t>
      </w:r>
      <w:r>
        <w:t xml:space="preserve"> </w:t>
      </w:r>
      <w:r>
        <w:rPr>
          <w:rStyle w:val="VerbatimChar"/>
        </w:rPr>
        <w:t xml:space="preserve">kazama_location</w:t>
      </w:r>
      <w:r>
        <w:t xml:space="preserve">: K01038411,</w:t>
      </w:r>
      <w:r>
        <w:t xml:space="preserve"> </w:t>
      </w:r>
      <w:r>
        <w:rPr>
          <w:rStyle w:val="VerbatimChar"/>
        </w:rPr>
        <w:t xml:space="preserve">hanzi_entry</w:t>
      </w:r>
      <w:r>
        <w:t xml:space="preserve">: 以／後,</w:t>
      </w:r>
      <w:r>
        <w:t xml:space="preserve"> </w:t>
      </w:r>
      <w:r>
        <w:rPr>
          <w:rStyle w:val="VerbatimChar"/>
        </w:rPr>
        <w:t xml:space="preserve">definition</w:t>
      </w:r>
      <w:r>
        <w:t xml:space="preserve">: ノチ</w:t>
      </w:r>
      <w:r>
        <w:t xml:space="preserve"> </w:t>
      </w:r>
      <w:r>
        <w:t xml:space="preserve">*</w:t>
      </w:r>
      <w:r>
        <w:t xml:space="preserve"> </w:t>
      </w:r>
      <w:r>
        <w:rPr>
          <w:rStyle w:val="VerbatimChar"/>
        </w:rPr>
        <w:t xml:space="preserve">kazama_location</w:t>
      </w:r>
      <w:r>
        <w:t xml:space="preserve">: K01038420,</w:t>
      </w:r>
      <w:r>
        <w:t xml:space="preserve"> </w:t>
      </w:r>
      <w:r>
        <w:rPr>
          <w:rStyle w:val="VerbatimChar"/>
        </w:rPr>
        <w:t xml:space="preserve">hanzi_entry</w:t>
      </w:r>
      <w:r>
        <w:t xml:space="preserve">: 㣭,</w:t>
      </w:r>
      <w:r>
        <w:t xml:space="preserve"> </w:t>
      </w:r>
      <w:r>
        <w:rPr>
          <w:rStyle w:val="VerbatimChar"/>
        </w:rPr>
        <w:t xml:space="preserve">definition</w:t>
      </w:r>
      <w:r>
        <w:t xml:space="preserve">: 字公（L）反　數也</w:t>
      </w:r>
      <w:r>
        <w:t xml:space="preserve"> </w:t>
      </w:r>
      <w:r>
        <w:t xml:space="preserve">*</w:t>
      </w:r>
      <w:r>
        <w:t xml:space="preserve"> </w:t>
      </w:r>
      <w:r>
        <w:rPr>
          <w:rStyle w:val="VerbatimChar"/>
        </w:rPr>
        <w:t xml:space="preserve">kazama_location</w:t>
      </w:r>
      <w:r>
        <w:t xml:space="preserve">: K01038430,</w:t>
      </w:r>
      <w:r>
        <w:t xml:space="preserve"> </w:t>
      </w:r>
      <w:r>
        <w:rPr>
          <w:rStyle w:val="VerbatimChar"/>
        </w:rPr>
        <w:t xml:space="preserve">hanzi_entry</w:t>
      </w:r>
      <w:r>
        <w:t xml:space="preserve">: 𢓈,</w:t>
      </w:r>
      <w:r>
        <w:t xml:space="preserve"> </w:t>
      </w:r>
      <w:r>
        <w:rPr>
          <w:rStyle w:val="VerbatimChar"/>
        </w:rPr>
        <w:t xml:space="preserve">definition</w:t>
      </w:r>
      <w:r>
        <w:t xml:space="preserve">: 音旬之去声　トヽム　メクル　アマネシ</w:t>
      </w:r>
      <w:r>
        <w:t xml:space="preserve"> </w:t>
      </w:r>
      <w:r>
        <w:t xml:space="preserve">*</w:t>
      </w:r>
      <w:r>
        <w:t xml:space="preserve"> </w:t>
      </w:r>
      <w:r>
        <w:rPr>
          <w:rStyle w:val="VerbatimChar"/>
        </w:rPr>
        <w:t xml:space="preserve">kazama_location</w:t>
      </w:r>
      <w:r>
        <w:t xml:space="preserve">: K01038510,</w:t>
      </w:r>
      <w:r>
        <w:t xml:space="preserve"> </w:t>
      </w:r>
      <w:r>
        <w:rPr>
          <w:rStyle w:val="VerbatimChar"/>
        </w:rPr>
        <w:t xml:space="preserve">hanzi_entry</w:t>
      </w:r>
      <w:r>
        <w:t xml:space="preserve">: 徇,</w:t>
      </w:r>
      <w:r>
        <w:t xml:space="preserve"> </w:t>
      </w:r>
      <w:r>
        <w:rPr>
          <w:rStyle w:val="VerbatimChar"/>
        </w:rPr>
        <w:t xml:space="preserve">definition</w:t>
      </w:r>
      <w:r>
        <w:t xml:space="preserve">: 同　トナフ　*アハネシ（L___）　シタカフ（</w:t>
      </w:r>
      <w:r>
        <w:rPr>
          <w:bCs/>
          <w:b/>
        </w:rPr>
        <w:t xml:space="preserve">HV_）　</w:t>
      </w:r>
      <w:r>
        <w:rPr>
          <w:iCs/>
          <w:i/>
          <w:bCs/>
          <w:b/>
        </w:rPr>
        <w:t xml:space="preserve">イトナム</w:t>
      </w:r>
      <w:r>
        <w:rPr>
          <w:iCs/>
          <w:i/>
          <w:bCs/>
          <w:b/>
        </w:rPr>
        <w:t xml:space="preserve"> </w:t>
      </w:r>
      <w:r>
        <w:rPr>
          <w:bCs/>
          <w:b/>
        </w:rPr>
        <w:t xml:space="preserve"> </w:t>
      </w:r>
      <w:r>
        <w:rPr>
          <w:rStyle w:val="VerbatimChar"/>
          <w:bCs/>
          <w:b/>
        </w:rPr>
        <w:t xml:space="preserve">kazama_location</w:t>
      </w:r>
      <w:r>
        <w:rPr>
          <w:bCs/>
          <w:b/>
        </w:rPr>
        <w:t xml:space="preserve">: K01038530,</w:t>
      </w:r>
      <w:r>
        <w:rPr>
          <w:bCs/>
          <w:b/>
        </w:rPr>
        <w:t xml:space="preserve"> </w:t>
      </w:r>
      <w:r>
        <w:rPr>
          <w:rStyle w:val="VerbatimChar"/>
          <w:bCs/>
          <w:b/>
        </w:rPr>
        <w:t xml:space="preserve">hanzi_entry</w:t>
      </w:r>
      <w:r>
        <w:rPr>
          <w:bCs/>
          <w:b/>
        </w:rPr>
        <w:t xml:space="preserve">: 彴,</w:t>
      </w:r>
      <w:r>
        <w:rPr>
          <w:bCs/>
          <w:b/>
        </w:rPr>
        <w:t xml:space="preserve"> </w:t>
      </w:r>
      <w:r>
        <w:rPr>
          <w:rStyle w:val="VerbatimChar"/>
          <w:bCs/>
          <w:b/>
        </w:rPr>
        <w:t xml:space="preserve">definition</w:t>
      </w:r>
      <w:r>
        <w:rPr>
          <w:bCs/>
          <w:b/>
        </w:rPr>
        <w:t xml:space="preserve">: 止「已」約反　シタフ</w:t>
      </w:r>
      <w:r>
        <w:rPr>
          <w:bCs/>
          <w:b/>
        </w:rPr>
        <w:t xml:space="preserve"> </w:t>
      </w:r>
      <w:r>
        <w:rPr>
          <w:bCs/>
          <w:b/>
        </w:rPr>
        <w:t xml:space="preserve">*</w:t>
      </w:r>
      <w:r>
        <w:rPr>
          <w:bCs/>
          <w:b/>
        </w:rPr>
        <w:t xml:space="preserve"> </w:t>
      </w:r>
      <w:r>
        <w:rPr>
          <w:rStyle w:val="VerbatimChar"/>
          <w:bCs/>
          <w:b/>
        </w:rPr>
        <w:t xml:space="preserve">kazama_location</w:t>
      </w:r>
      <w:r>
        <w:rPr>
          <w:bCs/>
          <w:b/>
        </w:rPr>
        <w:t xml:space="preserve">: K01038541,</w:t>
      </w:r>
      <w:r>
        <w:rPr>
          <w:bCs/>
          <w:b/>
        </w:rPr>
        <w:t xml:space="preserve"> </w:t>
      </w:r>
      <w:r>
        <w:rPr>
          <w:rStyle w:val="VerbatimChar"/>
          <w:bCs/>
          <w:b/>
        </w:rPr>
        <w:t xml:space="preserve">hanzi_entry</w:t>
      </w:r>
      <w:r>
        <w:rPr>
          <w:bCs/>
          <w:b/>
        </w:rPr>
        <w:t xml:space="preserve">: 已／ー,</w:t>
      </w:r>
      <w:r>
        <w:rPr>
          <w:bCs/>
          <w:b/>
        </w:rPr>
        <w:t xml:space="preserve"> </w:t>
      </w:r>
      <w:r>
        <w:rPr>
          <w:rStyle w:val="VerbatimChar"/>
          <w:bCs/>
          <w:b/>
        </w:rPr>
        <w:t xml:space="preserve">definition</w:t>
      </w:r>
      <w:r>
        <w:rPr>
          <w:bCs/>
          <w:b/>
        </w:rPr>
        <w:t xml:space="preserve">: 同</w:t>
      </w:r>
      <w:r>
        <w:rPr>
          <w:bCs/>
          <w:b/>
        </w:rPr>
        <w:t xml:space="preserve"> </w:t>
      </w:r>
      <w:r>
        <w:rPr>
          <w:bCs/>
          <w:b/>
        </w:rPr>
        <w:t xml:space="preserve">*</w:t>
      </w:r>
      <w:r>
        <w:rPr>
          <w:bCs/>
          <w:b/>
        </w:rPr>
        <w:t xml:space="preserve"> </w:t>
      </w:r>
      <w:r>
        <w:rPr>
          <w:rStyle w:val="VerbatimChar"/>
          <w:bCs/>
          <w:b/>
        </w:rPr>
        <w:t xml:space="preserve">kazama_location</w:t>
      </w:r>
      <w:r>
        <w:rPr>
          <w:bCs/>
          <w:b/>
        </w:rPr>
        <w:t xml:space="preserve">: K01038611,</w:t>
      </w:r>
      <w:r>
        <w:rPr>
          <w:bCs/>
          <w:b/>
        </w:rPr>
        <w:t xml:space="preserve"> </w:t>
      </w:r>
      <w:r>
        <w:rPr>
          <w:rStyle w:val="VerbatimChar"/>
          <w:bCs/>
          <w:b/>
        </w:rPr>
        <w:t xml:space="preserve">hanzi_entry</w:t>
      </w:r>
      <w:r>
        <w:rPr>
          <w:bCs/>
          <w:b/>
        </w:rPr>
        <w:t xml:space="preserve">: 向／ー,</w:t>
      </w:r>
      <w:r>
        <w:rPr>
          <w:bCs/>
          <w:b/>
        </w:rPr>
        <w:t xml:space="preserve"> </w:t>
      </w:r>
      <w:r>
        <w:rPr>
          <w:rStyle w:val="VerbatimChar"/>
          <w:bCs/>
          <w:b/>
        </w:rPr>
        <w:t xml:space="preserve">definition</w:t>
      </w:r>
      <w:r>
        <w:rPr>
          <w:bCs/>
          <w:b/>
        </w:rPr>
        <w:t xml:space="preserve">: ユクサキ（HH</w:t>
      </w:r>
      <w:r>
        <w:t xml:space="preserve">）　ユクスヱ,</w:t>
      </w:r>
      <w:r>
        <w:t xml:space="preserve"> </w:t>
      </w:r>
      <w:r>
        <w:rPr>
          <w:rStyle w:val="VerbatimChar"/>
        </w:rPr>
        <w:t xml:space="preserve">remarks</w:t>
      </w:r>
      <w:r>
        <w:t xml:space="preserve">: Erroneous</w:t>
      </w:r>
      <w:r>
        <w:t xml:space="preserve"> </w:t>
      </w:r>
      <w:r>
        <w:rPr>
          <w:rStyle w:val="VerbatimChar"/>
          <w:bCs/>
          <w:b/>
        </w:rPr>
        <w:t xml:space="preserve">Headword</w:t>
      </w:r>
      <w:r>
        <w:t xml:space="preserve">; should be</w:t>
      </w:r>
      <w:r>
        <w:t xml:space="preserve"> </w:t>
      </w:r>
      <w:r>
        <w:t xml:space="preserve">‘</w:t>
      </w:r>
      <w:r>
        <w:t xml:space="preserve">向後</w:t>
      </w:r>
      <w:r>
        <w:t xml:space="preserve">’</w:t>
      </w:r>
      <w:r>
        <w:t xml:space="preserve">. Okada’s research (pp. 193-194) notes that the use of</w:t>
      </w:r>
      <w:r>
        <w:t xml:space="preserve"> </w:t>
      </w:r>
      <w:r>
        <w:t xml:space="preserve">‘</w:t>
      </w:r>
      <w:r>
        <w:t xml:space="preserve">ー</w:t>
      </w:r>
      <w:r>
        <w:t xml:space="preserve">’</w:t>
      </w:r>
      <w:r>
        <w:t xml:space="preserve"> </w:t>
      </w:r>
      <w:r>
        <w:t xml:space="preserve">is appropriate for the Kōzan-ji manuscript.</w:t>
      </w:r>
    </w:p>
    <w:p>
      <w:pPr>
        <w:pStyle w:val="BodyText"/>
      </w:pPr>
      <w:r>
        <w:t xml:space="preserve">Regarding the last two</w:t>
      </w:r>
      <w:r>
        <w:t xml:space="preserve"> </w:t>
      </w:r>
      <w:r>
        <w:rPr>
          <w:rStyle w:val="VerbatimChar"/>
          <w:bCs/>
          <w:b/>
        </w:rPr>
        <w:t xml:space="preserve">Headwords</w:t>
      </w:r>
      <w:r>
        <w:t xml:space="preserve"> </w:t>
      </w:r>
      <w:r>
        <w:t xml:space="preserve">in the example (</w:t>
      </w:r>
      <w:r>
        <w:t xml:space="preserve">‘</w:t>
      </w:r>
      <w:r>
        <w:t xml:space="preserve">已／ー</w:t>
      </w:r>
      <w:r>
        <w:t xml:space="preserve">’</w:t>
      </w:r>
      <w:r>
        <w:t xml:space="preserve"> </w:t>
      </w:r>
      <w:r>
        <w:t xml:space="preserve">and</w:t>
      </w:r>
      <w:r>
        <w:t xml:space="preserve"> </w:t>
      </w:r>
      <w:r>
        <w:t xml:space="preserve">‘</w:t>
      </w:r>
      <w:r>
        <w:t xml:space="preserve">向／ー</w:t>
      </w:r>
      <w:r>
        <w:t xml:space="preserve">’</w:t>
      </w:r>
      <w:r>
        <w:t xml:space="preserve">), if one were to straightforwardly interpret the substitution mark</w:t>
      </w:r>
      <w:r>
        <w:t xml:space="preserve"> </w:t>
      </w:r>
      <w:r>
        <w:t xml:space="preserve">‘</w:t>
      </w:r>
      <w:r>
        <w:t xml:space="preserve">ー</w:t>
      </w:r>
      <w:r>
        <w:t xml:space="preserve">’</w:t>
      </w:r>
      <w:r>
        <w:t xml:space="preserve"> </w:t>
      </w:r>
      <w:r>
        <w:t xml:space="preserve">as referring to the immediately preceding</w:t>
      </w:r>
      <w:r>
        <w:t xml:space="preserve"> </w:t>
      </w:r>
      <w:r>
        <w:rPr>
          <w:rStyle w:val="VerbatimChar"/>
          <w:bCs/>
          <w:b/>
        </w:rPr>
        <w:t xml:space="preserve">Headword</w:t>
      </w:r>
      <w:r>
        <w:t xml:space="preserve"> </w:t>
      </w:r>
      <w:r>
        <w:t xml:space="preserve">(</w:t>
      </w:r>
      <w:r>
        <w:t xml:space="preserve">‘</w:t>
      </w:r>
      <w:r>
        <w:t xml:space="preserve">彴</w:t>
      </w:r>
      <w:r>
        <w:t xml:space="preserve">’</w:t>
      </w:r>
      <w:r>
        <w:t xml:space="preserve"> </w:t>
      </w:r>
      <w:r>
        <w:t xml:space="preserve">from</w:t>
      </w:r>
      <w:r>
        <w:t xml:space="preserve"> </w:t>
      </w:r>
      <w:r>
        <w:rPr>
          <w:rStyle w:val="VerbatimChar"/>
        </w:rPr>
        <w:t xml:space="preserve">K01038530</w:t>
      </w:r>
      <w:r>
        <w:t xml:space="preserve">), they would become</w:t>
      </w:r>
      <w:r>
        <w:t xml:space="preserve"> </w:t>
      </w:r>
      <w:r>
        <w:t xml:space="preserve">‘</w:t>
      </w:r>
      <w:r>
        <w:t xml:space="preserve">已／ー (substituting 彴)</w:t>
      </w:r>
      <w:r>
        <w:t xml:space="preserve">’</w:t>
      </w:r>
      <w:r>
        <w:t xml:space="preserve"> </w:t>
      </w:r>
      <w:r>
        <w:t xml:space="preserve">and</w:t>
      </w:r>
      <w:r>
        <w:t xml:space="preserve"> </w:t>
      </w:r>
      <w:r>
        <w:t xml:space="preserve">‘</w:t>
      </w:r>
      <w:r>
        <w:t xml:space="preserve">向／ー (substituting 彴)</w:t>
      </w:r>
      <w:r>
        <w:t xml:space="preserve">’</w:t>
      </w:r>
      <w:r>
        <w:t xml:space="preserve">. However, this interpretation does not make sense in context. As Okada Yoshio has pointed out, the</w:t>
      </w:r>
      <w:r>
        <w:t xml:space="preserve"> </w:t>
      </w:r>
      <w:r>
        <w:rPr>
          <w:rStyle w:val="VerbatimChar"/>
          <w:bCs/>
          <w:b/>
        </w:rPr>
        <w:t xml:space="preserve">Headword</w:t>
      </w:r>
      <w:r>
        <w:t xml:space="preserve"> </w:t>
      </w:r>
      <w:r>
        <w:t xml:space="preserve">‘</w:t>
      </w:r>
      <w:r>
        <w:t xml:space="preserve">向／ー</w:t>
      </w:r>
      <w:r>
        <w:t xml:space="preserve">’</w:t>
      </w:r>
      <w:r>
        <w:t xml:space="preserve"> </w:t>
      </w:r>
      <w:r>
        <w:t xml:space="preserve">in this section should actually be</w:t>
      </w:r>
      <w:r>
        <w:t xml:space="preserve"> </w:t>
      </w:r>
      <w:r>
        <w:t xml:space="preserve">‘</w:t>
      </w:r>
      <w:r>
        <w:t xml:space="preserve">向後</w:t>
      </w:r>
      <w:r>
        <w:t xml:space="preserve">’</w:t>
      </w:r>
      <w:r>
        <w:t xml:space="preserve">. Consequently, the preceding</w:t>
      </w:r>
      <w:r>
        <w:t xml:space="preserve"> </w:t>
      </w:r>
      <w:r>
        <w:rPr>
          <w:rStyle w:val="VerbatimChar"/>
          <w:bCs/>
          <w:b/>
        </w:rPr>
        <w:t xml:space="preserve">Headword</w:t>
      </w:r>
      <w:r>
        <w:t xml:space="preserve"> </w:t>
      </w:r>
      <w:r>
        <w:t xml:space="preserve">‘</w:t>
      </w:r>
      <w:r>
        <w:t xml:space="preserve">已／ー</w:t>
      </w:r>
      <w:r>
        <w:t xml:space="preserve">’</w:t>
      </w:r>
      <w:r>
        <w:t xml:space="preserve"> </w:t>
      </w:r>
      <w:r>
        <w:t xml:space="preserve">should then be interpreted as</w:t>
      </w:r>
      <w:r>
        <w:t xml:space="preserve"> </w:t>
      </w:r>
      <w:r>
        <w:t xml:space="preserve">‘</w:t>
      </w:r>
      <w:r>
        <w:t xml:space="preserve">已／後</w:t>
      </w:r>
      <w:r>
        <w:t xml:space="preserve">’</w:t>
      </w:r>
      <w:r>
        <w:t xml:space="preserve">.</w:t>
      </w:r>
    </w:p>
    <w:p>
      <w:pPr>
        <w:pStyle w:val="BodyText"/>
      </w:pPr>
      <w:r>
        <w:t xml:space="preserve">In other words, it is hypothesized that this section originally had the</w:t>
      </w:r>
      <w:r>
        <w:t xml:space="preserve"> </w:t>
      </w:r>
      <w:r>
        <w:rPr>
          <w:rStyle w:val="VerbatimChar"/>
          <w:bCs/>
          <w:b/>
        </w:rPr>
        <w:t xml:space="preserve">Entries</w:t>
      </w:r>
      <w:r>
        <w:t xml:space="preserve"> </w:t>
      </w:r>
      <w:r>
        <w:t xml:space="preserve">with</w:t>
      </w:r>
      <w:r>
        <w:t xml:space="preserve"> </w:t>
      </w:r>
      <w:r>
        <w:rPr>
          <w:rStyle w:val="VerbatimChar"/>
          <w:bCs/>
          <w:b/>
        </w:rPr>
        <w:t xml:space="preserve">Headwords</w:t>
      </w:r>
      <w:r>
        <w:t xml:space="preserve"> </w:t>
      </w:r>
      <w:r>
        <w:t xml:space="preserve">‘</w:t>
      </w:r>
      <w:r>
        <w:t xml:space="preserve">以／後</w:t>
      </w:r>
      <w:r>
        <w:t xml:space="preserve">’</w:t>
      </w:r>
      <w:r>
        <w:t xml:space="preserve">,</w:t>
      </w:r>
      <w:r>
        <w:t xml:space="preserve"> </w:t>
      </w:r>
      <w:r>
        <w:t xml:space="preserve">‘</w:t>
      </w:r>
      <w:r>
        <w:t xml:space="preserve">已／後</w:t>
      </w:r>
      <w:r>
        <w:t xml:space="preserve">’</w:t>
      </w:r>
      <w:r>
        <w:t xml:space="preserve">, and</w:t>
      </w:r>
      <w:r>
        <w:t xml:space="preserve"> </w:t>
      </w:r>
      <w:r>
        <w:t xml:space="preserve">‘</w:t>
      </w:r>
      <w:r>
        <w:t xml:space="preserve">向／後</w:t>
      </w:r>
      <w:r>
        <w:t xml:space="preserve">’</w:t>
      </w:r>
      <w:r>
        <w:t xml:space="preserve"> </w:t>
      </w:r>
      <w:r>
        <w:t xml:space="preserve">listed in sequence. Subsequently, the</w:t>
      </w:r>
      <w:r>
        <w:t xml:space="preserve"> </w:t>
      </w:r>
      <w:r>
        <w:rPr>
          <w:rStyle w:val="VerbatimChar"/>
          <w:bCs/>
          <w:b/>
        </w:rPr>
        <w:t xml:space="preserve">Entries</w:t>
      </w:r>
      <w:r>
        <w:t xml:space="preserve"> </w:t>
      </w:r>
      <w:r>
        <w:t xml:space="preserve">listed above from the second one (</w:t>
      </w:r>
      <w:r>
        <w:rPr>
          <w:rStyle w:val="VerbatimChar"/>
        </w:rPr>
        <w:t xml:space="preserve">K01038420</w:t>
      </w:r>
      <w:r>
        <w:t xml:space="preserve">,</w:t>
      </w:r>
      <w:r>
        <w:t xml:space="preserve"> </w:t>
      </w:r>
      <w:r>
        <w:rPr>
          <w:rStyle w:val="VerbatimChar"/>
          <w:bCs/>
          <w:b/>
        </w:rPr>
        <w:t xml:space="preserve">Headword</w:t>
      </w:r>
      <w:r>
        <w:t xml:space="preserve"> </w:t>
      </w:r>
      <w:r>
        <w:t xml:space="preserve">‘</w:t>
      </w:r>
      <w:r>
        <w:t xml:space="preserve">㣭</w:t>
      </w:r>
      <w:r>
        <w:t xml:space="preserve">’</w:t>
      </w:r>
      <w:r>
        <w:t xml:space="preserve">) through the fifth one (</w:t>
      </w:r>
      <w:r>
        <w:rPr>
          <w:rStyle w:val="VerbatimChar"/>
        </w:rPr>
        <w:t xml:space="preserve">K01038530</w:t>
      </w:r>
      <w:r>
        <w:t xml:space="preserve">,</w:t>
      </w:r>
      <w:r>
        <w:t xml:space="preserve"> </w:t>
      </w:r>
      <w:r>
        <w:rPr>
          <w:rStyle w:val="VerbatimChar"/>
          <w:bCs/>
          <w:b/>
        </w:rPr>
        <w:t xml:space="preserve">Headword</w:t>
      </w:r>
      <w:r>
        <w:t xml:space="preserve"> </w:t>
      </w:r>
      <w:r>
        <w:t xml:space="preserve">‘</w:t>
      </w:r>
      <w:r>
        <w:t xml:space="preserve">彴</w:t>
      </w:r>
      <w:r>
        <w:t xml:space="preserve">’</w:t>
      </w:r>
      <w:r>
        <w:t xml:space="preserve">) are presumed to have been inserted into this original sequence.</w:t>
      </w:r>
    </w:p>
    <w:bookmarkEnd w:id="278"/>
    <w:bookmarkStart w:id="280" w:name="Xa0f62d6d57b6f3723dbea0939fec778004f6edd"/>
    <w:p>
      <w:pPr>
        <w:pStyle w:val="Heading2"/>
      </w:pPr>
      <w:r>
        <w:rPr>
          <w:rStyle w:val="SectionNumber"/>
        </w:rPr>
        <w:t xml:space="preserve">21.5</w:t>
      </w:r>
      <w:r>
        <w:tab/>
      </w:r>
      <w:r>
        <w:rPr>
          <w:rStyle w:val="VerbatimChar"/>
        </w:rPr>
        <w:t xml:space="preserve">Iteration Marks</w:t>
      </w:r>
      <w:r>
        <w:t xml:space="preserve"> </w:t>
      </w:r>
      <w:r>
        <w:t xml:space="preserve">(踊り字,</w:t>
      </w:r>
      <w:r>
        <w:t xml:space="preserve"> </w:t>
      </w:r>
      <w:r>
        <w:rPr>
          <w:iCs/>
          <w:i/>
        </w:rPr>
        <w:t xml:space="preserve">odoriji</w:t>
      </w:r>
      <w:r>
        <w:t xml:space="preserve">) using</w:t>
      </w:r>
      <w:r>
        <w:t xml:space="preserve"> </w:t>
      </w:r>
      <w:r>
        <w:t xml:space="preserve">‘</w:t>
      </w:r>
      <w:r>
        <w:t xml:space="preserve">〻</w:t>
      </w:r>
      <w:r>
        <w:t xml:space="preserve">’</w:t>
      </w:r>
    </w:p>
    <w:p>
      <w:pPr>
        <w:pStyle w:val="FirstParagraph"/>
      </w:pPr>
      <w:r>
        <w:rPr>
          <w:rStyle w:val="VerbatimChar"/>
          <w:bCs/>
          <w:b/>
        </w:rPr>
        <w:t xml:space="preserve">Iteration Marks</w:t>
      </w:r>
      <w:r>
        <w:t xml:space="preserve"> </w:t>
      </w:r>
      <w:r>
        <w:t xml:space="preserve">(踊り字,</w:t>
      </w:r>
      <w:r>
        <w:t xml:space="preserve"> </w:t>
      </w:r>
      <w:r>
        <w:rPr>
          <w:iCs/>
          <w:i/>
        </w:rPr>
        <w:t xml:space="preserve">odoriji</w:t>
      </w:r>
      <w:r>
        <w:t xml:space="preserve">) are also known as repetition marks (繰り返し符号,</w:t>
      </w:r>
      <w:r>
        <w:t xml:space="preserve"> </w:t>
      </w:r>
      <w:r>
        <w:rPr>
          <w:iCs/>
          <w:i/>
        </w:rPr>
        <w:t xml:space="preserve">kurikaeshi fugō</w:t>
      </w:r>
      <w:r>
        <w:t xml:space="preserve">) or similar terms.</w:t>
      </w:r>
      <w:r>
        <w:t xml:space="preserve"> </w:t>
      </w:r>
      <w:r>
        <w:t xml:space="preserve">Although the iteration mark</w:t>
      </w:r>
      <w:r>
        <w:t xml:space="preserve"> </w:t>
      </w:r>
      <w:r>
        <w:t xml:space="preserve">‘</w:t>
      </w:r>
      <w:r>
        <w:t xml:space="preserve">々</w:t>
      </w:r>
      <w:r>
        <w:t xml:space="preserve">’</w:t>
      </w:r>
      <w:r>
        <w:t xml:space="preserve"> </w:t>
      </w:r>
      <w:r>
        <w:t xml:space="preserve">(U+3005) is commonly used for</w:t>
      </w:r>
      <w:r>
        <w:t xml:space="preserve"> </w:t>
      </w:r>
      <w:r>
        <w:rPr>
          <w:rStyle w:val="VerbatimChar"/>
          <w:bCs/>
          <w:b/>
        </w:rPr>
        <w:t xml:space="preserve">Hanzi (Chinese characters)</w:t>
      </w:r>
      <w:r>
        <w:t xml:space="preserve"> </w:t>
      </w:r>
      <w:r>
        <w:t xml:space="preserve">today, this database employs</w:t>
      </w:r>
      <w:r>
        <w:t xml:space="preserve"> </w:t>
      </w:r>
      <w:r>
        <w:t xml:space="preserve">‘</w:t>
      </w:r>
      <w:r>
        <w:t xml:space="preserve">〻</w:t>
      </w:r>
      <w:r>
        <w:t xml:space="preserve">’</w:t>
      </w:r>
      <w:r>
        <w:t xml:space="preserve"> </w:t>
      </w:r>
      <w:r>
        <w:t xml:space="preserve">(U+303B).</w:t>
      </w:r>
      <w:r>
        <w:t xml:space="preserve"> </w:t>
      </w:r>
      <w:r>
        <w:t xml:space="preserve">In the Kanchi-in manuscript, the</w:t>
      </w:r>
      <w:r>
        <w:t xml:space="preserve"> </w:t>
      </w:r>
      <w:r>
        <w:t xml:space="preserve">‘</w:t>
      </w:r>
      <w:r>
        <w:t xml:space="preserve">〻</w:t>
      </w:r>
      <w:r>
        <w:t xml:space="preserve">’</w:t>
      </w:r>
      <w:r>
        <w:t xml:space="preserve"> </w:t>
      </w:r>
      <w:r>
        <w:t xml:space="preserve">mark is typically used for the second and subsequent characters in the</w:t>
      </w:r>
      <w:r>
        <w:t xml:space="preserve"> </w:t>
      </w:r>
      <w:r>
        <w:rPr>
          <w:rStyle w:val="VerbatimChar"/>
          <w:bCs/>
          <w:b/>
        </w:rPr>
        <w:t xml:space="preserve">Headword</w:t>
      </w:r>
      <w:r>
        <w:t xml:space="preserve"> </w:t>
      </w:r>
      <w:r>
        <w:t xml:space="preserve">of an</w:t>
      </w:r>
      <w:r>
        <w:t xml:space="preserve"> </w:t>
      </w:r>
      <w:r>
        <w:rPr>
          <w:rStyle w:val="VerbatimChar"/>
          <w:bCs/>
          <w:b/>
        </w:rPr>
        <w:t xml:space="preserve">Entry</w:t>
      </w:r>
      <w:r>
        <w:t xml:space="preserve"> </w:t>
      </w:r>
      <w:r>
        <w:t xml:space="preserve">for a compound word (熟語項目,</w:t>
      </w:r>
      <w:r>
        <w:t xml:space="preserve"> </w:t>
      </w:r>
      <w:r>
        <w:rPr>
          <w:iCs/>
          <w:i/>
        </w:rPr>
        <w:t xml:space="preserve">jukugo kōmoku</w:t>
      </w:r>
      <w:r>
        <w:t xml:space="preserve">), as shown in the examples below.</w:t>
      </w:r>
    </w:p>
    <w:p>
      <w:pPr>
        <w:pStyle w:val="BodyText"/>
      </w:pPr>
      <w:r>
        <w:rPr>
          <w:bCs/>
          <w:b/>
        </w:rPr>
        <w:t xml:space="preserve">Examples:</w:t>
      </w:r>
      <w:r>
        <w:t xml:space="preserve"> </w:t>
      </w:r>
      <w:r>
        <w:t xml:space="preserve">*</w:t>
      </w:r>
      <w:r>
        <w:t xml:space="preserve"> </w:t>
      </w:r>
      <w:r>
        <w:rPr>
          <w:rStyle w:val="VerbatimChar"/>
        </w:rPr>
        <w:t xml:space="preserve">kazama_location</w:t>
      </w:r>
      <w:r>
        <w:t xml:space="preserve">: K01059441,</w:t>
      </w:r>
      <w:r>
        <w:t xml:space="preserve"> </w:t>
      </w:r>
      <w:r>
        <w:rPr>
          <w:rStyle w:val="VerbatimChar"/>
        </w:rPr>
        <w:t xml:space="preserve">hanzi_entry</w:t>
      </w:r>
      <w:r>
        <w:t xml:space="preserve">: ー（迢）／〻（迢）,</w:t>
      </w:r>
      <w:r>
        <w:t xml:space="preserve"> </w:t>
      </w:r>
      <w:r>
        <w:rPr>
          <w:rStyle w:val="VerbatimChar"/>
        </w:rPr>
        <w:t xml:space="preserve">definition</w:t>
      </w:r>
      <w:r>
        <w:t xml:space="preserve">: トホノカナリ</w:t>
      </w:r>
      <w:r>
        <w:t xml:space="preserve"> </w:t>
      </w:r>
      <w:r>
        <w:t xml:space="preserve">*</w:t>
      </w:r>
      <w:r>
        <w:t xml:space="preserve"> </w:t>
      </w:r>
      <w:r>
        <w:rPr>
          <w:rStyle w:val="VerbatimChar"/>
        </w:rPr>
        <w:t xml:space="preserve">kazama_location</w:t>
      </w:r>
      <w:r>
        <w:t xml:space="preserve">: K02021731,</w:t>
      </w:r>
      <w:r>
        <w:t xml:space="preserve"> </w:t>
      </w:r>
      <w:r>
        <w:rPr>
          <w:rStyle w:val="VerbatimChar"/>
        </w:rPr>
        <w:t xml:space="preserve">hanzi_entry</w:t>
      </w:r>
      <w:r>
        <w:t xml:space="preserve">: 曽／ー（祖）／〻（母）,</w:t>
      </w:r>
      <w:r>
        <w:t xml:space="preserve"> </w:t>
      </w:r>
      <w:r>
        <w:rPr>
          <w:rStyle w:val="VerbatimChar"/>
        </w:rPr>
        <w:t xml:space="preserve">definition</w:t>
      </w:r>
      <w:r>
        <w:t xml:space="preserve">: オホオハ（LHLHV）</w:t>
      </w:r>
      <w:r>
        <w:t xml:space="preserve"> </w:t>
      </w:r>
      <w:r>
        <w:t xml:space="preserve">*</w:t>
      </w:r>
      <w:r>
        <w:t xml:space="preserve"> </w:t>
      </w:r>
      <w:r>
        <w:rPr>
          <w:rStyle w:val="VerbatimChar"/>
        </w:rPr>
        <w:t xml:space="preserve">kazama_location</w:t>
      </w:r>
      <w:r>
        <w:t xml:space="preserve">: K06036711,</w:t>
      </w:r>
      <w:r>
        <w:t xml:space="preserve"> </w:t>
      </w:r>
      <w:r>
        <w:rPr>
          <w:rStyle w:val="VerbatimChar"/>
        </w:rPr>
        <w:t xml:space="preserve">hanzi_entry</w:t>
      </w:r>
      <w:r>
        <w:t xml:space="preserve">: 郁／〻（郁）,</w:t>
      </w:r>
      <w:r>
        <w:t xml:space="preserve"> </w:t>
      </w:r>
      <w:r>
        <w:rPr>
          <w:rStyle w:val="VerbatimChar"/>
        </w:rPr>
        <w:t xml:space="preserve">definition</w:t>
      </w:r>
      <w:r>
        <w:t xml:space="preserve">: マタラカナリ（LLVHL__）</w:t>
      </w:r>
    </w:p>
    <w:bookmarkStart w:id="279" w:name="X7e22d4e788949558565bbc130210bf196794e96"/>
    <w:p>
      <w:pPr>
        <w:pStyle w:val="Heading3"/>
      </w:pPr>
      <w:r>
        <w:rPr>
          <w:rStyle w:val="SectionNumber"/>
        </w:rPr>
        <w:t xml:space="preserve">21.5.1</w:t>
      </w:r>
      <w:r>
        <w:tab/>
      </w:r>
      <w:r>
        <w:t xml:space="preserve">Characters in</w:t>
      </w:r>
      <w:r>
        <w:t xml:space="preserve"> </w:t>
      </w:r>
      <w:r>
        <w:rPr>
          <w:rStyle w:val="VerbatimChar"/>
        </w:rPr>
        <w:t xml:space="preserve">Original Glosses</w:t>
      </w:r>
      <w:r>
        <w:t xml:space="preserve"> </w:t>
      </w:r>
      <w:r>
        <w:t xml:space="preserve">Written in Large Size</w:t>
      </w:r>
    </w:p>
    <w:p>
      <w:pPr>
        <w:pStyle w:val="FirstParagraph"/>
      </w:pPr>
      <w:r>
        <w:t xml:space="preserve">There are instances where characters within the</w:t>
      </w:r>
      <w:r>
        <w:t xml:space="preserve"> </w:t>
      </w:r>
      <w:r>
        <w:rPr>
          <w:rStyle w:val="VerbatimChar"/>
          <w:bCs/>
          <w:b/>
        </w:rPr>
        <w:t xml:space="preserve">Original Glosses</w:t>
      </w:r>
      <w:r>
        <w:t xml:space="preserve"> </w:t>
      </w:r>
      <w:r>
        <w:t xml:space="preserve">are written in a large size, similar to</w:t>
      </w:r>
      <w:r>
        <w:t xml:space="preserve"> </w:t>
      </w:r>
      <w:r>
        <w:rPr>
          <w:rStyle w:val="VerbatimChar"/>
          <w:bCs/>
          <w:b/>
        </w:rPr>
        <w:t xml:space="preserve">Headwords</w:t>
      </w:r>
      <w:r>
        <w:t xml:space="preserve">, which can lead to confusion.</w:t>
      </w:r>
    </w:p>
    <w:p>
      <w:pPr>
        <w:pStyle w:val="BodyText"/>
      </w:pPr>
      <w:r>
        <w:rPr>
          <w:bCs/>
          <w:b/>
        </w:rPr>
        <w:t xml:space="preserve">Example 1:</w:t>
      </w:r>
      <w:r>
        <w:t xml:space="preserve"> </w:t>
      </w:r>
      <w:r>
        <w:t xml:space="preserve">*</w:t>
      </w:r>
      <w:r>
        <w:t xml:space="preserve"> </w:t>
      </w:r>
      <w:r>
        <w:rPr>
          <w:rStyle w:val="VerbatimChar"/>
        </w:rPr>
        <w:t xml:space="preserve">kazama_location</w:t>
      </w:r>
      <w:r>
        <w:t xml:space="preserve">: K02051210</w:t>
      </w:r>
      <w:r>
        <w:t xml:space="preserve"> </w:t>
      </w:r>
      <w:r>
        <w:t xml:space="preserve">*</w:t>
      </w:r>
      <w:r>
        <w:t xml:space="preserve"> </w:t>
      </w:r>
      <w:r>
        <w:rPr>
          <w:rStyle w:val="VerbatimChar"/>
        </w:rPr>
        <w:t xml:space="preserve">hanzi_entry</w:t>
      </w:r>
      <w:r>
        <w:t xml:space="preserve">: 𠰍</w:t>
      </w:r>
      <w:r>
        <w:t xml:space="preserve"> </w:t>
      </w:r>
      <w:r>
        <w:t xml:space="preserve">*</w:t>
      </w:r>
      <w:r>
        <w:t xml:space="preserve"> </w:t>
      </w:r>
      <w:r>
        <w:rPr>
          <w:rStyle w:val="VerbatimChar"/>
        </w:rPr>
        <w:t xml:space="preserve">definition</w:t>
      </w:r>
      <w:r>
        <w:t xml:space="preserve">: 音主　呼鷄</w:t>
      </w:r>
      <w:r>
        <w:t xml:space="preserve"> </w:t>
      </w:r>
      <w:r>
        <w:t xml:space="preserve">*</w:t>
      </w:r>
      <w:r>
        <w:t xml:space="preserve"> </w:t>
      </w:r>
      <w:r>
        <w:rPr>
          <w:rStyle w:val="VerbatimChar"/>
        </w:rPr>
        <w:t xml:space="preserve">remarks</w:t>
      </w:r>
      <w:r>
        <w:t xml:space="preserve"> </w:t>
      </w:r>
      <w:r>
        <w:t xml:space="preserve">(</w:t>
      </w:r>
      <w:r>
        <w:rPr>
          <w:rStyle w:val="VerbatimChar"/>
          <w:bCs/>
          <w:b/>
        </w:rPr>
        <w:t xml:space="preserve">Compiler's Remark</w:t>
      </w:r>
      <w:r>
        <w:t xml:space="preserve">): In both the Kōzan-ji and Renjō-in manuscripts, the part corresponding to</w:t>
      </w:r>
      <w:r>
        <w:t xml:space="preserve"> </w:t>
      </w:r>
      <w:r>
        <w:t xml:space="preserve">‘</w:t>
      </w:r>
      <w:r>
        <w:t xml:space="preserve">呼鷄</w:t>
      </w:r>
      <w:r>
        <w:t xml:space="preserve">’</w:t>
      </w:r>
      <w:r>
        <w:t xml:space="preserve"> </w:t>
      </w:r>
      <w:r>
        <w:t xml:space="preserve">is rendered as</w:t>
      </w:r>
      <w:r>
        <w:t xml:space="preserve"> </w:t>
      </w:r>
      <w:r>
        <w:t xml:space="preserve">‘</w:t>
      </w:r>
      <w:r>
        <w:t xml:space="preserve">ー〻呼鷄</w:t>
      </w:r>
      <w:r>
        <w:t xml:space="preserve">’</w:t>
      </w:r>
      <w:r>
        <w:t xml:space="preserve"> </w:t>
      </w:r>
      <w:r>
        <w:t xml:space="preserve">(where</w:t>
      </w:r>
      <w:r>
        <w:t xml:space="preserve"> </w:t>
      </w:r>
      <w:r>
        <w:t xml:space="preserve">‘</w:t>
      </w:r>
      <w:r>
        <w:t xml:space="preserve">ー〻</w:t>
      </w:r>
      <w:r>
        <w:t xml:space="preserve">’</w:t>
      </w:r>
      <w:r>
        <w:t xml:space="preserve"> </w:t>
      </w:r>
      <w:r>
        <w:t xml:space="preserve">likely indicates iteration or continuation from a preceding entry, followed by</w:t>
      </w:r>
      <w:r>
        <w:t xml:space="preserve"> </w:t>
      </w:r>
      <w:r>
        <w:t xml:space="preserve">‘</w:t>
      </w:r>
      <w:r>
        <w:t xml:space="preserve">呼鷄</w:t>
      </w:r>
      <w:r>
        <w:t xml:space="preserve">’</w:t>
      </w:r>
      <w:r>
        <w:t xml:space="preserve">). The Kanchi-in manuscript, however, writes</w:t>
      </w:r>
      <w:r>
        <w:t xml:space="preserve"> </w:t>
      </w:r>
      <w:r>
        <w:t xml:space="preserve">‘</w:t>
      </w:r>
      <w:r>
        <w:t xml:space="preserve">呼鷄</w:t>
      </w:r>
      <w:r>
        <w:t xml:space="preserve">’</w:t>
      </w:r>
      <w:r>
        <w:t xml:space="preserve"> </w:t>
      </w:r>
      <w:r>
        <w:t xml:space="preserve">in a large size.</w:t>
      </w:r>
    </w:p>
    <w:p>
      <w:pPr>
        <w:pStyle w:val="BodyText"/>
      </w:pPr>
      <w:r>
        <w:t xml:space="preserve">This is an example from the</w:t>
      </w:r>
      <w:r>
        <w:t xml:space="preserve"> </w:t>
      </w:r>
      <w:r>
        <w:t xml:space="preserve">“</w:t>
      </w:r>
      <w:r>
        <w:t xml:space="preserve">口</w:t>
      </w:r>
      <w:r>
        <w:t xml:space="preserve">”</w:t>
      </w:r>
      <w:r>
        <w:t xml:space="preserve"> </w:t>
      </w:r>
      <w:r>
        <w:t xml:space="preserve">(mouth) radical section. While the Kanchi-in manuscript writes</w:t>
      </w:r>
      <w:r>
        <w:t xml:space="preserve"> </w:t>
      </w:r>
      <w:r>
        <w:t xml:space="preserve">‘</w:t>
      </w:r>
      <w:r>
        <w:t xml:space="preserve">呼鷄</w:t>
      </w:r>
      <w:r>
        <w:t xml:space="preserve">’</w:t>
      </w:r>
      <w:r>
        <w:t xml:space="preserve"> </w:t>
      </w:r>
      <w:r>
        <w:t xml:space="preserve">in a large size, both the Kōzan-ji and Renjō-in manuscripts have</w:t>
      </w:r>
      <w:r>
        <w:t xml:space="preserve"> </w:t>
      </w:r>
      <w:r>
        <w:t xml:space="preserve">‘</w:t>
      </w:r>
      <w:r>
        <w:t xml:space="preserve">ー〻呼鷄</w:t>
      </w:r>
      <w:r>
        <w:t xml:space="preserve">’</w:t>
      </w:r>
      <w:r>
        <w:t xml:space="preserve">, suggesting that</w:t>
      </w:r>
      <w:r>
        <w:t xml:space="preserve"> </w:t>
      </w:r>
      <w:r>
        <w:t xml:space="preserve">‘</w:t>
      </w:r>
      <w:r>
        <w:t xml:space="preserve">呼鷄</w:t>
      </w:r>
      <w:r>
        <w:t xml:space="preserve">’</w:t>
      </w:r>
      <w:r>
        <w:t xml:space="preserve"> </w:t>
      </w:r>
      <w:r>
        <w:t xml:space="preserve">in the Kanchi-in manuscript should be considered as characters within the</w:t>
      </w:r>
      <w:r>
        <w:t xml:space="preserve"> </w:t>
      </w:r>
      <w:r>
        <w:rPr>
          <w:rStyle w:val="VerbatimChar"/>
          <w:bCs/>
          <w:b/>
        </w:rPr>
        <w:t xml:space="preserve">Original Glosses</w:t>
      </w:r>
      <w:r>
        <w:t xml:space="preserve"> </w:t>
      </w:r>
      <w:r>
        <w:t xml:space="preserve">(rather than a separate</w:t>
      </w:r>
      <w:r>
        <w:t xml:space="preserve"> </w:t>
      </w:r>
      <w:r>
        <w:rPr>
          <w:rStyle w:val="VerbatimChar"/>
          <w:bCs/>
          <w:b/>
        </w:rPr>
        <w:t xml:space="preserve">Headword</w:t>
      </w:r>
      <w:r>
        <w:t xml:space="preserve">).</w:t>
      </w:r>
    </w:p>
    <w:p>
      <w:pPr>
        <w:pStyle w:val="BodyText"/>
      </w:pPr>
      <w:r>
        <w:rPr>
          <w:bCs/>
          <w:b/>
        </w:rPr>
        <w:t xml:space="preserve">Example 2:</w:t>
      </w:r>
      <w:r>
        <w:t xml:space="preserve"> </w:t>
      </w:r>
      <w:r>
        <w:t xml:space="preserve">*</w:t>
      </w:r>
      <w:r>
        <w:t xml:space="preserve"> </w:t>
      </w:r>
      <w:r>
        <w:rPr>
          <w:rStyle w:val="VerbatimChar"/>
        </w:rPr>
        <w:t xml:space="preserve">kazama_location</w:t>
      </w:r>
      <w:r>
        <w:t xml:space="preserve">: K06100620</w:t>
      </w:r>
      <w:r>
        <w:t xml:space="preserve"> </w:t>
      </w:r>
      <w:r>
        <w:t xml:space="preserve">*</w:t>
      </w:r>
      <w:r>
        <w:t xml:space="preserve"> </w:t>
      </w:r>
      <w:r>
        <w:rPr>
          <w:rStyle w:val="VerbatimChar"/>
        </w:rPr>
        <w:t xml:space="preserve">hanzi_entry</w:t>
      </w:r>
      <w:r>
        <w:t xml:space="preserve">: 憙</w:t>
      </w:r>
      <w:r>
        <w:t xml:space="preserve"> </w:t>
      </w:r>
      <w:r>
        <w:t xml:space="preserve">*</w:t>
      </w:r>
      <w:r>
        <w:t xml:space="preserve"> </w:t>
      </w:r>
      <w:r>
        <w:rPr>
          <w:rStyle w:val="VerbatimChar"/>
        </w:rPr>
        <w:t xml:space="preserve">definition</w:t>
      </w:r>
      <w:r>
        <w:t xml:space="preserve">: 音喜（H-L）　又嬉　コノム（LLH）　喜「注也」　ネカフ　ツクス　ヨロコフ（LLH_）　ヒロシ（LL_）</w:t>
      </w:r>
      <w:r>
        <w:t xml:space="preserve"> </w:t>
      </w:r>
      <w:r>
        <w:t xml:space="preserve">*</w:t>
      </w:r>
      <w:r>
        <w:t xml:space="preserve"> </w:t>
      </w:r>
      <w:r>
        <w:rPr>
          <w:rStyle w:val="VerbatimChar"/>
        </w:rPr>
        <w:t xml:space="preserve">remarks</w:t>
      </w:r>
      <w:r>
        <w:t xml:space="preserve"> </w:t>
      </w:r>
      <w:r>
        <w:t xml:space="preserve">(</w:t>
      </w:r>
      <w:r>
        <w:rPr>
          <w:rStyle w:val="VerbatimChar"/>
          <w:bCs/>
          <w:b/>
        </w:rPr>
        <w:t xml:space="preserve">Compiler's Remark</w:t>
      </w:r>
      <w:r>
        <w:t xml:space="preserve">): Within the</w:t>
      </w:r>
      <w:r>
        <w:t xml:space="preserve"> </w:t>
      </w:r>
      <w:r>
        <w:rPr>
          <w:rStyle w:val="VerbatimChar"/>
          <w:bCs/>
          <w:b/>
        </w:rPr>
        <w:t xml:space="preserve">Original Glosses</w:t>
      </w:r>
      <w:r>
        <w:t xml:space="preserve">, the character</w:t>
      </w:r>
      <w:r>
        <w:t xml:space="preserve"> </w:t>
      </w:r>
      <w:r>
        <w:t xml:space="preserve">‘</w:t>
      </w:r>
      <w:r>
        <w:t xml:space="preserve">喜</w:t>
      </w:r>
      <w:r>
        <w:t xml:space="preserve">’</w:t>
      </w:r>
      <w:r>
        <w:t xml:space="preserve"> </w:t>
      </w:r>
      <w:r>
        <w:t xml:space="preserve">is written in a large size;</w:t>
      </w:r>
      <w:r>
        <w:t xml:space="preserve"> </w:t>
      </w:r>
      <w:r>
        <w:t xml:space="preserve">‘</w:t>
      </w:r>
      <w:r>
        <w:t xml:space="preserve">注也</w:t>
      </w:r>
      <w:r>
        <w:t xml:space="preserve">’</w:t>
      </w:r>
      <w:r>
        <w:t xml:space="preserve"> </w:t>
      </w:r>
      <w:r>
        <w:t xml:space="preserve">(</w:t>
      </w:r>
      <w:r>
        <w:t xml:space="preserve">“</w:t>
      </w:r>
      <w:r>
        <w:t xml:space="preserve">this is a gloss</w:t>
      </w:r>
      <w:r>
        <w:t xml:space="preserve">”</w:t>
      </w:r>
      <w:r>
        <w:t xml:space="preserve">) is written to its left in red ink.</w:t>
      </w:r>
    </w:p>
    <w:p>
      <w:pPr>
        <w:pStyle w:val="BodyText"/>
      </w:pPr>
      <w:r>
        <w:t xml:space="preserve">This example is from the</w:t>
      </w:r>
      <w:r>
        <w:t xml:space="preserve"> </w:t>
      </w:r>
      <w:r>
        <w:t xml:space="preserve">“</w:t>
      </w:r>
      <w:r>
        <w:t xml:space="preserve">心</w:t>
      </w:r>
      <w:r>
        <w:t xml:space="preserve">”</w:t>
      </w:r>
      <w:r>
        <w:t xml:space="preserve"> </w:t>
      </w:r>
      <w:r>
        <w:t xml:space="preserve">(heart) radical section. Here, the character</w:t>
      </w:r>
      <w:r>
        <w:t xml:space="preserve"> </w:t>
      </w:r>
      <w:r>
        <w:t xml:space="preserve">‘</w:t>
      </w:r>
      <w:r>
        <w:t xml:space="preserve">喜</w:t>
      </w:r>
      <w:r>
        <w:t xml:space="preserve">’</w:t>
      </w:r>
      <w:r>
        <w:t xml:space="preserve"> </w:t>
      </w:r>
      <w:r>
        <w:t xml:space="preserve">is written in a large size, making it appear like a</w:t>
      </w:r>
      <w:r>
        <w:t xml:space="preserve"> </w:t>
      </w:r>
      <w:r>
        <w:rPr>
          <w:rStyle w:val="VerbatimChar"/>
          <w:bCs/>
          <w:b/>
        </w:rPr>
        <w:t xml:space="preserve">Headword</w:t>
      </w:r>
      <w:r>
        <w:t xml:space="preserve">. However, the annotation</w:t>
      </w:r>
      <w:r>
        <w:t xml:space="preserve"> </w:t>
      </w:r>
      <w:r>
        <w:t xml:space="preserve">‘</w:t>
      </w:r>
      <w:r>
        <w:t xml:space="preserve">注也</w:t>
      </w:r>
      <w:r>
        <w:t xml:space="preserve">’</w:t>
      </w:r>
      <w:r>
        <w:t xml:space="preserve"> </w:t>
      </w:r>
      <w:r>
        <w:t xml:space="preserve">(</w:t>
      </w:r>
      <w:r>
        <w:rPr>
          <w:iCs/>
          <w:i/>
        </w:rPr>
        <w:t xml:space="preserve">chū nari</w:t>
      </w:r>
      <w:r>
        <w:t xml:space="preserve">;</w:t>
      </w:r>
      <w:r>
        <w:t xml:space="preserve"> </w:t>
      </w:r>
      <w:r>
        <w:t xml:space="preserve">“</w:t>
      </w:r>
      <w:r>
        <w:t xml:space="preserve">this is a gloss</w:t>
      </w:r>
      <w:r>
        <w:t xml:space="preserve">”</w:t>
      </w:r>
      <w:r>
        <w:t xml:space="preserve">) to its left explicitly indicates that</w:t>
      </w:r>
      <w:r>
        <w:t xml:space="preserve"> </w:t>
      </w:r>
      <w:r>
        <w:t xml:space="preserve">‘</w:t>
      </w:r>
      <w:r>
        <w:t xml:space="preserve">喜</w:t>
      </w:r>
      <w:r>
        <w:t xml:space="preserve">’</w:t>
      </w:r>
      <w:r>
        <w:t xml:space="preserve"> </w:t>
      </w:r>
      <w:r>
        <w:t xml:space="preserve">is a character within the</w:t>
      </w:r>
      <w:r>
        <w:t xml:space="preserve"> </w:t>
      </w:r>
      <w:r>
        <w:rPr>
          <w:rStyle w:val="VerbatimChar"/>
          <w:bCs/>
          <w:b/>
        </w:rPr>
        <w:t xml:space="preserve">Original Glosses</w:t>
      </w:r>
      <w:r>
        <w:t xml:space="preserve"> </w:t>
      </w:r>
      <w:r>
        <w:t xml:space="preserve">and not a</w:t>
      </w:r>
      <w:r>
        <w:t xml:space="preserve"> </w:t>
      </w:r>
      <w:r>
        <w:rPr>
          <w:rStyle w:val="VerbatimChar"/>
          <w:bCs/>
          <w:b/>
        </w:rPr>
        <w:t xml:space="preserve">Headword</w:t>
      </w:r>
      <w:r>
        <w:t xml:space="preserve">.</w:t>
      </w:r>
    </w:p>
    <w:bookmarkEnd w:id="279"/>
    <w:bookmarkEnd w:id="280"/>
    <w:bookmarkStart w:id="502" w:name="X6b57c46d3ee39d6f41d9a22f3c822ceacd6644d"/>
    <w:p>
      <w:pPr>
        <w:pStyle w:val="Heading2"/>
      </w:pPr>
      <w:r>
        <w:rPr>
          <w:rStyle w:val="SectionNumber"/>
        </w:rPr>
        <w:t xml:space="preserve">21.6</w:t>
      </w:r>
      <w:r>
        <w:tab/>
      </w:r>
      <w:r>
        <w:t xml:space="preserve">Number of</w:t>
      </w:r>
      <w:r>
        <w:t xml:space="preserve"> </w:t>
      </w:r>
      <w:r>
        <w:rPr>
          <w:rStyle w:val="VerbatimChar"/>
        </w:rPr>
        <w:t xml:space="preserve">Entries</w:t>
      </w:r>
    </w:p>
    <w:bookmarkStart w:id="282" w:name="Xbbdbe981896c29aaade6c0ee0918e016d57c302"/>
    <w:p>
      <w:pPr>
        <w:pStyle w:val="Heading3"/>
      </w:pPr>
      <w:r>
        <w:rPr>
          <w:rStyle w:val="SectionNumber"/>
        </w:rPr>
        <w:t xml:space="preserve">21.6.1</w:t>
      </w:r>
      <w:r>
        <w:tab/>
      </w:r>
      <w:r>
        <w:t xml:space="preserve">Number of</w:t>
      </w:r>
      <w:r>
        <w:t xml:space="preserve"> </w:t>
      </w:r>
      <w:r>
        <w:rPr>
          <w:rStyle w:val="VerbatimChar"/>
        </w:rPr>
        <w:t xml:space="preserve">Entries</w:t>
      </w:r>
      <w:r>
        <w:t xml:space="preserve"> </w:t>
      </w:r>
      <w:r>
        <w:t xml:space="preserve">and Total Headword Character Count</w:t>
      </w:r>
    </w:p>
    <w:p>
      <w:pPr>
        <w:pStyle w:val="FirstParagraph"/>
      </w:pPr>
      <w:r>
        <w:t xml:space="preserve">The number of</w:t>
      </w:r>
      <w:r>
        <w:t xml:space="preserve"> </w:t>
      </w:r>
      <w:r>
        <w:rPr>
          <w:rStyle w:val="VerbatimChar"/>
          <w:bCs/>
          <w:b/>
        </w:rPr>
        <w:t xml:space="preserve">Entries</w:t>
      </w:r>
      <w:r>
        <w:t xml:space="preserve"> </w:t>
      </w:r>
      <w:r>
        <w:t xml:space="preserve">in the Kanchi-in manuscript of the</w:t>
      </w:r>
      <w:r>
        <w:t xml:space="preserve"> </w:t>
      </w:r>
      <w:r>
        <w:rPr>
          <w:iCs/>
          <w:i/>
        </w:rPr>
        <w:t xml:space="preserve">Ruiju Myōgishō</w:t>
      </w:r>
      <w:r>
        <w:t xml:space="preserve"> </w:t>
      </w:r>
      <w:r>
        <w:t xml:space="preserve">was published in: Ikeda Shoju, Liu Guanwei, Jung Munho, Zhang Xinfang, and Li Yuan,</w:t>
      </w:r>
      <w:r>
        <w:t xml:space="preserve"> </w:t>
      </w:r>
      <w:r>
        <w:t xml:space="preserve">“</w:t>
      </w:r>
      <w:r>
        <w:t xml:space="preserve">Full-text Database of</w:t>
      </w:r>
      <w:r>
        <w:t xml:space="preserve"> </w:t>
      </w:r>
      <w:r>
        <w:rPr>
          <w:iCs/>
          <w:i/>
        </w:rPr>
        <w:t xml:space="preserve">Ruiju Myōgishō</w:t>
      </w:r>
      <w:r>
        <w:t xml:space="preserve">, Kanchi-in MS : A Look at Development Methods and Calculating the Number of Headwords.</w:t>
      </w:r>
      <w:r>
        <w:t xml:space="preserve">”</w:t>
      </w:r>
      <w:r>
        <w:t xml:space="preserve"> </w:t>
      </w:r>
      <w:r>
        <w:t xml:space="preserve">(</w:t>
      </w:r>
      <w:r>
        <w:rPr>
          <w:iCs/>
          <w:i/>
        </w:rPr>
        <w:t xml:space="preserve">Kuntengo to Kuten Shiryō</w:t>
      </w:r>
      <w:r>
        <w:t xml:space="preserve"> </w:t>
      </w:r>
      <w:r>
        <w:t xml:space="preserve">144, 2020). This paper classifies</w:t>
      </w:r>
      <w:r>
        <w:t xml:space="preserve"> </w:t>
      </w:r>
      <w:r>
        <w:rPr>
          <w:rStyle w:val="VerbatimChar"/>
          <w:bCs/>
          <w:b/>
        </w:rPr>
        <w:t xml:space="preserve">Entries</w:t>
      </w:r>
      <w:r>
        <w:t xml:space="preserve"> </w:t>
      </w:r>
      <w:r>
        <w:t xml:space="preserve">by the number of characters in their</w:t>
      </w:r>
      <w:r>
        <w:t xml:space="preserve"> </w:t>
      </w:r>
      <w:r>
        <w:rPr>
          <w:rStyle w:val="VerbatimChar"/>
          <w:bCs/>
          <w:b/>
        </w:rPr>
        <w:t xml:space="preserve">Headwords</w:t>
      </w:r>
      <w:r>
        <w:t xml:space="preserve"> </w:t>
      </w:r>
      <w:r>
        <w:t xml:space="preserve">and provides a detailed breakdown of these counts.</w:t>
      </w:r>
    </w:p>
    <w:p>
      <w:pPr>
        <w:pStyle w:val="BodyText"/>
      </w:pPr>
      <w:r>
        <w:t xml:space="preserve">For example, a table row such as:</w:t>
      </w:r>
    </w:p>
    <w:tbl>
      <w:tblPr>
        <w:tblStyle w:val="Table"/>
        <w:tblW w:type="pct" w:w="5000"/>
        <w:tblLook w:firstRow="1" w:lastRow="0" w:firstColumn="0" w:lastColumn="0" w:noHBand="0" w:noVBand="0" w:val="0020"/>
        <w:jc w:val="start"/>
      </w:tblPr>
      <w:tblGrid>
        <w:gridCol w:w="425"/>
        <w:gridCol w:w="766"/>
        <w:gridCol w:w="681"/>
        <w:gridCol w:w="681"/>
        <w:gridCol w:w="681"/>
        <w:gridCol w:w="681"/>
        <w:gridCol w:w="681"/>
        <w:gridCol w:w="766"/>
        <w:gridCol w:w="1362"/>
        <w:gridCol w:w="1192"/>
      </w:tblGrid>
      <w:tr>
        <w:trPr>
          <w:tblHeader w:val="true"/>
        </w:trPr>
        <w:tc>
          <w:tcPr/>
          <w:p>
            <w:pPr>
              <w:pStyle w:val="Compact"/>
              <w:jc w:val="left"/>
            </w:pPr>
            <w:r>
              <w:t xml:space="preserve">No.</w:t>
            </w:r>
          </w:p>
        </w:tc>
        <w:tc>
          <w:tcPr/>
          <w:p>
            <w:pPr>
              <w:pStyle w:val="Compact"/>
              <w:jc w:val="left"/>
            </w:pPr>
            <w:r>
              <w:t xml:space="preserve">Radical</w:t>
            </w:r>
            <w:r>
              <w:rPr>
                <w:rStyle w:val="FootnoteReference"/>
              </w:rPr>
              <w:footnoteReference w:id="281"/>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001</w:t>
            </w:r>
          </w:p>
        </w:tc>
        <w:tc>
          <w:tcPr/>
          <w:p>
            <w:pPr>
              <w:pStyle w:val="Compact"/>
              <w:jc w:val="left"/>
            </w:pPr>
            <w:r>
              <w:t xml:space="preserve">人 (Man)</w:t>
            </w:r>
          </w:p>
        </w:tc>
        <w:tc>
          <w:tcPr/>
          <w:p>
            <w:pPr>
              <w:pStyle w:val="Compact"/>
              <w:jc w:val="right"/>
            </w:pPr>
            <w:r>
              <w:t xml:space="preserve">616</w:t>
            </w:r>
          </w:p>
        </w:tc>
        <w:tc>
          <w:tcPr/>
          <w:p>
            <w:pPr>
              <w:pStyle w:val="Compact"/>
              <w:jc w:val="right"/>
            </w:pPr>
            <w:r>
              <w:t xml:space="preserve">203</w:t>
            </w:r>
          </w:p>
        </w:tc>
        <w:tc>
          <w:tcPr/>
          <w:p>
            <w:pPr>
              <w:pStyle w:val="Compact"/>
              <w:jc w:val="right"/>
            </w:pPr>
            <w:r>
              <w:t xml:space="preserve">26</w:t>
            </w:r>
          </w:p>
        </w:tc>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855</w:t>
            </w:r>
          </w:p>
        </w:tc>
        <w:tc>
          <w:tcPr/>
          <w:p>
            <w:pPr>
              <w:pStyle w:val="Compact"/>
              <w:jc w:val="right"/>
            </w:pPr>
            <w:r>
              <w:t xml:space="preserve">1,149</w:t>
            </w:r>
          </w:p>
        </w:tc>
      </w:tr>
    </w:tbl>
    <w:p>
      <w:pPr>
        <w:pStyle w:val="BodyText"/>
      </w:pPr>
      <w:r>
        <w:t xml:space="preserve">indicates that in the</w:t>
      </w:r>
      <w:r>
        <w:t xml:space="preserve"> </w:t>
      </w:r>
      <w:r>
        <w:t xml:space="preserve">“</w:t>
      </w:r>
      <w:r>
        <w:t xml:space="preserve">人</w:t>
      </w:r>
      <w:r>
        <w:t xml:space="preserve">”</w:t>
      </w:r>
      <w:r>
        <w:t xml:space="preserve"> </w:t>
      </w:r>
      <w:r>
        <w:t xml:space="preserve">(man) radical section (人部,</w:t>
      </w:r>
      <w:r>
        <w:t xml:space="preserve"> </w:t>
      </w:r>
      <w:r>
        <w:rPr>
          <w:iCs/>
          <w:i/>
        </w:rPr>
        <w:t xml:space="preserve">jinbu</w:t>
      </w:r>
      <w:r>
        <w:t xml:space="preserve">), there are 616</w:t>
      </w:r>
      <w:r>
        <w:t xml:space="preserve"> </w:t>
      </w:r>
      <w:r>
        <w:rPr>
          <w:rStyle w:val="VerbatimChar"/>
          <w:bCs/>
          <w:b/>
        </w:rPr>
        <w:t xml:space="preserve">Entries</w:t>
      </w:r>
      <w:r>
        <w:t xml:space="preserve"> </w:t>
      </w:r>
      <w:r>
        <w:t xml:space="preserve">whose</w:t>
      </w:r>
      <w:r>
        <w:t xml:space="preserve"> </w:t>
      </w:r>
      <w:r>
        <w:rPr>
          <w:rStyle w:val="VerbatimChar"/>
          <w:bCs/>
          <w:b/>
        </w:rPr>
        <w:t xml:space="preserve">Headwords</w:t>
      </w:r>
      <w:r>
        <w:t xml:space="preserve"> </w:t>
      </w:r>
      <w:r>
        <w:t xml:space="preserve">are in</w:t>
      </w:r>
      <w:r>
        <w:t xml:space="preserve"> </w:t>
      </w:r>
      <w:r>
        <w:rPr>
          <w:rStyle w:val="VerbatimChar"/>
          <w:bCs/>
          <w:b/>
        </w:rPr>
        <w:t xml:space="preserve">Single Character Form</w:t>
      </w:r>
      <w:r>
        <w:t xml:space="preserve"> </w:t>
      </w:r>
      <w:r>
        <w:t xml:space="preserve">(1 character).</w:t>
      </w:r>
      <w:r>
        <w:t xml:space="preserve"> </w:t>
      </w:r>
      <w:r>
        <w:rPr>
          <w:rStyle w:val="VerbatimChar"/>
          <w:bCs/>
          <w:b/>
        </w:rPr>
        <w:t xml:space="preserve">Headwords</w:t>
      </w:r>
      <w:r>
        <w:t xml:space="preserve"> </w:t>
      </w:r>
      <w:r>
        <w:t xml:space="preserve">with two or more characters are in</w:t>
      </w:r>
      <w:r>
        <w:t xml:space="preserve"> </w:t>
      </w:r>
      <w:r>
        <w:rPr>
          <w:rStyle w:val="VerbatimChar"/>
          <w:bCs/>
          <w:b/>
        </w:rPr>
        <w:t xml:space="preserve">Multi-Character Form</w:t>
      </w:r>
      <w:r>
        <w:t xml:space="preserve">; in this section, there are 203</w:t>
      </w:r>
      <w:r>
        <w:t xml:space="preserve"> </w:t>
      </w:r>
      <w:r>
        <w:rPr>
          <w:rStyle w:val="VerbatimChar"/>
          <w:bCs/>
          <w:b/>
        </w:rPr>
        <w:t xml:space="preserve">Entries</w:t>
      </w:r>
      <w:r>
        <w:t xml:space="preserve"> </w:t>
      </w:r>
      <w:r>
        <w:t xml:space="preserve">with two-character</w:t>
      </w:r>
      <w:r>
        <w:t xml:space="preserve"> </w:t>
      </w:r>
      <w:r>
        <w:rPr>
          <w:rStyle w:val="VerbatimChar"/>
          <w:bCs/>
          <w:b/>
        </w:rPr>
        <w:t xml:space="preserve">Headwords</w:t>
      </w:r>
      <w:r>
        <w:t xml:space="preserve">, 26 with three-character, 5 with four-character, 2 with five-character, and 3 with six-or-more-character</w:t>
      </w:r>
      <w:r>
        <w:t xml:space="preserve"> </w:t>
      </w:r>
      <w:r>
        <w:rPr>
          <w:rStyle w:val="VerbatimChar"/>
          <w:bCs/>
          <w:b/>
        </w:rPr>
        <w:t xml:space="preserve">Headwords</w:t>
      </w:r>
      <w:r>
        <w:t xml:space="preserve">. The total number of</w:t>
      </w:r>
      <w:r>
        <w:t xml:space="preserve"> </w:t>
      </w:r>
      <w:r>
        <w:rPr>
          <w:rStyle w:val="VerbatimChar"/>
          <w:bCs/>
          <w:b/>
        </w:rPr>
        <w:t xml:space="preserve">Entries</w:t>
      </w:r>
      <w:r>
        <w:t xml:space="preserve"> </w:t>
      </w:r>
      <w:r>
        <w:t xml:space="preserve">for this radical section is 855.</w:t>
      </w:r>
      <w:r>
        <w:t xml:space="preserve"> </w:t>
      </w:r>
      <w:r>
        <w:t xml:space="preserve">The breakdown for the</w:t>
      </w:r>
      <w:r>
        <w:t xml:space="preserve"> </w:t>
      </w:r>
      <w:r>
        <w:t xml:space="preserve">“</w:t>
      </w:r>
      <w:r>
        <w:t xml:space="preserve">6+ char</w:t>
      </w:r>
      <w:r>
        <w:t xml:space="preserve">”</w:t>
      </w:r>
      <w:r>
        <w:t xml:space="preserve"> </w:t>
      </w:r>
      <w:r>
        <w:t xml:space="preserve">(6字以上) category is: 2</w:t>
      </w:r>
      <w:r>
        <w:t xml:space="preserve"> </w:t>
      </w:r>
      <w:r>
        <w:rPr>
          <w:rStyle w:val="VerbatimChar"/>
          <w:bCs/>
          <w:b/>
        </w:rPr>
        <w:t xml:space="preserve">Entries</w:t>
      </w:r>
      <w:r>
        <w:t xml:space="preserve"> </w:t>
      </w:r>
      <w:r>
        <w:t xml:space="preserve">with six-character</w:t>
      </w:r>
      <w:r>
        <w:t xml:space="preserve"> </w:t>
      </w:r>
      <w:r>
        <w:rPr>
          <w:rStyle w:val="VerbatimChar"/>
          <w:bCs/>
          <w:b/>
        </w:rPr>
        <w:t xml:space="preserve">Headwords</w:t>
      </w:r>
      <w:r>
        <w:t xml:space="preserve"> </w:t>
      </w:r>
      <w:r>
        <w:t xml:space="preserve">and 1</w:t>
      </w:r>
      <w:r>
        <w:t xml:space="preserve"> </w:t>
      </w:r>
      <w:r>
        <w:rPr>
          <w:rStyle w:val="VerbatimChar"/>
          <w:bCs/>
          <w:b/>
        </w:rPr>
        <w:t xml:space="preserve">Entry</w:t>
      </w:r>
      <w:r>
        <w:t xml:space="preserve"> </w:t>
      </w:r>
      <w:r>
        <w:t xml:space="preserve">with a seven-character</w:t>
      </w:r>
      <w:r>
        <w:t xml:space="preserve"> </w:t>
      </w:r>
      <w:r>
        <w:rPr>
          <w:rStyle w:val="VerbatimChar"/>
          <w:bCs/>
          <w:b/>
        </w:rPr>
        <w:t xml:space="preserve">Headword</w:t>
      </w:r>
      <w:r>
        <w:t xml:space="preserve">.</w:t>
      </w:r>
      <w:r>
        <w:t xml:space="preserve"> </w:t>
      </w:r>
      <w:r>
        <w:t xml:space="preserve">Therefore, the total number of characters (</w:t>
      </w:r>
      <w:r>
        <w:rPr>
          <w:iCs/>
          <w:i/>
        </w:rPr>
        <w:t xml:space="preserve">jisū</w:t>
      </w:r>
      <w:r>
        <w:t xml:space="preserve">, 字数; i.e., the sum of characters in all</w:t>
      </w:r>
      <w:r>
        <w:t xml:space="preserve"> </w:t>
      </w:r>
      <w:r>
        <w:rPr>
          <w:rStyle w:val="VerbatimChar"/>
          <w:bCs/>
          <w:b/>
        </w:rPr>
        <w:t xml:space="preserve">Headwords</w:t>
      </w:r>
      <w:r>
        <w:t xml:space="preserve"> </w:t>
      </w:r>
      <w:r>
        <w:t xml:space="preserve">for this section) is calculated as 1,149 using the following formula:</w:t>
      </w:r>
    </w:p>
    <w:p>
      <w:pPr>
        <w:pStyle w:val="SourceCode"/>
      </w:pPr>
      <w:r>
        <w:rPr>
          <w:rStyle w:val="VerbatimChar"/>
        </w:rPr>
        <w:t xml:space="preserve">616 (representing 616 x 1) + (203 x 2) + (26 x 3) + (5 x 4) + (2 x 5) + (2 x 6) + (1 x 7) = 1,149</w:t>
      </w:r>
    </w:p>
    <w:bookmarkEnd w:id="282"/>
    <w:bookmarkStart w:id="283" w:name="Xd2e2886d0086b5125a1402612fb0507667bbdc1"/>
    <w:p>
      <w:pPr>
        <w:pStyle w:val="Heading3"/>
      </w:pPr>
      <w:r>
        <w:rPr>
          <w:rStyle w:val="SectionNumber"/>
        </w:rPr>
        <w:t xml:space="preserve">21.6.2</w:t>
      </w:r>
      <w:r>
        <w:tab/>
      </w:r>
      <w:r>
        <w:t xml:space="preserve">Verification of</w:t>
      </w:r>
      <w:r>
        <w:t xml:space="preserve"> </w:t>
      </w:r>
      <w:r>
        <w:rPr>
          <w:rStyle w:val="VerbatimChar"/>
        </w:rPr>
        <w:t xml:space="preserve">Entry</w:t>
      </w:r>
      <w:r>
        <w:t xml:space="preserve"> </w:t>
      </w:r>
      <w:r>
        <w:t xml:space="preserve">Counts</w:t>
      </w:r>
    </w:p>
    <w:p>
      <w:pPr>
        <w:pStyle w:val="FirstParagraph"/>
      </w:pPr>
      <w:r>
        <w:t xml:space="preserve">The verification of</w:t>
      </w:r>
      <w:r>
        <w:t xml:space="preserve"> </w:t>
      </w:r>
      <w:r>
        <w:rPr>
          <w:rStyle w:val="VerbatimChar"/>
          <w:bCs/>
          <w:b/>
        </w:rPr>
        <w:t xml:space="preserve">Entry</w:t>
      </w:r>
      <w:r>
        <w:t xml:space="preserve"> </w:t>
      </w:r>
      <w:r>
        <w:t xml:space="preserve">counts was primarily focused on radical sections where discrepancies were found with the figures presented in Sakai Kenji’s</w:t>
      </w:r>
      <w:r>
        <w:t xml:space="preserve"> </w:t>
      </w:r>
      <w:r>
        <w:t xml:space="preserve">“</w:t>
      </w:r>
      <w:r>
        <w:t xml:space="preserve">Ruiju Myōgishō no Jijun to Bushu Hairetsu</w:t>
      </w:r>
      <w:r>
        <w:t xml:space="preserve">”</w:t>
      </w:r>
      <w:r>
        <w:t xml:space="preserve"> </w:t>
      </w:r>
      <w:r>
        <w:t xml:space="preserve">(Character Order and Radical Arrangement in the</w:t>
      </w:r>
      <w:r>
        <w:t xml:space="preserve"> </w:t>
      </w:r>
      <w:r>
        <w:rPr>
          <w:iCs/>
          <w:i/>
        </w:rPr>
        <w:t xml:space="preserve">Ruiju Myōgishō</w:t>
      </w:r>
      <w:r>
        <w:t xml:space="preserve">), published in</w:t>
      </w:r>
      <w:r>
        <w:t xml:space="preserve"> </w:t>
      </w:r>
      <w:r>
        <w:rPr>
          <w:iCs/>
          <w:i/>
        </w:rPr>
        <w:t xml:space="preserve">Honpō Jishoshi Ronsō</w:t>
      </w:r>
      <w:r>
        <w:t xml:space="preserve"> </w:t>
      </w:r>
      <w:r>
        <w:t xml:space="preserve">(Collected Papers on the History of Dictionaries in Japan), edited by Yamada Tadao (Tokyo: Sanseidō, 1967), pp. 191–258.</w:t>
      </w:r>
    </w:p>
    <w:p>
      <w:pPr>
        <w:pStyle w:val="BodyText"/>
      </w:pPr>
      <w:r>
        <w:t xml:space="preserve">As a result, discrepancies were identified in the following 25 radical sections. The</w:t>
      </w:r>
      <w:r>
        <w:t xml:space="preserve"> </w:t>
      </w:r>
      <w:r>
        <w:t xml:space="preserve">“</w:t>
      </w:r>
      <w:r>
        <w:t xml:space="preserve">Difference</w:t>
      </w:r>
      <w:r>
        <w:t xml:space="preserve">”</w:t>
      </w:r>
      <w:r>
        <w:t xml:space="preserve"> </w:t>
      </w:r>
      <w:r>
        <w:t xml:space="preserve">column indicates cases where the count in Ikeda et al. (2020) is less than that in Sakai (1967) with a negative number (e.g., -1), and where it is greater with a positive number (e.g., +1).</w:t>
      </w:r>
      <w:r>
        <w:t xml:space="preserve"> </w:t>
      </w:r>
      <w:r>
        <w:t xml:space="preserve">Counts determined to be correct as a result of this verification are shown in</w:t>
      </w:r>
      <w:r>
        <w:t xml:space="preserve"> </w:t>
      </w:r>
      <w:r>
        <w:rPr>
          <w:bCs/>
          <w:b/>
        </w:rPr>
        <w:t xml:space="preserve">bold</w:t>
      </w:r>
      <w:r>
        <w:t xml:space="preserve">. Sections shown with non-bolded figures signify that, even if the counts from the two sources differ, a conclusion was pending or not reached in the current verification.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Sakai (1967)</w:t>
            </w:r>
          </w:p>
        </w:tc>
        <w:tc>
          <w:tcPr/>
          <w:p>
            <w:pPr>
              <w:pStyle w:val="Compact"/>
              <w:jc w:val="right"/>
            </w:pPr>
            <w:r>
              <w:t xml:space="preserve">Ikeda et al. (2020)</w:t>
            </w:r>
          </w:p>
        </w:tc>
        <w:tc>
          <w:tcPr/>
          <w:p>
            <w:pPr>
              <w:pStyle w:val="Compact"/>
              <w:jc w:val="right"/>
            </w:pPr>
            <w:r>
              <w:t xml:space="preserve">Diff.</w:t>
            </w:r>
          </w:p>
        </w:tc>
      </w:tr>
      <w:tr>
        <w:tc>
          <w:tcPr/>
          <w:p>
            <w:pPr>
              <w:pStyle w:val="Compact"/>
              <w:jc w:val="left"/>
            </w:pPr>
            <w:r>
              <w:t xml:space="preserve">001</w:t>
            </w:r>
          </w:p>
        </w:tc>
        <w:tc>
          <w:tcPr/>
          <w:p>
            <w:pPr>
              <w:pStyle w:val="Compact"/>
              <w:jc w:val="left"/>
            </w:pPr>
            <w:r>
              <w:t xml:space="preserve">人 (Man)</w:t>
            </w:r>
          </w:p>
        </w:tc>
        <w:tc>
          <w:tcPr/>
          <w:p>
            <w:pPr>
              <w:pStyle w:val="Compact"/>
              <w:jc w:val="right"/>
            </w:pPr>
            <w:r>
              <w:rPr>
                <w:bCs/>
                <w:b/>
              </w:rPr>
              <w:t xml:space="preserve">856</w:t>
            </w:r>
          </w:p>
        </w:tc>
        <w:tc>
          <w:tcPr/>
          <w:p>
            <w:pPr>
              <w:pStyle w:val="Compact"/>
              <w:jc w:val="right"/>
            </w:pPr>
            <w:r>
              <w:t xml:space="preserve">855</w:t>
            </w:r>
          </w:p>
        </w:tc>
        <w:tc>
          <w:tcPr/>
          <w:p>
            <w:pPr>
              <w:pStyle w:val="Compact"/>
              <w:jc w:val="right"/>
            </w:pPr>
            <w:r>
              <w:t xml:space="preserve">-1</w:t>
            </w:r>
          </w:p>
        </w:tc>
      </w:tr>
      <w:tr>
        <w:tc>
          <w:tcPr/>
          <w:p>
            <w:pPr>
              <w:pStyle w:val="Compact"/>
              <w:jc w:val="left"/>
            </w:pPr>
            <w:r>
              <w:t xml:space="preserve">003</w:t>
            </w:r>
          </w:p>
        </w:tc>
        <w:tc>
          <w:tcPr/>
          <w:p>
            <w:pPr>
              <w:pStyle w:val="Compact"/>
              <w:jc w:val="left"/>
            </w:pPr>
            <w:r>
              <w:t xml:space="preserve">辵 (Walk)</w:t>
            </w:r>
          </w:p>
        </w:tc>
        <w:tc>
          <w:tcPr/>
          <w:p>
            <w:pPr>
              <w:pStyle w:val="Compact"/>
              <w:jc w:val="right"/>
            </w:pPr>
            <w:r>
              <w:t xml:space="preserve">463</w:t>
            </w:r>
          </w:p>
        </w:tc>
        <w:tc>
          <w:tcPr/>
          <w:p>
            <w:pPr>
              <w:pStyle w:val="Compact"/>
              <w:jc w:val="right"/>
            </w:pPr>
            <w:r>
              <w:rPr>
                <w:bCs/>
                <w:b/>
              </w:rPr>
              <w:t xml:space="preserve">462</w:t>
            </w:r>
          </w:p>
        </w:tc>
        <w:tc>
          <w:tcPr/>
          <w:p>
            <w:pPr>
              <w:pStyle w:val="Compact"/>
              <w:jc w:val="right"/>
            </w:pPr>
            <w:r>
              <w:t xml:space="preserve">-1</w:t>
            </w:r>
          </w:p>
        </w:tc>
      </w:tr>
      <w:tr>
        <w:tc>
          <w:tcPr/>
          <w:p>
            <w:pPr>
              <w:pStyle w:val="Compact"/>
              <w:jc w:val="left"/>
            </w:pPr>
            <w:r>
              <w:t xml:space="preserve">014</w:t>
            </w:r>
          </w:p>
        </w:tc>
        <w:tc>
          <w:tcPr/>
          <w:p>
            <w:pPr>
              <w:pStyle w:val="Compact"/>
              <w:jc w:val="left"/>
            </w:pPr>
            <w:r>
              <w:t xml:space="preserve">口 (Mouth)</w:t>
            </w:r>
          </w:p>
        </w:tc>
        <w:tc>
          <w:tcPr/>
          <w:p>
            <w:pPr>
              <w:pStyle w:val="Compact"/>
              <w:jc w:val="right"/>
            </w:pPr>
            <w:r>
              <w:t xml:space="preserve">1,034</w:t>
            </w:r>
          </w:p>
        </w:tc>
        <w:tc>
          <w:tcPr/>
          <w:p>
            <w:pPr>
              <w:pStyle w:val="Compact"/>
              <w:jc w:val="right"/>
            </w:pPr>
            <w:r>
              <w:rPr>
                <w:bCs/>
                <w:b/>
              </w:rPr>
              <w:t xml:space="preserve">1,035</w:t>
            </w:r>
          </w:p>
        </w:tc>
        <w:tc>
          <w:tcPr/>
          <w:p>
            <w:pPr>
              <w:pStyle w:val="Compact"/>
              <w:jc w:val="right"/>
            </w:pPr>
            <w:r>
              <w:t xml:space="preserve">+1</w:t>
            </w:r>
          </w:p>
        </w:tc>
      </w:tr>
      <w:tr>
        <w:tc>
          <w:tcPr/>
          <w:p>
            <w:pPr>
              <w:pStyle w:val="Compact"/>
              <w:jc w:val="left"/>
            </w:pPr>
            <w:r>
              <w:t xml:space="preserve">018</w:t>
            </w:r>
          </w:p>
        </w:tc>
        <w:tc>
          <w:tcPr/>
          <w:p>
            <w:pPr>
              <w:pStyle w:val="Compact"/>
              <w:jc w:val="left"/>
            </w:pPr>
            <w:r>
              <w:t xml:space="preserve">日 (Sun)</w:t>
            </w:r>
          </w:p>
        </w:tc>
        <w:tc>
          <w:tcPr/>
          <w:p>
            <w:pPr>
              <w:pStyle w:val="Compact"/>
              <w:jc w:val="right"/>
            </w:pPr>
            <w:r>
              <w:t xml:space="preserve">557</w:t>
            </w:r>
          </w:p>
        </w:tc>
        <w:tc>
          <w:tcPr/>
          <w:p>
            <w:pPr>
              <w:pStyle w:val="Compact"/>
              <w:jc w:val="right"/>
            </w:pPr>
            <w:r>
              <w:rPr>
                <w:bCs/>
                <w:b/>
              </w:rPr>
              <w:t xml:space="preserve">556</w:t>
            </w:r>
          </w:p>
        </w:tc>
        <w:tc>
          <w:tcPr/>
          <w:p>
            <w:pPr>
              <w:pStyle w:val="Compact"/>
              <w:jc w:val="right"/>
            </w:pPr>
            <w:r>
              <w:t xml:space="preserve">-1</w:t>
            </w:r>
          </w:p>
        </w:tc>
      </w:tr>
      <w:tr>
        <w:tc>
          <w:tcPr/>
          <w:p>
            <w:pPr>
              <w:pStyle w:val="Compact"/>
              <w:jc w:val="left"/>
            </w:pPr>
            <w:r>
              <w:t xml:space="preserve">020</w:t>
            </w:r>
          </w:p>
        </w:tc>
        <w:tc>
          <w:tcPr/>
          <w:p>
            <w:pPr>
              <w:pStyle w:val="Compact"/>
              <w:jc w:val="left"/>
            </w:pPr>
            <w:r>
              <w:t xml:space="preserve">肉 (Flesh)</w:t>
            </w:r>
          </w:p>
        </w:tc>
        <w:tc>
          <w:tcPr/>
          <w:p>
            <w:pPr>
              <w:pStyle w:val="Compact"/>
              <w:jc w:val="right"/>
            </w:pPr>
            <w:r>
              <w:t xml:space="preserve">718</w:t>
            </w:r>
          </w:p>
        </w:tc>
        <w:tc>
          <w:tcPr/>
          <w:p>
            <w:pPr>
              <w:pStyle w:val="Compact"/>
              <w:jc w:val="right"/>
            </w:pPr>
            <w:r>
              <w:rPr>
                <w:bCs/>
                <w:b/>
              </w:rPr>
              <w:t xml:space="preserve">717</w:t>
            </w:r>
          </w:p>
        </w:tc>
        <w:tc>
          <w:tcPr/>
          <w:p>
            <w:pPr>
              <w:pStyle w:val="Compact"/>
              <w:jc w:val="right"/>
            </w:pPr>
            <w:r>
              <w:t xml:space="preserve">-1</w:t>
            </w:r>
          </w:p>
        </w:tc>
      </w:tr>
      <w:tr>
        <w:tc>
          <w:tcPr/>
          <w:p>
            <w:pPr>
              <w:pStyle w:val="Compact"/>
              <w:jc w:val="left"/>
            </w:pPr>
            <w:r>
              <w:t xml:space="preserve">023</w:t>
            </w:r>
          </w:p>
        </w:tc>
        <w:tc>
          <w:tcPr/>
          <w:p>
            <w:pPr>
              <w:pStyle w:val="Compact"/>
              <w:jc w:val="left"/>
            </w:pPr>
            <w:r>
              <w:t xml:space="preserve">角 (Horn)</w:t>
            </w:r>
          </w:p>
        </w:tc>
        <w:tc>
          <w:tcPr/>
          <w:p>
            <w:pPr>
              <w:pStyle w:val="Compact"/>
              <w:jc w:val="right"/>
            </w:pPr>
            <w:r>
              <w:t xml:space="preserve">127</w:t>
            </w:r>
          </w:p>
        </w:tc>
        <w:tc>
          <w:tcPr/>
          <w:p>
            <w:pPr>
              <w:pStyle w:val="Compact"/>
              <w:jc w:val="right"/>
            </w:pPr>
            <w:r>
              <w:rPr>
                <w:bCs/>
                <w:b/>
              </w:rPr>
              <w:t xml:space="preserve">126</w:t>
            </w:r>
          </w:p>
        </w:tc>
        <w:tc>
          <w:tcPr/>
          <w:p>
            <w:pPr>
              <w:pStyle w:val="Compact"/>
              <w:jc w:val="right"/>
            </w:pPr>
            <w:r>
              <w:t xml:space="preserve">-1</w:t>
            </w:r>
          </w:p>
        </w:tc>
      </w:tr>
      <w:tr>
        <w:tc>
          <w:tcPr/>
          <w:p>
            <w:pPr>
              <w:pStyle w:val="Compact"/>
              <w:jc w:val="left"/>
            </w:pPr>
            <w:r>
              <w:t xml:space="preserve">027</w:t>
            </w:r>
          </w:p>
        </w:tc>
        <w:tc>
          <w:tcPr/>
          <w:p>
            <w:pPr>
              <w:pStyle w:val="Compact"/>
              <w:jc w:val="left"/>
            </w:pPr>
            <w:r>
              <w:t xml:space="preserve">髟 (Hair)</w:t>
            </w:r>
          </w:p>
        </w:tc>
        <w:tc>
          <w:tcPr/>
          <w:p>
            <w:pPr>
              <w:pStyle w:val="Compact"/>
              <w:jc w:val="right"/>
            </w:pPr>
            <w:r>
              <w:t xml:space="preserve">166</w:t>
            </w:r>
          </w:p>
        </w:tc>
        <w:tc>
          <w:tcPr/>
          <w:p>
            <w:pPr>
              <w:pStyle w:val="Compact"/>
              <w:jc w:val="right"/>
            </w:pPr>
            <w:r>
              <w:rPr>
                <w:bCs/>
                <w:b/>
              </w:rPr>
              <w:t xml:space="preserve">165</w:t>
            </w:r>
          </w:p>
        </w:tc>
        <w:tc>
          <w:tcPr/>
          <w:p>
            <w:pPr>
              <w:pStyle w:val="Compact"/>
              <w:jc w:val="right"/>
            </w:pPr>
            <w:r>
              <w:t xml:space="preserve">-1</w:t>
            </w:r>
          </w:p>
        </w:tc>
      </w:tr>
      <w:tr>
        <w:tc>
          <w:tcPr/>
          <w:p>
            <w:pPr>
              <w:pStyle w:val="Compact"/>
              <w:jc w:val="left"/>
            </w:pPr>
            <w:r>
              <w:t xml:space="preserve">029</w:t>
            </w:r>
          </w:p>
        </w:tc>
        <w:tc>
          <w:tcPr/>
          <w:p>
            <w:pPr>
              <w:pStyle w:val="Compact"/>
              <w:jc w:val="left"/>
            </w:pPr>
            <w:r>
              <w:t xml:space="preserve">木 (Tree)</w:t>
            </w:r>
          </w:p>
        </w:tc>
        <w:tc>
          <w:tcPr/>
          <w:p>
            <w:pPr>
              <w:pStyle w:val="Compact"/>
              <w:jc w:val="right"/>
            </w:pPr>
            <w:r>
              <w:t xml:space="preserve">1,334</w:t>
            </w:r>
          </w:p>
        </w:tc>
        <w:tc>
          <w:tcPr/>
          <w:p>
            <w:pPr>
              <w:pStyle w:val="Compact"/>
              <w:jc w:val="right"/>
            </w:pPr>
            <w:r>
              <w:rPr>
                <w:bCs/>
                <w:b/>
              </w:rPr>
              <w:t xml:space="preserve">1,333</w:t>
            </w:r>
          </w:p>
        </w:tc>
        <w:tc>
          <w:tcPr/>
          <w:p>
            <w:pPr>
              <w:pStyle w:val="Compact"/>
              <w:jc w:val="right"/>
            </w:pPr>
            <w:r>
              <w:t xml:space="preserve">-1</w:t>
            </w:r>
          </w:p>
        </w:tc>
      </w:tr>
      <w:tr>
        <w:tc>
          <w:tcPr/>
          <w:p>
            <w:pPr>
              <w:pStyle w:val="Compact"/>
              <w:jc w:val="left"/>
            </w:pPr>
            <w:r>
              <w:t xml:space="preserve">039</w:t>
            </w:r>
          </w:p>
        </w:tc>
        <w:tc>
          <w:tcPr/>
          <w:p>
            <w:pPr>
              <w:pStyle w:val="Compact"/>
              <w:jc w:val="left"/>
            </w:pPr>
            <w:r>
              <w:t xml:space="preserve">火 (Fire)</w:t>
            </w:r>
          </w:p>
        </w:tc>
        <w:tc>
          <w:tcPr/>
          <w:p>
            <w:pPr>
              <w:pStyle w:val="Compact"/>
              <w:jc w:val="right"/>
            </w:pPr>
            <w:r>
              <w:t xml:space="preserve">512</w:t>
            </w:r>
          </w:p>
        </w:tc>
        <w:tc>
          <w:tcPr/>
          <w:p>
            <w:pPr>
              <w:pStyle w:val="Compact"/>
              <w:jc w:val="right"/>
            </w:pPr>
            <w:r>
              <w:t xml:space="preserve">513</w:t>
            </w:r>
          </w:p>
        </w:tc>
        <w:tc>
          <w:tcPr/>
          <w:p>
            <w:pPr>
              <w:pStyle w:val="Compact"/>
              <w:jc w:val="right"/>
            </w:pPr>
            <w:r>
              <w:t xml:space="preserve">+1</w:t>
            </w:r>
          </w:p>
        </w:tc>
      </w:tr>
      <w:tr>
        <w:tc>
          <w:tcPr/>
          <w:p>
            <w:pPr>
              <w:pStyle w:val="Compact"/>
              <w:jc w:val="left"/>
            </w:pPr>
            <w:r>
              <w:t xml:space="preserve">041</w:t>
            </w:r>
          </w:p>
        </w:tc>
        <w:tc>
          <w:tcPr/>
          <w:p>
            <w:pPr>
              <w:pStyle w:val="Compact"/>
              <w:jc w:val="left"/>
            </w:pPr>
            <w:r>
              <w:t xml:space="preserve">水 (Water)</w:t>
            </w:r>
          </w:p>
        </w:tc>
        <w:tc>
          <w:tcPr/>
          <w:p>
            <w:pPr>
              <w:pStyle w:val="Compact"/>
              <w:jc w:val="right"/>
            </w:pPr>
            <w:r>
              <w:t xml:space="preserve">1,322</w:t>
            </w:r>
          </w:p>
        </w:tc>
        <w:tc>
          <w:tcPr/>
          <w:p>
            <w:pPr>
              <w:pStyle w:val="Compact"/>
              <w:jc w:val="right"/>
            </w:pPr>
            <w:r>
              <w:t xml:space="preserve">1,321</w:t>
            </w:r>
          </w:p>
        </w:tc>
        <w:tc>
          <w:tcPr/>
          <w:p>
            <w:pPr>
              <w:pStyle w:val="Compact"/>
              <w:jc w:val="right"/>
            </w:pPr>
            <w:r>
              <w:t xml:space="preserve">-1</w:t>
            </w:r>
          </w:p>
        </w:tc>
      </w:tr>
      <w:tr>
        <w:tc>
          <w:tcPr/>
          <w:p>
            <w:pPr>
              <w:pStyle w:val="Compact"/>
              <w:jc w:val="left"/>
            </w:pPr>
            <w:r>
              <w:t xml:space="preserve">044</w:t>
            </w:r>
          </w:p>
        </w:tc>
        <w:tc>
          <w:tcPr/>
          <w:p>
            <w:pPr>
              <w:pStyle w:val="Compact"/>
              <w:jc w:val="left"/>
            </w:pPr>
            <w:r>
              <w:t xml:space="preserve">足 (Foot)</w:t>
            </w:r>
          </w:p>
        </w:tc>
        <w:tc>
          <w:tcPr/>
          <w:p>
            <w:pPr>
              <w:pStyle w:val="Compact"/>
              <w:jc w:val="right"/>
            </w:pPr>
            <w:r>
              <w:t xml:space="preserve">494</w:t>
            </w:r>
          </w:p>
        </w:tc>
        <w:tc>
          <w:tcPr/>
          <w:p>
            <w:pPr>
              <w:pStyle w:val="Compact"/>
              <w:jc w:val="right"/>
            </w:pPr>
            <w:r>
              <w:rPr>
                <w:bCs/>
                <w:b/>
              </w:rPr>
              <w:t xml:space="preserve">493</w:t>
            </w:r>
          </w:p>
        </w:tc>
        <w:tc>
          <w:tcPr/>
          <w:p>
            <w:pPr>
              <w:pStyle w:val="Compact"/>
              <w:jc w:val="right"/>
            </w:pPr>
            <w:r>
              <w:t xml:space="preserve">-1</w:t>
            </w:r>
          </w:p>
        </w:tc>
      </w:tr>
      <w:tr>
        <w:tc>
          <w:tcPr/>
          <w:p>
            <w:pPr>
              <w:pStyle w:val="Compact"/>
              <w:jc w:val="left"/>
            </w:pPr>
            <w:r>
              <w:t xml:space="preserve">051</w:t>
            </w:r>
          </w:p>
        </w:tc>
        <w:tc>
          <w:tcPr/>
          <w:p>
            <w:pPr>
              <w:pStyle w:val="Compact"/>
              <w:jc w:val="left"/>
            </w:pPr>
            <w:r>
              <w:t xml:space="preserve">石 (Stone)</w:t>
            </w:r>
          </w:p>
        </w:tc>
        <w:tc>
          <w:tcPr/>
          <w:p>
            <w:pPr>
              <w:pStyle w:val="Compact"/>
              <w:jc w:val="right"/>
            </w:pPr>
            <w:r>
              <w:rPr>
                <w:bCs/>
                <w:b/>
              </w:rPr>
              <w:t xml:space="preserve">375</w:t>
            </w:r>
          </w:p>
        </w:tc>
        <w:tc>
          <w:tcPr/>
          <w:p>
            <w:pPr>
              <w:pStyle w:val="Compact"/>
              <w:jc w:val="right"/>
            </w:pPr>
            <w:r>
              <w:t xml:space="preserve">376</w:t>
            </w:r>
          </w:p>
        </w:tc>
        <w:tc>
          <w:tcPr/>
          <w:p>
            <w:pPr>
              <w:pStyle w:val="Compact"/>
              <w:jc w:val="right"/>
            </w:pPr>
            <w:r>
              <w:t xml:space="preserve">+1</w:t>
            </w:r>
          </w:p>
        </w:tc>
      </w:tr>
      <w:tr>
        <w:tc>
          <w:tcPr/>
          <w:p>
            <w:pPr>
              <w:pStyle w:val="Compact"/>
              <w:jc w:val="left"/>
            </w:pPr>
            <w:r>
              <w:t xml:space="preserve">052</w:t>
            </w:r>
          </w:p>
        </w:tc>
        <w:tc>
          <w:tcPr/>
          <w:p>
            <w:pPr>
              <w:pStyle w:val="Compact"/>
              <w:jc w:val="left"/>
            </w:pPr>
            <w:r>
              <w:t xml:space="preserve">玉 (Jade)</w:t>
            </w:r>
          </w:p>
        </w:tc>
        <w:tc>
          <w:tcPr/>
          <w:p>
            <w:pPr>
              <w:pStyle w:val="Compact"/>
              <w:jc w:val="right"/>
            </w:pPr>
            <w:r>
              <w:t xml:space="preserve">384</w:t>
            </w:r>
          </w:p>
        </w:tc>
        <w:tc>
          <w:tcPr/>
          <w:p>
            <w:pPr>
              <w:pStyle w:val="Compact"/>
              <w:jc w:val="right"/>
            </w:pPr>
            <w:r>
              <w:rPr>
                <w:bCs/>
                <w:b/>
              </w:rPr>
              <w:t xml:space="preserve">383</w:t>
            </w:r>
          </w:p>
        </w:tc>
        <w:tc>
          <w:tcPr/>
          <w:p>
            <w:pPr>
              <w:pStyle w:val="Compact"/>
              <w:jc w:val="right"/>
            </w:pPr>
            <w:r>
              <w:t xml:space="preserve">-1</w:t>
            </w:r>
          </w:p>
        </w:tc>
      </w:tr>
      <w:tr>
        <w:tc>
          <w:tcPr/>
          <w:p>
            <w:pPr>
              <w:pStyle w:val="Compact"/>
              <w:jc w:val="left"/>
            </w:pPr>
            <w:r>
              <w:t xml:space="preserve">057</w:t>
            </w:r>
          </w:p>
        </w:tc>
        <w:tc>
          <w:tcPr/>
          <w:p>
            <w:pPr>
              <w:pStyle w:val="Compact"/>
              <w:jc w:val="left"/>
            </w:pPr>
            <w:r>
              <w:t xml:space="preserve">心 (Heart)</w:t>
            </w:r>
          </w:p>
        </w:tc>
        <w:tc>
          <w:tcPr/>
          <w:p>
            <w:pPr>
              <w:pStyle w:val="Compact"/>
              <w:jc w:val="right"/>
            </w:pPr>
            <w:r>
              <w:t xml:space="preserve">909</w:t>
            </w:r>
          </w:p>
        </w:tc>
        <w:tc>
          <w:tcPr/>
          <w:p>
            <w:pPr>
              <w:pStyle w:val="Compact"/>
              <w:jc w:val="right"/>
            </w:pPr>
            <w:r>
              <w:rPr>
                <w:bCs/>
                <w:b/>
              </w:rPr>
              <w:t xml:space="preserve">908</w:t>
            </w:r>
          </w:p>
        </w:tc>
        <w:tc>
          <w:tcPr/>
          <w:p>
            <w:pPr>
              <w:pStyle w:val="Compact"/>
              <w:jc w:val="right"/>
            </w:pPr>
            <w:r>
              <w:t xml:space="preserve">-1</w:t>
            </w:r>
          </w:p>
        </w:tc>
      </w:tr>
      <w:tr>
        <w:tc>
          <w:tcPr/>
          <w:p>
            <w:pPr>
              <w:pStyle w:val="Compact"/>
              <w:jc w:val="left"/>
            </w:pPr>
            <w:r>
              <w:t xml:space="preserve">066</w:t>
            </w:r>
          </w:p>
        </w:tc>
        <w:tc>
          <w:tcPr/>
          <w:p>
            <w:pPr>
              <w:pStyle w:val="Compact"/>
              <w:jc w:val="left"/>
            </w:pPr>
            <w:r>
              <w:t xml:space="preserve">勹 (Wrap)</w:t>
            </w:r>
          </w:p>
        </w:tc>
        <w:tc>
          <w:tcPr/>
          <w:p>
            <w:pPr>
              <w:pStyle w:val="Compact"/>
              <w:jc w:val="right"/>
            </w:pPr>
            <w:r>
              <w:t xml:space="preserve">34</w:t>
            </w:r>
          </w:p>
        </w:tc>
        <w:tc>
          <w:tcPr/>
          <w:p>
            <w:pPr>
              <w:pStyle w:val="Compact"/>
              <w:jc w:val="right"/>
            </w:pPr>
            <w:r>
              <w:rPr>
                <w:bCs/>
                <w:b/>
              </w:rPr>
              <w:t xml:space="preserve">33</w:t>
            </w:r>
          </w:p>
        </w:tc>
        <w:tc>
          <w:tcPr/>
          <w:p>
            <w:pPr>
              <w:pStyle w:val="Compact"/>
              <w:jc w:val="right"/>
            </w:pPr>
            <w:r>
              <w:t xml:space="preserve">-1</w:t>
            </w:r>
          </w:p>
        </w:tc>
      </w:tr>
      <w:tr>
        <w:tc>
          <w:tcPr/>
          <w:p>
            <w:pPr>
              <w:pStyle w:val="Compact"/>
              <w:jc w:val="left"/>
            </w:pPr>
            <w:r>
              <w:t xml:space="preserve">068</w:t>
            </w:r>
          </w:p>
        </w:tc>
        <w:tc>
          <w:tcPr/>
          <w:p>
            <w:pPr>
              <w:pStyle w:val="Compact"/>
              <w:jc w:val="left"/>
            </w:pPr>
            <w:r>
              <w:t xml:space="preserve">雨 (Rain)</w:t>
            </w:r>
          </w:p>
        </w:tc>
        <w:tc>
          <w:tcPr/>
          <w:p>
            <w:pPr>
              <w:pStyle w:val="Compact"/>
              <w:jc w:val="right"/>
            </w:pPr>
            <w:r>
              <w:t xml:space="preserve">226</w:t>
            </w:r>
          </w:p>
        </w:tc>
        <w:tc>
          <w:tcPr/>
          <w:p>
            <w:pPr>
              <w:pStyle w:val="Compact"/>
              <w:jc w:val="right"/>
            </w:pPr>
            <w:r>
              <w:rPr>
                <w:bCs/>
                <w:b/>
              </w:rPr>
              <w:t xml:space="preserve">228</w:t>
            </w:r>
          </w:p>
        </w:tc>
        <w:tc>
          <w:tcPr/>
          <w:p>
            <w:pPr>
              <w:pStyle w:val="Compact"/>
              <w:jc w:val="right"/>
            </w:pPr>
            <w:r>
              <w:t xml:space="preserve">+2</w:t>
            </w:r>
          </w:p>
        </w:tc>
      </w:tr>
      <w:tr>
        <w:tc>
          <w:tcPr/>
          <w:p>
            <w:pPr>
              <w:pStyle w:val="Compact"/>
              <w:jc w:val="left"/>
            </w:pPr>
            <w:r>
              <w:t xml:space="preserve">075</w:t>
            </w:r>
          </w:p>
        </w:tc>
        <w:tc>
          <w:tcPr/>
          <w:p>
            <w:pPr>
              <w:pStyle w:val="Compact"/>
              <w:jc w:val="left"/>
            </w:pPr>
            <w:r>
              <w:t xml:space="preserve">疒 (Sickness)</w:t>
            </w:r>
          </w:p>
        </w:tc>
        <w:tc>
          <w:tcPr/>
          <w:p>
            <w:pPr>
              <w:pStyle w:val="Compact"/>
              <w:jc w:val="right"/>
            </w:pPr>
            <w:r>
              <w:t xml:space="preserve">400</w:t>
            </w:r>
          </w:p>
        </w:tc>
        <w:tc>
          <w:tcPr/>
          <w:p>
            <w:pPr>
              <w:pStyle w:val="Compact"/>
              <w:jc w:val="right"/>
            </w:pPr>
            <w:r>
              <w:rPr>
                <w:bCs/>
                <w:b/>
              </w:rPr>
              <w:t xml:space="preserve">399</w:t>
            </w:r>
          </w:p>
        </w:tc>
        <w:tc>
          <w:tcPr/>
          <w:p>
            <w:pPr>
              <w:pStyle w:val="Compact"/>
              <w:jc w:val="right"/>
            </w:pPr>
            <w:r>
              <w:t xml:space="preserve">-1</w:t>
            </w:r>
          </w:p>
        </w:tc>
      </w:tr>
      <w:tr>
        <w:tc>
          <w:tcPr/>
          <w:p>
            <w:pPr>
              <w:pStyle w:val="Compact"/>
              <w:jc w:val="left"/>
            </w:pPr>
            <w:r>
              <w:t xml:space="preserve">080</w:t>
            </w:r>
          </w:p>
        </w:tc>
        <w:tc>
          <w:tcPr/>
          <w:p>
            <w:pPr>
              <w:pStyle w:val="Compact"/>
              <w:jc w:val="left"/>
            </w:pPr>
            <w:r>
              <w:t xml:space="preserve">寸 (Inch)</w:t>
            </w:r>
          </w:p>
        </w:tc>
        <w:tc>
          <w:tcPr/>
          <w:p>
            <w:pPr>
              <w:pStyle w:val="Compact"/>
              <w:jc w:val="right"/>
            </w:pPr>
            <w:r>
              <w:t xml:space="preserve">41</w:t>
            </w:r>
          </w:p>
        </w:tc>
        <w:tc>
          <w:tcPr/>
          <w:p>
            <w:pPr>
              <w:pStyle w:val="Compact"/>
              <w:jc w:val="right"/>
            </w:pPr>
            <w:r>
              <w:rPr>
                <w:bCs/>
                <w:b/>
              </w:rPr>
              <w:t xml:space="preserve">39</w:t>
            </w:r>
          </w:p>
        </w:tc>
        <w:tc>
          <w:tcPr/>
          <w:p>
            <w:pPr>
              <w:pStyle w:val="Compact"/>
              <w:jc w:val="right"/>
            </w:pPr>
            <w:r>
              <w:t xml:space="preserve">-2</w:t>
            </w:r>
          </w:p>
        </w:tc>
      </w:tr>
      <w:tr>
        <w:tc>
          <w:tcPr/>
          <w:p>
            <w:pPr>
              <w:pStyle w:val="Compact"/>
              <w:jc w:val="left"/>
            </w:pPr>
            <w:r>
              <w:t xml:space="preserve">087</w:t>
            </w:r>
          </w:p>
        </w:tc>
        <w:tc>
          <w:tcPr/>
          <w:p>
            <w:pPr>
              <w:pStyle w:val="Compact"/>
              <w:jc w:val="left"/>
            </w:pPr>
            <w:r>
              <w:t xml:space="preserve">食 (Eat)</w:t>
            </w:r>
          </w:p>
        </w:tc>
        <w:tc>
          <w:tcPr/>
          <w:p>
            <w:pPr>
              <w:pStyle w:val="Compact"/>
              <w:jc w:val="right"/>
            </w:pPr>
            <w:r>
              <w:t xml:space="preserve">214</w:t>
            </w:r>
          </w:p>
        </w:tc>
        <w:tc>
          <w:tcPr/>
          <w:p>
            <w:pPr>
              <w:pStyle w:val="Compact"/>
              <w:jc w:val="right"/>
            </w:pPr>
            <w:r>
              <w:rPr>
                <w:bCs/>
                <w:b/>
              </w:rPr>
              <w:t xml:space="preserve">213</w:t>
            </w:r>
          </w:p>
        </w:tc>
        <w:tc>
          <w:tcPr/>
          <w:p>
            <w:pPr>
              <w:pStyle w:val="Compact"/>
              <w:jc w:val="right"/>
            </w:pPr>
            <w:r>
              <w:t xml:space="preserve">-1</w:t>
            </w:r>
          </w:p>
        </w:tc>
      </w:tr>
      <w:tr>
        <w:tc>
          <w:tcPr/>
          <w:p>
            <w:pPr>
              <w:pStyle w:val="Compact"/>
              <w:jc w:val="left"/>
            </w:pPr>
            <w:r>
              <w:t xml:space="preserve">095</w:t>
            </w:r>
          </w:p>
        </w:tc>
        <w:tc>
          <w:tcPr/>
          <w:p>
            <w:pPr>
              <w:pStyle w:val="Compact"/>
              <w:jc w:val="left"/>
            </w:pPr>
            <w:r>
              <w:t xml:space="preserve">弓 (Bow)</w:t>
            </w:r>
          </w:p>
        </w:tc>
        <w:tc>
          <w:tcPr/>
          <w:p>
            <w:pPr>
              <w:pStyle w:val="Compact"/>
              <w:jc w:val="right"/>
            </w:pPr>
            <w:r>
              <w:t xml:space="preserve">102</w:t>
            </w:r>
          </w:p>
        </w:tc>
        <w:tc>
          <w:tcPr/>
          <w:p>
            <w:pPr>
              <w:pStyle w:val="Compact"/>
              <w:jc w:val="right"/>
            </w:pPr>
            <w:r>
              <w:rPr>
                <w:bCs/>
                <w:b/>
              </w:rPr>
              <w:t xml:space="preserve">101</w:t>
            </w:r>
          </w:p>
        </w:tc>
        <w:tc>
          <w:tcPr/>
          <w:p>
            <w:pPr>
              <w:pStyle w:val="Compact"/>
              <w:jc w:val="right"/>
            </w:pPr>
            <w:r>
              <w:t xml:space="preserve">-1</w:t>
            </w:r>
          </w:p>
        </w:tc>
      </w:tr>
      <w:tr>
        <w:tc>
          <w:tcPr/>
          <w:p>
            <w:pPr>
              <w:pStyle w:val="Compact"/>
              <w:jc w:val="left"/>
            </w:pPr>
            <w:r>
              <w:t xml:space="preserve">111</w:t>
            </w:r>
          </w:p>
        </w:tc>
        <w:tc>
          <w:tcPr/>
          <w:p>
            <w:pPr>
              <w:pStyle w:val="Compact"/>
              <w:jc w:val="left"/>
            </w:pPr>
            <w:r>
              <w:t xml:space="preserve">鳥 (Bird)</w:t>
            </w:r>
          </w:p>
        </w:tc>
        <w:tc>
          <w:tcPr/>
          <w:p>
            <w:pPr>
              <w:pStyle w:val="Compact"/>
              <w:jc w:val="right"/>
            </w:pPr>
            <w:r>
              <w:t xml:space="preserve">532</w:t>
            </w:r>
          </w:p>
        </w:tc>
        <w:tc>
          <w:tcPr/>
          <w:p>
            <w:pPr>
              <w:pStyle w:val="Compact"/>
              <w:jc w:val="right"/>
            </w:pPr>
            <w:r>
              <w:t xml:space="preserve">533</w:t>
            </w:r>
          </w:p>
        </w:tc>
        <w:tc>
          <w:tcPr/>
          <w:p>
            <w:pPr>
              <w:pStyle w:val="Compact"/>
              <w:jc w:val="right"/>
            </w:pPr>
            <w:r>
              <w:t xml:space="preserve">+1</w:t>
            </w:r>
          </w:p>
        </w:tc>
      </w:tr>
      <w:tr>
        <w:tc>
          <w:tcPr/>
          <w:p>
            <w:pPr>
              <w:pStyle w:val="Compact"/>
              <w:jc w:val="left"/>
            </w:pPr>
            <w:r>
              <w:t xml:space="preserve">113</w:t>
            </w:r>
          </w:p>
        </w:tc>
        <w:tc>
          <w:tcPr/>
          <w:p>
            <w:pPr>
              <w:pStyle w:val="Compact"/>
              <w:jc w:val="left"/>
            </w:pPr>
            <w:r>
              <w:t xml:space="preserve">魚 (Fish)</w:t>
            </w:r>
          </w:p>
        </w:tc>
        <w:tc>
          <w:tcPr/>
          <w:p>
            <w:pPr>
              <w:pStyle w:val="Compact"/>
              <w:jc w:val="right"/>
            </w:pPr>
            <w:r>
              <w:t xml:space="preserve">378</w:t>
            </w:r>
          </w:p>
        </w:tc>
        <w:tc>
          <w:tcPr/>
          <w:p>
            <w:pPr>
              <w:pStyle w:val="Compact"/>
              <w:jc w:val="right"/>
            </w:pPr>
            <w:r>
              <w:rPr>
                <w:bCs/>
                <w:b/>
              </w:rPr>
              <w:t xml:space="preserve">379</w:t>
            </w:r>
          </w:p>
        </w:tc>
        <w:tc>
          <w:tcPr/>
          <w:p>
            <w:pPr>
              <w:pStyle w:val="Compact"/>
              <w:jc w:val="right"/>
            </w:pPr>
            <w:r>
              <w:t xml:space="preserve">+1</w:t>
            </w:r>
          </w:p>
        </w:tc>
      </w:tr>
      <w:tr>
        <w:tc>
          <w:tcPr/>
          <w:p>
            <w:pPr>
              <w:pStyle w:val="Compact"/>
              <w:jc w:val="left"/>
            </w:pPr>
            <w:r>
              <w:t xml:space="preserve">114</w:t>
            </w:r>
          </w:p>
        </w:tc>
        <w:tc>
          <w:tcPr/>
          <w:p>
            <w:pPr>
              <w:pStyle w:val="Compact"/>
              <w:jc w:val="left"/>
            </w:pPr>
            <w:r>
              <w:t xml:space="preserve">虫 (Insect)</w:t>
            </w:r>
          </w:p>
        </w:tc>
        <w:tc>
          <w:tcPr/>
          <w:p>
            <w:pPr>
              <w:pStyle w:val="Compact"/>
              <w:jc w:val="right"/>
            </w:pPr>
            <w:r>
              <w:t xml:space="preserve">665</w:t>
            </w:r>
          </w:p>
        </w:tc>
        <w:tc>
          <w:tcPr/>
          <w:p>
            <w:pPr>
              <w:pStyle w:val="Compact"/>
              <w:jc w:val="right"/>
            </w:pPr>
            <w:r>
              <w:t xml:space="preserve">664</w:t>
            </w:r>
          </w:p>
        </w:tc>
        <w:tc>
          <w:tcPr/>
          <w:p>
            <w:pPr>
              <w:pStyle w:val="Compact"/>
              <w:jc w:val="right"/>
            </w:pPr>
            <w:r>
              <w:t xml:space="preserve">-1</w:t>
            </w:r>
          </w:p>
        </w:tc>
      </w:tr>
      <w:tr>
        <w:tc>
          <w:tcPr/>
          <w:p>
            <w:pPr>
              <w:pStyle w:val="Compact"/>
              <w:jc w:val="left"/>
            </w:pPr>
            <w:r>
              <w:t xml:space="preserve">117</w:t>
            </w:r>
          </w:p>
        </w:tc>
        <w:tc>
          <w:tcPr/>
          <w:p>
            <w:pPr>
              <w:pStyle w:val="Compact"/>
              <w:jc w:val="left"/>
            </w:pPr>
            <w:r>
              <w:t xml:space="preserve">鬼 (Ghost)</w:t>
            </w:r>
          </w:p>
        </w:tc>
        <w:tc>
          <w:tcPr/>
          <w:p>
            <w:pPr>
              <w:pStyle w:val="Compact"/>
              <w:jc w:val="right"/>
            </w:pPr>
            <w:r>
              <w:rPr>
                <w:bCs/>
                <w:b/>
              </w:rPr>
              <w:t xml:space="preserve">74</w:t>
            </w:r>
          </w:p>
        </w:tc>
        <w:tc>
          <w:tcPr/>
          <w:p>
            <w:pPr>
              <w:pStyle w:val="Compact"/>
              <w:jc w:val="right"/>
            </w:pPr>
            <w:r>
              <w:t xml:space="preserve">75</w:t>
            </w:r>
          </w:p>
        </w:tc>
        <w:tc>
          <w:tcPr/>
          <w:p>
            <w:pPr>
              <w:pStyle w:val="Compact"/>
              <w:jc w:val="right"/>
            </w:pPr>
            <w:r>
              <w:t xml:space="preserve">+1</w:t>
            </w:r>
          </w:p>
        </w:tc>
      </w:tr>
      <w:tr>
        <w:tc>
          <w:tcPr/>
          <w:p>
            <w:pPr>
              <w:pStyle w:val="Compact"/>
              <w:jc w:val="left"/>
            </w:pPr>
            <w:r>
              <w:t xml:space="preserve">120</w:t>
            </w:r>
          </w:p>
        </w:tc>
        <w:tc>
          <w:tcPr/>
          <w:p>
            <w:pPr>
              <w:pStyle w:val="Compact"/>
              <w:jc w:val="left"/>
            </w:pPr>
            <w:r>
              <w:t xml:space="preserve">雑 (Misc.)</w:t>
            </w:r>
          </w:p>
        </w:tc>
        <w:tc>
          <w:tcPr/>
          <w:p>
            <w:pPr>
              <w:pStyle w:val="Compact"/>
              <w:jc w:val="right"/>
            </w:pPr>
            <w:r>
              <w:t xml:space="preserve">1,500</w:t>
            </w:r>
          </w:p>
        </w:tc>
        <w:tc>
          <w:tcPr/>
          <w:p>
            <w:pPr>
              <w:pStyle w:val="Compact"/>
              <w:jc w:val="right"/>
            </w:pPr>
            <w:r>
              <w:rPr>
                <w:bCs/>
                <w:b/>
              </w:rPr>
              <w:t xml:space="preserve">1,501</w:t>
            </w:r>
          </w:p>
        </w:tc>
        <w:tc>
          <w:tcPr/>
          <w:p>
            <w:pPr>
              <w:pStyle w:val="Compact"/>
              <w:jc w:val="right"/>
            </w:pPr>
            <w:r>
              <w:t xml:space="preserve">+1</w:t>
            </w:r>
          </w:p>
        </w:tc>
      </w:tr>
    </w:tbl>
    <w:p>
      <w:pPr>
        <w:pStyle w:val="BodyText"/>
      </w:pPr>
      <w:r>
        <w:t xml:space="preserve">For the following radical sections, the counts in Sakai (1967) and Ikeda et al. (2020) were initially the same, but verification revealed a need for correction:</w:t>
      </w:r>
    </w:p>
    <w:tbl>
      <w:tblPr>
        <w:tblStyle w:val="Table"/>
        <w:tblW w:type="pct" w:w="5000"/>
        <w:tblLook w:firstRow="1" w:lastRow="0" w:firstColumn="0" w:lastColumn="0" w:noHBand="0" w:noVBand="0" w:val="0020"/>
        <w:jc w:val="start"/>
      </w:tblPr>
      <w:tblGrid>
        <w:gridCol w:w="416"/>
        <w:gridCol w:w="1167"/>
        <w:gridCol w:w="2501"/>
        <w:gridCol w:w="2000"/>
        <w:gridCol w:w="1834"/>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Sakai (1967) &amp; Ikeda et al. (2020) - Initial</w:t>
            </w:r>
          </w:p>
        </w:tc>
        <w:tc>
          <w:tcPr/>
          <w:p>
            <w:pPr>
              <w:pStyle w:val="Compact"/>
              <w:jc w:val="right"/>
            </w:pPr>
            <w:r>
              <w:t xml:space="preserve">Ikeda et al. (2020) - Revised</w:t>
            </w:r>
          </w:p>
        </w:tc>
        <w:tc>
          <w:tcPr/>
          <w:p>
            <w:pPr>
              <w:pStyle w:val="Compact"/>
              <w:jc w:val="right"/>
            </w:pPr>
            <w:r>
              <w:t xml:space="preserve">Diff. (from initial)</w:t>
            </w:r>
          </w:p>
        </w:tc>
      </w:tr>
      <w:tr>
        <w:tc>
          <w:tcPr/>
          <w:p>
            <w:pPr>
              <w:pStyle w:val="Compact"/>
              <w:jc w:val="left"/>
            </w:pPr>
            <w:r>
              <w:t xml:space="preserve">028</w:t>
            </w:r>
          </w:p>
        </w:tc>
        <w:tc>
          <w:tcPr/>
          <w:p>
            <w:pPr>
              <w:pStyle w:val="Compact"/>
              <w:jc w:val="left"/>
            </w:pPr>
            <w:r>
              <w:t xml:space="preserve">手 (Hand)</w:t>
            </w:r>
          </w:p>
        </w:tc>
        <w:tc>
          <w:tcPr/>
          <w:p>
            <w:pPr>
              <w:pStyle w:val="Compact"/>
              <w:jc w:val="right"/>
            </w:pPr>
            <w:r>
              <w:t xml:space="preserve">1,148</w:t>
            </w:r>
          </w:p>
        </w:tc>
        <w:tc>
          <w:tcPr/>
          <w:p>
            <w:pPr>
              <w:pStyle w:val="Compact"/>
              <w:jc w:val="right"/>
            </w:pPr>
            <w:r>
              <w:rPr>
                <w:bCs/>
                <w:b/>
              </w:rPr>
              <w:t xml:space="preserve">1,149</w:t>
            </w:r>
          </w:p>
        </w:tc>
        <w:tc>
          <w:tcPr/>
          <w:p>
            <w:pPr>
              <w:pStyle w:val="Compact"/>
              <w:jc w:val="right"/>
            </w:pPr>
            <w:r>
              <w:t xml:space="preserve">+1</w:t>
            </w:r>
          </w:p>
        </w:tc>
      </w:tr>
      <w:tr>
        <w:tc>
          <w:tcPr/>
          <w:p>
            <w:pPr>
              <w:pStyle w:val="Compact"/>
              <w:jc w:val="left"/>
            </w:pPr>
            <w:r>
              <w:t xml:space="preserve">086</w:t>
            </w:r>
          </w:p>
        </w:tc>
        <w:tc>
          <w:tcPr/>
          <w:p>
            <w:pPr>
              <w:pStyle w:val="Compact"/>
              <w:jc w:val="left"/>
            </w:pPr>
            <w:r>
              <w:t xml:space="preserve">毛 (Fur)</w:t>
            </w:r>
          </w:p>
        </w:tc>
        <w:tc>
          <w:tcPr/>
          <w:p>
            <w:pPr>
              <w:pStyle w:val="Compact"/>
              <w:jc w:val="right"/>
            </w:pPr>
            <w:r>
              <w:t xml:space="preserve">104</w:t>
            </w:r>
          </w:p>
        </w:tc>
        <w:tc>
          <w:tcPr/>
          <w:p>
            <w:pPr>
              <w:pStyle w:val="Compact"/>
              <w:jc w:val="right"/>
            </w:pPr>
            <w:r>
              <w:rPr>
                <w:bCs/>
                <w:b/>
              </w:rPr>
              <w:t xml:space="preserve">103</w:t>
            </w:r>
          </w:p>
        </w:tc>
        <w:tc>
          <w:tcPr/>
          <w:p>
            <w:pPr>
              <w:pStyle w:val="Compact"/>
              <w:jc w:val="right"/>
            </w:pPr>
            <w:r>
              <w:t xml:space="preserve">-1</w:t>
            </w:r>
          </w:p>
        </w:tc>
      </w:tr>
    </w:tbl>
    <w:p>
      <w:pPr>
        <w:pStyle w:val="BodyText"/>
      </w:pPr>
      <w:r>
        <w:t xml:space="preserve">Many of these discrepancies relate to differences in how</w:t>
      </w:r>
      <w:r>
        <w:t xml:space="preserve"> </w:t>
      </w:r>
      <w:r>
        <w:rPr>
          <w:rStyle w:val="VerbatimChar"/>
          <w:bCs/>
          <w:b/>
        </w:rPr>
        <w:t xml:space="preserve">Entries</w:t>
      </w:r>
      <w:r>
        <w:t xml:space="preserve"> </w:t>
      </w:r>
      <w:r>
        <w:t xml:space="preserve">are identified and counted. Therefore, the following sections will specifically explain the discrepancies with the</w:t>
      </w:r>
      <w:r>
        <w:t xml:space="preserve"> </w:t>
      </w:r>
      <w:r>
        <w:rPr>
          <w:rStyle w:val="VerbatimChar"/>
          <w:bCs/>
          <w:b/>
        </w:rPr>
        <w:t xml:space="preserve">Entry</w:t>
      </w:r>
      <w:r>
        <w:t xml:space="preserve"> </w:t>
      </w:r>
      <w:r>
        <w:t xml:space="preserve">counts presented in Sakai (1967). Finally, a list of</w:t>
      </w:r>
      <w:r>
        <w:t xml:space="preserve"> </w:t>
      </w:r>
      <w:r>
        <w:rPr>
          <w:rStyle w:val="VerbatimChar"/>
          <w:bCs/>
          <w:b/>
        </w:rPr>
        <w:t xml:space="preserve">Entry</w:t>
      </w:r>
      <w:r>
        <w:t xml:space="preserve"> </w:t>
      </w:r>
      <w:r>
        <w:t xml:space="preserve">counts for each radical section, based on the revised figures, will be provided.</w:t>
      </w:r>
    </w:p>
    <w:bookmarkEnd w:id="283"/>
    <w:bookmarkStart w:id="286" w:name="Xd77fa61086df4bc50ff30a32f986fb43baf23ee"/>
    <w:p>
      <w:pPr>
        <w:pStyle w:val="Heading3"/>
      </w:pPr>
      <w:r>
        <w:rPr>
          <w:rStyle w:val="SectionNumber"/>
        </w:rPr>
        <w:t xml:space="preserve">21.6.3</w:t>
      </w:r>
      <w:r>
        <w:tab/>
      </w:r>
      <w:r>
        <w:rPr>
          <w:iCs/>
          <w:i/>
        </w:rPr>
        <w:t xml:space="preserve">Butsujō</w:t>
      </w:r>
      <w:r>
        <w:t xml:space="preserve"> </w:t>
      </w:r>
      <w:r>
        <w:t xml:space="preserve">(仏上 – First</w:t>
      </w:r>
      <w:r>
        <w:t xml:space="preserve"> </w:t>
      </w:r>
      <w:r>
        <w:t xml:space="preserve">“</w:t>
      </w:r>
      <w:r>
        <w:t xml:space="preserve">Buddha</w:t>
      </w:r>
      <w:r>
        <w:t xml:space="preserve">”</w:t>
      </w:r>
      <w:r>
        <w:t xml:space="preserve"> </w:t>
      </w:r>
      <w:r>
        <w:t xml:space="preserve">Fascicle)</w:t>
      </w:r>
    </w:p>
    <w:p>
      <w:pPr>
        <w:pStyle w:val="FirstParagraph"/>
      </w:pPr>
      <w:r>
        <w:t xml:space="preserve">In the</w:t>
      </w:r>
      <w:r>
        <w:t xml:space="preserve"> </w:t>
      </w:r>
      <w:r>
        <w:rPr>
          <w:iCs/>
          <w:i/>
          <w:bCs/>
          <w:b/>
        </w:rPr>
        <w:t xml:space="preserve">Butsujō</w:t>
      </w:r>
      <w:r>
        <w:t xml:space="preserve"> </w:t>
      </w:r>
      <w:r>
        <w:t xml:space="preserve">(仏上) section, discrepancies in</w:t>
      </w:r>
      <w:r>
        <w:t xml:space="preserve"> </w:t>
      </w:r>
      <w:r>
        <w:rPr>
          <w:rStyle w:val="VerbatimChar"/>
          <w:bCs/>
          <w:b/>
        </w:rPr>
        <w:t xml:space="preserve">Entry</w:t>
      </w:r>
      <w:r>
        <w:t xml:space="preserve"> </w:t>
      </w:r>
      <w:r>
        <w:t xml:space="preserve">counts between Sakai (1967) and Ikeda et al. (2020) are found for the following two radical sections. The figures presented in the table below are from Ikeda et al. (2020):</w:t>
      </w:r>
    </w:p>
    <w:tbl>
      <w:tblPr>
        <w:tblStyle w:val="Table"/>
        <w:tblW w:type="pct" w:w="5000"/>
        <w:tblLook w:firstRow="1" w:lastRow="0" w:firstColumn="0" w:lastColumn="0" w:noHBand="0" w:noVBand="0" w:val="0020"/>
        <w:jc w:val="start"/>
      </w:tblPr>
      <w:tblGrid>
        <w:gridCol w:w="425"/>
        <w:gridCol w:w="766"/>
        <w:gridCol w:w="681"/>
        <w:gridCol w:w="681"/>
        <w:gridCol w:w="681"/>
        <w:gridCol w:w="681"/>
        <w:gridCol w:w="681"/>
        <w:gridCol w:w="766"/>
        <w:gridCol w:w="1362"/>
        <w:gridCol w:w="1192"/>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001</w:t>
            </w:r>
          </w:p>
        </w:tc>
        <w:tc>
          <w:tcPr/>
          <w:p>
            <w:pPr>
              <w:pStyle w:val="Compact"/>
              <w:jc w:val="left"/>
            </w:pPr>
            <w:r>
              <w:t xml:space="preserve">人 (Man)</w:t>
            </w:r>
          </w:p>
        </w:tc>
        <w:tc>
          <w:tcPr/>
          <w:p>
            <w:pPr>
              <w:pStyle w:val="Compact"/>
              <w:jc w:val="right"/>
            </w:pPr>
            <w:r>
              <w:t xml:space="preserve">616</w:t>
            </w:r>
          </w:p>
        </w:tc>
        <w:tc>
          <w:tcPr/>
          <w:p>
            <w:pPr>
              <w:pStyle w:val="Compact"/>
              <w:jc w:val="right"/>
            </w:pPr>
            <w:r>
              <w:t xml:space="preserve">203</w:t>
            </w:r>
          </w:p>
        </w:tc>
        <w:tc>
          <w:tcPr/>
          <w:p>
            <w:pPr>
              <w:pStyle w:val="Compact"/>
              <w:jc w:val="right"/>
            </w:pPr>
            <w:r>
              <w:t xml:space="preserve">26</w:t>
            </w:r>
          </w:p>
        </w:tc>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855</w:t>
            </w:r>
          </w:p>
        </w:tc>
        <w:tc>
          <w:tcPr/>
          <w:p>
            <w:pPr>
              <w:pStyle w:val="Compact"/>
              <w:jc w:val="right"/>
            </w:pPr>
            <w:r>
              <w:t xml:space="preserve">1,149</w:t>
            </w:r>
          </w:p>
        </w:tc>
      </w:tr>
      <w:tr>
        <w:tc>
          <w:tcPr/>
          <w:p>
            <w:pPr>
              <w:pStyle w:val="Compact"/>
              <w:jc w:val="left"/>
            </w:pPr>
            <w:r>
              <w:t xml:space="preserve">003</w:t>
            </w:r>
          </w:p>
        </w:tc>
        <w:tc>
          <w:tcPr/>
          <w:p>
            <w:pPr>
              <w:pStyle w:val="Compact"/>
              <w:jc w:val="left"/>
            </w:pPr>
            <w:r>
              <w:t xml:space="preserve">辵 (Walk)</w:t>
            </w:r>
          </w:p>
        </w:tc>
        <w:tc>
          <w:tcPr/>
          <w:p>
            <w:pPr>
              <w:pStyle w:val="Compact"/>
              <w:jc w:val="right"/>
            </w:pPr>
            <w:r>
              <w:t xml:space="preserve">368</w:t>
            </w:r>
          </w:p>
        </w:tc>
        <w:tc>
          <w:tcPr/>
          <w:p>
            <w:pPr>
              <w:pStyle w:val="Compact"/>
              <w:jc w:val="right"/>
            </w:pPr>
            <w:r>
              <w:t xml:space="preserve">81</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w:t>
            </w:r>
          </w:p>
        </w:tc>
        <w:tc>
          <w:tcPr/>
          <w:p>
            <w:pPr>
              <w:pStyle w:val="Compact"/>
              <w:jc w:val="right"/>
            </w:pPr>
            <w:r>
              <w:t xml:space="preserve">1</w:t>
            </w:r>
          </w:p>
        </w:tc>
        <w:tc>
          <w:tcPr/>
          <w:p>
            <w:pPr>
              <w:pStyle w:val="Compact"/>
              <w:jc w:val="right"/>
            </w:pPr>
            <w:r>
              <w:t xml:space="preserve">462</w:t>
            </w:r>
          </w:p>
        </w:tc>
        <w:tc>
          <w:tcPr/>
          <w:p>
            <w:pPr>
              <w:pStyle w:val="Compact"/>
              <w:jc w:val="right"/>
            </w:pPr>
            <w:r>
              <w:t xml:space="preserve">575</w:t>
            </w:r>
          </w:p>
        </w:tc>
      </w:tr>
    </w:tbl>
    <w:p>
      <w:pPr>
        <w:pStyle w:val="BodyText"/>
      </w:pPr>
      <w:r>
        <w:t xml:space="preserve">For the</w:t>
      </w:r>
      <w:r>
        <w:t xml:space="preserve"> </w:t>
      </w:r>
      <w:r>
        <w:rPr>
          <w:bCs/>
          <w:b/>
        </w:rPr>
        <w:t xml:space="preserve">“</w:t>
      </w:r>
      <w:r>
        <w:rPr>
          <w:bCs/>
          <w:b/>
        </w:rPr>
        <w:t xml:space="preserve">人</w:t>
      </w:r>
      <w:r>
        <w:rPr>
          <w:bCs/>
          <w:b/>
        </w:rPr>
        <w:t xml:space="preserve">”</w:t>
      </w:r>
      <w:r>
        <w:rPr>
          <w:bCs/>
          <w:b/>
        </w:rPr>
        <w:t xml:space="preserve"> </w:t>
      </w:r>
      <w:r>
        <w:rPr>
          <w:bCs/>
          <w:b/>
        </w:rPr>
        <w:t xml:space="preserve">(Man) radical section</w:t>
      </w:r>
      <w:r>
        <w:t xml:space="preserve"> </w:t>
      </w:r>
      <w:r>
        <w:t xml:space="preserve">(人部,</w:t>
      </w:r>
      <w:r>
        <w:t xml:space="preserve"> </w:t>
      </w:r>
      <w:r>
        <w:rPr>
          <w:iCs/>
          <w:i/>
        </w:rPr>
        <w:t xml:space="preserve">jinbu</w:t>
      </w:r>
      <w:r>
        <w:t xml:space="preserve">), the following instance, which should have been counted as two separate</w:t>
      </w:r>
      <w:r>
        <w:t xml:space="preserve"> </w:t>
      </w:r>
      <w:r>
        <w:rPr>
          <w:rStyle w:val="VerbatimChar"/>
          <w:bCs/>
          <w:b/>
        </w:rPr>
        <w:t xml:space="preserve">Entries</w:t>
      </w:r>
      <w:r>
        <w:t xml:space="preserve">, was mistakenly counted as a single</w:t>
      </w:r>
      <w:r>
        <w:t xml:space="preserve"> </w:t>
      </w:r>
      <w:r>
        <w:rPr>
          <w:rStyle w:val="VerbatimChar"/>
          <w:bCs/>
          <w:b/>
        </w:rPr>
        <w:t xml:space="preserve">Entry</w:t>
      </w:r>
      <w:r>
        <w:t xml:space="preserve">:</w:t>
      </w:r>
    </w:p>
    <w:p>
      <w:pPr>
        <w:numPr>
          <w:ilvl w:val="0"/>
          <w:numId w:val="1187"/>
        </w:numPr>
        <w:pStyle w:val="Compact"/>
      </w:pPr>
      <w:r>
        <w:rPr>
          <w:rStyle w:val="VerbatimChar"/>
        </w:rPr>
        <w:t xml:space="preserve">kazama_location</w:t>
      </w:r>
      <w:r>
        <w:t xml:space="preserve">: K01008341,</w:t>
      </w:r>
      <w:r>
        <w:t xml:space="preserve"> </w:t>
      </w:r>
      <w:r>
        <w:rPr>
          <w:rStyle w:val="VerbatimChar"/>
        </w:rPr>
        <w:t xml:space="preserve">hanzi_entry</w:t>
      </w:r>
      <w:r>
        <w:t xml:space="preserve">: 於／ー（何）,</w:t>
      </w:r>
      <w:r>
        <w:t xml:space="preserve"> </w:t>
      </w:r>
      <w:r>
        <w:rPr>
          <w:rStyle w:val="VerbatimChar"/>
        </w:rPr>
        <w:t xml:space="preserve">definition</w:t>
      </w:r>
      <w:r>
        <w:t xml:space="preserve">: 同</w:t>
      </w:r>
    </w:p>
    <w:p>
      <w:pPr>
        <w:numPr>
          <w:ilvl w:val="0"/>
          <w:numId w:val="1187"/>
        </w:numPr>
        <w:pStyle w:val="Compact"/>
      </w:pPr>
      <w:r>
        <w:rPr>
          <w:rStyle w:val="VerbatimChar"/>
        </w:rPr>
        <w:t xml:space="preserve">kazama_location</w:t>
      </w:r>
      <w:r>
        <w:t xml:space="preserve">: K01008343,</w:t>
      </w:r>
      <w:r>
        <w:t xml:space="preserve"> </w:t>
      </w:r>
      <w:r>
        <w:rPr>
          <w:rStyle w:val="VerbatimChar"/>
        </w:rPr>
        <w:t xml:space="preserve">hanzi_entry</w:t>
      </w:r>
      <w:r>
        <w:t xml:space="preserve">: 奈／ー（何）,</w:t>
      </w:r>
      <w:r>
        <w:t xml:space="preserve"> </w:t>
      </w:r>
      <w:r>
        <w:rPr>
          <w:rStyle w:val="VerbatimChar"/>
        </w:rPr>
        <w:t xml:space="preserve">definition</w:t>
      </w:r>
      <w:r>
        <w:t xml:space="preserve">: 同</w:t>
      </w:r>
    </w:p>
    <w:p>
      <w:pPr>
        <w:pStyle w:val="FirstParagraph"/>
      </w:pPr>
      <w:r>
        <w:t xml:space="preserve">This can be confirmed on the right side of the</w:t>
      </w:r>
      <w:r>
        <w:t xml:space="preserve"> </w:t>
      </w:r>
      <w:hyperlink r:id="rId284">
        <w:r>
          <w:rPr>
            <w:rStyle w:val="Hyperlink"/>
          </w:rPr>
          <w:t xml:space="preserve">corresponding page</w:t>
        </w:r>
      </w:hyperlink>
      <w:r>
        <w:t xml:space="preserve"> </w:t>
      </w:r>
      <w:r>
        <w:t xml:space="preserve">in the National Diet Library Digital Collections.</w:t>
      </w:r>
    </w:p>
    <w:p>
      <w:pPr>
        <w:pStyle w:val="BodyText"/>
      </w:pPr>
      <w:r>
        <w:t xml:space="preserve">In addition to this, there are the following four</w:t>
      </w:r>
      <w:r>
        <w:t xml:space="preserve"> </w:t>
      </w:r>
      <w:r>
        <w:rPr>
          <w:rStyle w:val="VerbatimChar"/>
          <w:bCs/>
          <w:b/>
        </w:rPr>
        <w:t xml:space="preserve">Entries</w:t>
      </w:r>
      <w:r>
        <w:t xml:space="preserve"> </w:t>
      </w:r>
      <w:r>
        <w:t xml:space="preserve">where</w:t>
      </w:r>
      <w:r>
        <w:t xml:space="preserve"> </w:t>
      </w:r>
      <w:r>
        <w:rPr>
          <w:rStyle w:val="VerbatimChar"/>
          <w:bCs/>
          <w:b/>
        </w:rPr>
        <w:t xml:space="preserve">Omitted Characters</w:t>
      </w:r>
      <w:r>
        <w:t xml:space="preserve"> </w:t>
      </w:r>
      <w:r>
        <w:t xml:space="preserve">in the</w:t>
      </w:r>
      <w:r>
        <w:t xml:space="preserve"> </w:t>
      </w:r>
      <w:r>
        <w:rPr>
          <w:rStyle w:val="VerbatimChar"/>
          <w:bCs/>
          <w:b/>
        </w:rPr>
        <w:t xml:space="preserve">Headword</w:t>
      </w:r>
      <w:r>
        <w:t xml:space="preserve"> </w:t>
      </w:r>
      <w:r>
        <w:t xml:space="preserve">were supplied:</w:t>
      </w:r>
    </w:p>
    <w:p>
      <w:pPr>
        <w:numPr>
          <w:ilvl w:val="0"/>
          <w:numId w:val="1188"/>
        </w:numPr>
        <w:pStyle w:val="Compact"/>
      </w:pPr>
      <w:r>
        <w:rPr>
          <w:rStyle w:val="VerbatimChar"/>
        </w:rPr>
        <w:t xml:space="preserve">kazama_location</w:t>
      </w:r>
      <w:r>
        <w:t xml:space="preserve">: K01005131,</w:t>
      </w:r>
      <w:r>
        <w:t xml:space="preserve"> </w:t>
      </w:r>
      <w:r>
        <w:rPr>
          <w:rStyle w:val="VerbatimChar"/>
        </w:rPr>
        <w:t xml:space="preserve">hanzi_entry</w:t>
      </w:r>
      <w:r>
        <w:t xml:space="preserve">: 是／［以］</w:t>
      </w:r>
    </w:p>
    <w:p>
      <w:pPr>
        <w:numPr>
          <w:ilvl w:val="0"/>
          <w:numId w:val="1188"/>
        </w:numPr>
        <w:pStyle w:val="Compact"/>
      </w:pPr>
      <w:r>
        <w:rPr>
          <w:rStyle w:val="VerbatimChar"/>
        </w:rPr>
        <w:t xml:space="preserve">kazama_location</w:t>
      </w:r>
      <w:r>
        <w:t xml:space="preserve">: K01008421,</w:t>
      </w:r>
      <w:r>
        <w:t xml:space="preserve"> </w:t>
      </w:r>
      <w:r>
        <w:rPr>
          <w:rStyle w:val="VerbatimChar"/>
        </w:rPr>
        <w:t xml:space="preserve">hanzi_entry</w:t>
      </w:r>
      <w:r>
        <w:t xml:space="preserve">: 不／奈／［何］</w:t>
      </w:r>
    </w:p>
    <w:p>
      <w:pPr>
        <w:numPr>
          <w:ilvl w:val="0"/>
          <w:numId w:val="1188"/>
        </w:numPr>
        <w:pStyle w:val="Compact"/>
      </w:pPr>
      <w:r>
        <w:rPr>
          <w:rStyle w:val="VerbatimChar"/>
        </w:rPr>
        <w:t xml:space="preserve">kazama_location</w:t>
      </w:r>
      <w:r>
        <w:t xml:space="preserve">: K01031111,</w:t>
      </w:r>
      <w:r>
        <w:t xml:space="preserve"> </w:t>
      </w:r>
      <w:r>
        <w:rPr>
          <w:rStyle w:val="VerbatimChar"/>
        </w:rPr>
        <w:t xml:space="preserve">hanzi_entry</w:t>
      </w:r>
      <w:r>
        <w:t xml:space="preserve">: 将／為／［便］</w:t>
      </w:r>
    </w:p>
    <w:p>
      <w:pPr>
        <w:numPr>
          <w:ilvl w:val="0"/>
          <w:numId w:val="1188"/>
        </w:numPr>
        <w:pStyle w:val="Compact"/>
      </w:pPr>
      <w:r>
        <w:rPr>
          <w:rStyle w:val="VerbatimChar"/>
        </w:rPr>
        <w:t xml:space="preserve">kazama_location</w:t>
      </w:r>
      <w:r>
        <w:t xml:space="preserve">: K01035310,</w:t>
      </w:r>
      <w:r>
        <w:t xml:space="preserve"> </w:t>
      </w:r>
      <w:r>
        <w:rPr>
          <w:rStyle w:val="VerbatimChar"/>
        </w:rPr>
        <w:t xml:space="preserve">hanzi_entry</w:t>
      </w:r>
      <w:r>
        <w:t xml:space="preserve">: 奢／［侈］</w:t>
      </w:r>
    </w:p>
    <w:p>
      <w:pPr>
        <w:pStyle w:val="FirstParagraph"/>
      </w:pPr>
      <w:r>
        <w:t xml:space="preserve">The figures for the</w:t>
      </w:r>
      <w:r>
        <w:t xml:space="preserve"> </w:t>
      </w:r>
      <w:r>
        <w:t xml:space="preserve">“</w:t>
      </w:r>
      <w:r>
        <w:t xml:space="preserve">人</w:t>
      </w:r>
      <w:r>
        <w:t xml:space="preserve">”</w:t>
      </w:r>
      <w:r>
        <w:t xml:space="preserve"> </w:t>
      </w:r>
      <w:r>
        <w:t xml:space="preserve">(Man) radical section in Ikeda et al. (2020) need to be corrected for the number of</w:t>
      </w:r>
      <w:r>
        <w:t xml:space="preserve"> </w:t>
      </w:r>
      <w:r>
        <w:rPr>
          <w:rStyle w:val="VerbatimChar"/>
          <w:bCs/>
          <w:b/>
        </w:rPr>
        <w:t xml:space="preserve">Entries</w:t>
      </w:r>
      <w:r>
        <w:t xml:space="preserve"> </w:t>
      </w:r>
      <w:r>
        <w:t xml:space="preserve">as follows. The corrected figures are shown in</w:t>
      </w:r>
      <w:r>
        <w:t xml:space="preserve"> </w:t>
      </w:r>
      <w:r>
        <w:rPr>
          <w:bCs/>
          <w:b/>
        </w:rPr>
        <w:t xml:space="preserve">bold</w:t>
      </w:r>
      <w:r>
        <w:t xml:space="preserve">:</w:t>
      </w:r>
    </w:p>
    <w:tbl>
      <w:tblPr>
        <w:tblStyle w:val="Table"/>
        <w:tblW w:type="pct" w:w="5000"/>
        <w:tblLook w:firstRow="1" w:lastRow="0" w:firstColumn="0" w:lastColumn="0" w:noHBand="0" w:noVBand="0" w:val="0020"/>
        <w:jc w:val="start"/>
      </w:tblPr>
      <w:tblGrid>
        <w:gridCol w:w="412"/>
        <w:gridCol w:w="742"/>
        <w:gridCol w:w="742"/>
        <w:gridCol w:w="742"/>
        <w:gridCol w:w="742"/>
        <w:gridCol w:w="660"/>
        <w:gridCol w:w="660"/>
        <w:gridCol w:w="742"/>
        <w:gridCol w:w="1320"/>
        <w:gridCol w:w="1155"/>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001</w:t>
            </w:r>
          </w:p>
        </w:tc>
        <w:tc>
          <w:tcPr/>
          <w:p>
            <w:pPr>
              <w:pStyle w:val="Compact"/>
              <w:jc w:val="left"/>
            </w:pPr>
            <w:r>
              <w:t xml:space="preserve">人 (Man)</w:t>
            </w:r>
          </w:p>
        </w:tc>
        <w:tc>
          <w:tcPr/>
          <w:p>
            <w:pPr>
              <w:pStyle w:val="Compact"/>
              <w:jc w:val="right"/>
            </w:pPr>
            <w:r>
              <w:rPr>
                <w:bCs/>
                <w:b/>
              </w:rPr>
              <w:t xml:space="preserve">614</w:t>
            </w:r>
          </w:p>
        </w:tc>
        <w:tc>
          <w:tcPr/>
          <w:p>
            <w:pPr>
              <w:pStyle w:val="Compact"/>
              <w:jc w:val="right"/>
            </w:pPr>
            <w:r>
              <w:rPr>
                <w:bCs/>
                <w:b/>
              </w:rPr>
              <w:t xml:space="preserve">205</w:t>
            </w:r>
          </w:p>
        </w:tc>
        <w:tc>
          <w:tcPr/>
          <w:p>
            <w:pPr>
              <w:pStyle w:val="Compact"/>
              <w:jc w:val="right"/>
            </w:pPr>
            <w:r>
              <w:rPr>
                <w:bCs/>
                <w:b/>
              </w:rPr>
              <w:t xml:space="preserve">28</w:t>
            </w:r>
          </w:p>
        </w:tc>
        <w:tc>
          <w:tcPr/>
          <w:p>
            <w:pPr>
              <w:pStyle w:val="Compact"/>
              <w:jc w:val="right"/>
            </w:pPr>
            <w:r>
              <w:rPr>
                <w:bCs/>
                <w:b/>
              </w:rP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rPr>
                <w:bCs/>
                <w:b/>
              </w:rPr>
              <w:t xml:space="preserve">856</w:t>
            </w:r>
          </w:p>
        </w:tc>
        <w:tc>
          <w:tcPr/>
          <w:p>
            <w:pPr>
              <w:pStyle w:val="Compact"/>
              <w:jc w:val="right"/>
            </w:pPr>
            <w:r>
              <w:rPr>
                <w:bCs/>
                <w:b/>
              </w:rPr>
              <w:t xml:space="preserve">1,153</w:t>
            </w:r>
          </w:p>
        </w:tc>
      </w:tr>
    </w:tbl>
    <w:p>
      <w:pPr>
        <w:pStyle w:val="BodyText"/>
      </w:pPr>
      <w:r>
        <w:t xml:space="preserve">For the</w:t>
      </w:r>
      <w:r>
        <w:t xml:space="preserve"> </w:t>
      </w:r>
      <w:r>
        <w:rPr>
          <w:bCs/>
          <w:b/>
        </w:rPr>
        <w:t xml:space="preserve">“</w:t>
      </w:r>
      <w:r>
        <w:rPr>
          <w:bCs/>
          <w:b/>
        </w:rPr>
        <w:t xml:space="preserve">辵</w:t>
      </w:r>
      <w:r>
        <w:rPr>
          <w:bCs/>
          <w:b/>
        </w:rPr>
        <w:t xml:space="preserve">”</w:t>
      </w:r>
      <w:r>
        <w:rPr>
          <w:bCs/>
          <w:b/>
        </w:rPr>
        <w:t xml:space="preserve"> </w:t>
      </w:r>
      <w:r>
        <w:rPr>
          <w:bCs/>
          <w:b/>
        </w:rPr>
        <w:t xml:space="preserve">(Walk) radical section</w:t>
      </w:r>
      <w:r>
        <w:t xml:space="preserve"> </w:t>
      </w:r>
      <w:r>
        <w:t xml:space="preserve">(辵部,</w:t>
      </w:r>
      <w:r>
        <w:t xml:space="preserve"> </w:t>
      </w:r>
      <w:r>
        <w:rPr>
          <w:iCs/>
          <w:i/>
        </w:rPr>
        <w:t xml:space="preserve">Chaku-bu</w:t>
      </w:r>
      <w:r>
        <w:t xml:space="preserve">), the following two</w:t>
      </w:r>
      <w:r>
        <w:t xml:space="preserve"> </w:t>
      </w:r>
      <w:r>
        <w:rPr>
          <w:rStyle w:val="VerbatimChar"/>
          <w:bCs/>
          <w:b/>
        </w:rPr>
        <w:t xml:space="preserve">Entries</w:t>
      </w:r>
      <w:r>
        <w:t xml:space="preserve"> </w:t>
      </w:r>
      <w:r>
        <w:t xml:space="preserve">appear consecutively. Although they might seem like a single</w:t>
      </w:r>
      <w:r>
        <w:t xml:space="preserve"> </w:t>
      </w:r>
      <w:r>
        <w:rPr>
          <w:rStyle w:val="VerbatimChar"/>
          <w:bCs/>
          <w:b/>
        </w:rPr>
        <w:t xml:space="preserve">Entry</w:t>
      </w:r>
      <w:r>
        <w:t xml:space="preserve">,</w:t>
      </w:r>
      <w:r>
        <w:t xml:space="preserve"> </w:t>
      </w:r>
      <w:r>
        <w:t xml:space="preserve">‘</w:t>
      </w:r>
      <w:r>
        <w:t xml:space="preserve">迁</w:t>
      </w:r>
      <w:r>
        <w:t xml:space="preserve">’</w:t>
      </w:r>
      <w:r>
        <w:t xml:space="preserve"> </w:t>
      </w:r>
      <w:r>
        <w:t xml:space="preserve">and</w:t>
      </w:r>
      <w:r>
        <w:t xml:space="preserve"> </w:t>
      </w:r>
      <w:r>
        <w:t xml:space="preserve">‘</w:t>
      </w:r>
      <w:r>
        <w:t xml:space="preserve">還</w:t>
      </w:r>
      <w:r>
        <w:t xml:space="preserve">’</w:t>
      </w:r>
      <w:r>
        <w:t xml:space="preserve"> </w:t>
      </w:r>
      <w:r>
        <w:t xml:space="preserve">are distinct characters.</w:t>
      </w:r>
    </w:p>
    <w:p>
      <w:pPr>
        <w:numPr>
          <w:ilvl w:val="0"/>
          <w:numId w:val="1189"/>
        </w:numPr>
        <w:pStyle w:val="Compact"/>
      </w:pPr>
      <w:r>
        <w:rPr>
          <w:rStyle w:val="VerbatimChar"/>
        </w:rPr>
        <w:t xml:space="preserve">kazama_location</w:t>
      </w:r>
      <w:r>
        <w:t xml:space="preserve">: K01050412,</w:t>
      </w:r>
      <w:r>
        <w:t xml:space="preserve"> </w:t>
      </w:r>
      <w:r>
        <w:rPr>
          <w:rStyle w:val="VerbatimChar"/>
        </w:rPr>
        <w:t xml:space="preserve">hanzi_entry</w:t>
      </w:r>
      <w:r>
        <w:t xml:space="preserve">: 迁</w:t>
      </w:r>
    </w:p>
    <w:p>
      <w:pPr>
        <w:numPr>
          <w:ilvl w:val="0"/>
          <w:numId w:val="1189"/>
        </w:numPr>
        <w:pStyle w:val="Compact"/>
      </w:pPr>
      <w:r>
        <w:rPr>
          <w:rStyle w:val="VerbatimChar"/>
        </w:rPr>
        <w:t xml:space="preserve">kazama_location</w:t>
      </w:r>
      <w:r>
        <w:t xml:space="preserve">: K01050420,</w:t>
      </w:r>
      <w:r>
        <w:t xml:space="preserve"> </w:t>
      </w:r>
      <w:r>
        <w:rPr>
          <w:rStyle w:val="VerbatimChar"/>
        </w:rPr>
        <w:t xml:space="preserve">hanzi_entry</w:t>
      </w:r>
      <w:r>
        <w:t xml:space="preserve">: 還,</w:t>
      </w:r>
      <w:r>
        <w:t xml:space="preserve"> </w:t>
      </w:r>
      <w:r>
        <w:rPr>
          <w:rStyle w:val="VerbatimChar"/>
        </w:rPr>
        <w:t xml:space="preserve">definition</w:t>
      </w:r>
      <w:r>
        <w:t xml:space="preserve">: 音環(L)　カヘル-ス　メクル　マクラス　シリソク　マタ　ヤム　又音旋　和外ン</w:t>
      </w:r>
    </w:p>
    <w:p>
      <w:pPr>
        <w:pStyle w:val="FirstParagraph"/>
      </w:pPr>
      <w:r>
        <w:t xml:space="preserve">This is a section where</w:t>
      </w:r>
      <w:r>
        <w:t xml:space="preserve"> </w:t>
      </w:r>
      <w:r>
        <w:t xml:space="preserve">‘</w:t>
      </w:r>
      <w:r>
        <w:t xml:space="preserve">迂</w:t>
      </w:r>
      <w:r>
        <w:t xml:space="preserve">’</w:t>
      </w:r>
      <w:r>
        <w:t xml:space="preserve">,</w:t>
      </w:r>
      <w:r>
        <w:t xml:space="preserve"> </w:t>
      </w:r>
      <w:r>
        <w:t xml:space="preserve">‘</w:t>
      </w:r>
      <w:r>
        <w:t xml:space="preserve">迃</w:t>
      </w:r>
      <w:r>
        <w:t xml:space="preserve">’</w:t>
      </w:r>
      <w:r>
        <w:t xml:space="preserve">, and</w:t>
      </w:r>
      <w:r>
        <w:t xml:space="preserve"> </w:t>
      </w:r>
      <w:r>
        <w:t xml:space="preserve">‘</w:t>
      </w:r>
      <w:r>
        <w:t xml:space="preserve">迁</w:t>
      </w:r>
      <w:r>
        <w:t xml:space="preserve">’</w:t>
      </w:r>
      <w:r>
        <w:t xml:space="preserve"> </w:t>
      </w:r>
      <w:r>
        <w:t xml:space="preserve">appear in sequence, and it is considered to be an arrangement where</w:t>
      </w:r>
      <w:r>
        <w:t xml:space="preserve"> </w:t>
      </w:r>
      <w:r>
        <w:rPr>
          <w:rStyle w:val="VerbatimChar"/>
          <w:bCs/>
          <w:b/>
        </w:rPr>
        <w:t xml:space="preserve">Headwords</w:t>
      </w:r>
      <w:r>
        <w:t xml:space="preserve"> </w:t>
      </w:r>
      <w:r>
        <w:t xml:space="preserve">with similar glyph forms are listed consecutively. The</w:t>
      </w:r>
      <w:r>
        <w:t xml:space="preserve"> </w:t>
      </w:r>
      <w:r>
        <w:rPr>
          <w:rStyle w:val="VerbatimChar"/>
          <w:bCs/>
          <w:b/>
        </w:rPr>
        <w:t xml:space="preserve">Entry</w:t>
      </w:r>
      <w:r>
        <w:t xml:space="preserve"> </w:t>
      </w:r>
      <w:r>
        <w:t xml:space="preserve">for</w:t>
      </w:r>
      <w:r>
        <w:t xml:space="preserve"> </w:t>
      </w:r>
      <w:r>
        <w:t xml:space="preserve">‘</w:t>
      </w:r>
      <w:r>
        <w:t xml:space="preserve">迁</w:t>
      </w:r>
      <w:r>
        <w:t xml:space="preserve">’</w:t>
      </w:r>
      <w:r>
        <w:t xml:space="preserve"> </w:t>
      </w:r>
      <w:r>
        <w:t xml:space="preserve">is treated as an unannotated</w:t>
      </w:r>
      <w:r>
        <w:t xml:space="preserve"> </w:t>
      </w:r>
      <w:r>
        <w:rPr>
          <w:rStyle w:val="VerbatimChar"/>
          <w:bCs/>
          <w:b/>
        </w:rPr>
        <w:t xml:space="preserve">Entry</w:t>
      </w:r>
      <w:r>
        <w:t xml:space="preserve">.</w:t>
      </w:r>
    </w:p>
    <w:p>
      <w:pPr>
        <w:pStyle w:val="BodyText"/>
      </w:pPr>
      <w:r>
        <w:t xml:space="preserve">This can be confirmed on the right side of the</w:t>
      </w:r>
      <w:r>
        <w:t xml:space="preserve"> </w:t>
      </w:r>
      <w:hyperlink r:id="rId285">
        <w:r>
          <w:rPr>
            <w:rStyle w:val="Hyperlink"/>
          </w:rPr>
          <w:t xml:space="preserve">corresponding page</w:t>
        </w:r>
      </w:hyperlink>
      <w:r>
        <w:t xml:space="preserve"> </w:t>
      </w:r>
      <w:r>
        <w:t xml:space="preserve">in the National Diet Library Digital Collections.</w:t>
      </w:r>
    </w:p>
    <w:p>
      <w:pPr>
        <w:pStyle w:val="BodyText"/>
      </w:pPr>
      <w:r>
        <w:t xml:space="preserve">The discrepancy in</w:t>
      </w:r>
      <w:r>
        <w:t xml:space="preserve"> </w:t>
      </w:r>
      <w:r>
        <w:rPr>
          <w:rStyle w:val="VerbatimChar"/>
          <w:bCs/>
          <w:b/>
        </w:rPr>
        <w:t xml:space="preserve">Entry</w:t>
      </w:r>
      <w:r>
        <w:t xml:space="preserve"> </w:t>
      </w:r>
      <w:r>
        <w:t xml:space="preserve">counts between Sakai (1967) and Ikeda et al. (2020) is presumed to be due to differences in the method of counting this particular instance.</w:t>
      </w:r>
    </w:p>
    <w:bookmarkEnd w:id="286"/>
    <w:bookmarkStart w:id="290" w:name="X98f90075827502f4779f5c46d48d05f56726343"/>
    <w:p>
      <w:pPr>
        <w:pStyle w:val="Heading3"/>
      </w:pPr>
      <w:r>
        <w:rPr>
          <w:rStyle w:val="SectionNumber"/>
        </w:rPr>
        <w:t xml:space="preserve">21.6.4</w:t>
      </w:r>
      <w:r>
        <w:tab/>
      </w:r>
      <w:r>
        <w:rPr>
          <w:iCs/>
          <w:i/>
        </w:rPr>
        <w:t xml:space="preserve">Butsuchū</w:t>
      </w:r>
      <w:r>
        <w:t xml:space="preserve"> </w:t>
      </w:r>
      <w:r>
        <w:t xml:space="preserve">(仏中 – Middle</w:t>
      </w:r>
      <w:r>
        <w:t xml:space="preserve"> </w:t>
      </w:r>
      <w:r>
        <w:t xml:space="preserve">“</w:t>
      </w:r>
      <w:r>
        <w:t xml:space="preserve">Buddha</w:t>
      </w:r>
      <w:r>
        <w:t xml:space="preserve">”</w:t>
      </w:r>
      <w:r>
        <w:t xml:space="preserve"> </w:t>
      </w:r>
      <w:r>
        <w:t xml:space="preserve">Fascicle)</w:t>
      </w:r>
    </w:p>
    <w:p>
      <w:pPr>
        <w:pStyle w:val="FirstParagraph"/>
      </w:pPr>
      <w:r>
        <w:t xml:space="preserve">In the</w:t>
      </w:r>
      <w:r>
        <w:t xml:space="preserve"> </w:t>
      </w:r>
      <w:r>
        <w:rPr>
          <w:iCs/>
          <w:i/>
          <w:bCs/>
          <w:b/>
        </w:rPr>
        <w:t xml:space="preserve">Butsuchū</w:t>
      </w:r>
      <w:r>
        <w:t xml:space="preserve"> </w:t>
      </w:r>
      <w:r>
        <w:t xml:space="preserve">section, discrepancies in</w:t>
      </w:r>
      <w:r>
        <w:t xml:space="preserve"> </w:t>
      </w:r>
      <w:r>
        <w:rPr>
          <w:rStyle w:val="VerbatimChar"/>
          <w:bCs/>
          <w:b/>
        </w:rPr>
        <w:t xml:space="preserve">Entry</w:t>
      </w:r>
      <w:r>
        <w:t xml:space="preserve"> </w:t>
      </w:r>
      <w:r>
        <w:t xml:space="preserve">counts between Sakai (1967) and Ikeda et al. (2020) are found for the following three radical sections. The figures presented in the table below are from Ikeda et al. (2020):</w:t>
      </w:r>
    </w:p>
    <w:tbl>
      <w:tblPr>
        <w:tblStyle w:val="Table"/>
        <w:tblW w:type="pct" w:w="5000"/>
        <w:tblLook w:firstRow="1" w:lastRow="0" w:firstColumn="0" w:lastColumn="0" w:noHBand="0" w:noVBand="0" w:val="0020"/>
        <w:jc w:val="start"/>
      </w:tblPr>
      <w:tblGrid>
        <w:gridCol w:w="421"/>
        <w:gridCol w:w="842"/>
        <w:gridCol w:w="674"/>
        <w:gridCol w:w="674"/>
        <w:gridCol w:w="674"/>
        <w:gridCol w:w="674"/>
        <w:gridCol w:w="674"/>
        <w:gridCol w:w="758"/>
        <w:gridCol w:w="1348"/>
        <w:gridCol w:w="1179"/>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014</w:t>
            </w:r>
          </w:p>
        </w:tc>
        <w:tc>
          <w:tcPr/>
          <w:p>
            <w:pPr>
              <w:pStyle w:val="Compact"/>
              <w:jc w:val="left"/>
            </w:pPr>
            <w:r>
              <w:t xml:space="preserve">口 (Mouth)</w:t>
            </w:r>
          </w:p>
        </w:tc>
        <w:tc>
          <w:tcPr/>
          <w:p>
            <w:pPr>
              <w:pStyle w:val="Compact"/>
              <w:jc w:val="right"/>
            </w:pPr>
            <w:r>
              <w:t xml:space="preserve">858</w:t>
            </w:r>
          </w:p>
        </w:tc>
        <w:tc>
          <w:tcPr/>
          <w:p>
            <w:pPr>
              <w:pStyle w:val="Compact"/>
              <w:jc w:val="right"/>
            </w:pPr>
            <w:r>
              <w:t xml:space="preserve">146</w:t>
            </w:r>
          </w:p>
        </w:tc>
        <w:tc>
          <w:tcPr/>
          <w:p>
            <w:pPr>
              <w:pStyle w:val="Compact"/>
              <w:jc w:val="right"/>
            </w:pPr>
            <w:r>
              <w:t xml:space="preserve">17</w:t>
            </w:r>
          </w:p>
        </w:tc>
        <w:tc>
          <w:tcPr/>
          <w:p>
            <w:pPr>
              <w:pStyle w:val="Compact"/>
              <w:jc w:val="right"/>
            </w:pPr>
            <w:r>
              <w:t xml:space="preserve">9</w:t>
            </w:r>
          </w:p>
        </w:tc>
        <w:tc>
          <w:tcPr/>
          <w:p>
            <w:pPr>
              <w:pStyle w:val="Compact"/>
              <w:jc w:val="right"/>
            </w:pPr>
            <w:r>
              <w:t xml:space="preserve">4</w:t>
            </w:r>
          </w:p>
        </w:tc>
        <w:tc>
          <w:tcPr/>
          <w:p>
            <w:pPr>
              <w:pStyle w:val="Compact"/>
              <w:jc w:val="right"/>
            </w:pPr>
            <w:r>
              <w:t xml:space="preserve">1</w:t>
            </w:r>
          </w:p>
        </w:tc>
        <w:tc>
          <w:tcPr/>
          <w:p>
            <w:pPr>
              <w:pStyle w:val="Compact"/>
              <w:jc w:val="right"/>
            </w:pPr>
            <w:r>
              <w:t xml:space="preserve">1,035</w:t>
            </w:r>
          </w:p>
        </w:tc>
        <w:tc>
          <w:tcPr/>
          <w:p>
            <w:pPr>
              <w:pStyle w:val="Compact"/>
              <w:jc w:val="right"/>
            </w:pPr>
            <w:r>
              <w:t xml:space="preserve">1,274</w:t>
            </w:r>
          </w:p>
        </w:tc>
      </w:tr>
      <w:tr>
        <w:tc>
          <w:tcPr/>
          <w:p>
            <w:pPr>
              <w:pStyle w:val="Compact"/>
              <w:jc w:val="left"/>
            </w:pPr>
            <w:r>
              <w:t xml:space="preserve">018</w:t>
            </w:r>
          </w:p>
        </w:tc>
        <w:tc>
          <w:tcPr/>
          <w:p>
            <w:pPr>
              <w:pStyle w:val="Compact"/>
              <w:jc w:val="left"/>
            </w:pPr>
            <w:r>
              <w:t xml:space="preserve">日 (Sun)</w:t>
            </w:r>
          </w:p>
        </w:tc>
        <w:tc>
          <w:tcPr/>
          <w:p>
            <w:pPr>
              <w:pStyle w:val="Compact"/>
              <w:jc w:val="right"/>
            </w:pPr>
            <w:r>
              <w:t xml:space="preserve">450</w:t>
            </w:r>
          </w:p>
        </w:tc>
        <w:tc>
          <w:tcPr/>
          <w:p>
            <w:pPr>
              <w:pStyle w:val="Compact"/>
              <w:jc w:val="right"/>
            </w:pPr>
            <w:r>
              <w:t xml:space="preserve">96</w:t>
            </w:r>
          </w:p>
        </w:tc>
        <w:tc>
          <w:tcPr/>
          <w:p>
            <w:pPr>
              <w:pStyle w:val="Compact"/>
              <w:jc w:val="right"/>
            </w:pPr>
            <w:r>
              <w:t xml:space="preserve">7</w:t>
            </w:r>
          </w:p>
        </w:tc>
        <w:tc>
          <w:tcPr/>
          <w:p>
            <w:pPr>
              <w:pStyle w:val="Compact"/>
              <w:jc w:val="right"/>
            </w:pPr>
            <w:r>
              <w:t xml:space="preserve">2</w:t>
            </w:r>
          </w:p>
        </w:tc>
        <w:tc>
          <w:tcPr/>
          <w:p>
            <w:pPr>
              <w:pStyle w:val="Compact"/>
              <w:jc w:val="right"/>
            </w:pPr>
            <w:r>
              <w:t xml:space="preserve">1</w:t>
            </w:r>
          </w:p>
        </w:tc>
        <w:tc>
          <w:tcPr/>
          <w:p>
            <w:pPr>
              <w:pStyle w:val="Compact"/>
              <w:jc w:val="right"/>
            </w:pPr>
            <w:r>
              <w:t xml:space="preserve">0</w:t>
            </w:r>
          </w:p>
        </w:tc>
        <w:tc>
          <w:tcPr/>
          <w:p>
            <w:pPr>
              <w:pStyle w:val="Compact"/>
              <w:jc w:val="right"/>
            </w:pPr>
            <w:r>
              <w:t xml:space="preserve">556</w:t>
            </w:r>
          </w:p>
        </w:tc>
        <w:tc>
          <w:tcPr/>
          <w:p>
            <w:pPr>
              <w:pStyle w:val="Compact"/>
              <w:jc w:val="right"/>
            </w:pPr>
            <w:r>
              <w:t xml:space="preserve">676</w:t>
            </w:r>
          </w:p>
        </w:tc>
      </w:tr>
      <w:tr>
        <w:tc>
          <w:tcPr/>
          <w:p>
            <w:pPr>
              <w:pStyle w:val="Compact"/>
              <w:jc w:val="left"/>
            </w:pPr>
            <w:r>
              <w:t xml:space="preserve">020</w:t>
            </w:r>
          </w:p>
        </w:tc>
        <w:tc>
          <w:tcPr/>
          <w:p>
            <w:pPr>
              <w:pStyle w:val="Compact"/>
              <w:jc w:val="left"/>
            </w:pPr>
            <w:r>
              <w:t xml:space="preserve">肉 (Flesh)</w:t>
            </w:r>
          </w:p>
        </w:tc>
        <w:tc>
          <w:tcPr/>
          <w:p>
            <w:pPr>
              <w:pStyle w:val="Compact"/>
              <w:jc w:val="right"/>
            </w:pPr>
            <w:r>
              <w:t xml:space="preserve">580</w:t>
            </w:r>
          </w:p>
        </w:tc>
        <w:tc>
          <w:tcPr/>
          <w:p>
            <w:pPr>
              <w:pStyle w:val="Compact"/>
              <w:jc w:val="right"/>
            </w:pPr>
            <w:r>
              <w:t xml:space="preserve">119</w:t>
            </w:r>
          </w:p>
        </w:tc>
        <w:tc>
          <w:tcPr/>
          <w:p>
            <w:pPr>
              <w:pStyle w:val="Compact"/>
              <w:jc w:val="right"/>
            </w:pPr>
            <w:r>
              <w:t xml:space="preserve">12</w:t>
            </w:r>
          </w:p>
        </w:tc>
        <w:tc>
          <w:tcPr/>
          <w:p>
            <w:pPr>
              <w:pStyle w:val="Compact"/>
              <w:jc w:val="right"/>
            </w:pPr>
            <w:r>
              <w:t xml:space="preserve">2</w:t>
            </w:r>
          </w:p>
        </w:tc>
        <w:tc>
          <w:tcPr/>
          <w:p>
            <w:pPr>
              <w:pStyle w:val="Compact"/>
              <w:jc w:val="right"/>
            </w:pPr>
            <w:r>
              <w:t xml:space="preserve">1</w:t>
            </w:r>
          </w:p>
        </w:tc>
        <w:tc>
          <w:tcPr/>
          <w:p>
            <w:pPr>
              <w:pStyle w:val="Compact"/>
              <w:jc w:val="right"/>
            </w:pPr>
            <w:r>
              <w:t xml:space="preserve">3</w:t>
            </w:r>
          </w:p>
        </w:tc>
        <w:tc>
          <w:tcPr/>
          <w:p>
            <w:pPr>
              <w:pStyle w:val="Compact"/>
              <w:jc w:val="right"/>
            </w:pPr>
            <w:r>
              <w:t xml:space="preserve">717</w:t>
            </w:r>
          </w:p>
        </w:tc>
        <w:tc>
          <w:tcPr/>
          <w:p>
            <w:pPr>
              <w:pStyle w:val="Compact"/>
              <w:jc w:val="right"/>
            </w:pPr>
            <w:r>
              <w:t xml:space="preserve">888</w:t>
            </w:r>
          </w:p>
        </w:tc>
      </w:tr>
    </w:tbl>
    <w:p>
      <w:pPr>
        <w:pStyle w:val="BodyText"/>
      </w:pPr>
      <w:r>
        <w:t xml:space="preserve">For the</w:t>
      </w:r>
      <w:r>
        <w:t xml:space="preserve"> </w:t>
      </w:r>
      <w:r>
        <w:rPr>
          <w:bCs/>
          <w:b/>
        </w:rPr>
        <w:t xml:space="preserve">“</w:t>
      </w:r>
      <w:r>
        <w:rPr>
          <w:bCs/>
          <w:b/>
        </w:rPr>
        <w:t xml:space="preserve">口</w:t>
      </w:r>
      <w:r>
        <w:rPr>
          <w:bCs/>
          <w:b/>
        </w:rPr>
        <w:t xml:space="preserve">”</w:t>
      </w:r>
      <w:r>
        <w:rPr>
          <w:bCs/>
          <w:b/>
        </w:rPr>
        <w:t xml:space="preserve"> </w:t>
      </w:r>
      <w:r>
        <w:rPr>
          <w:bCs/>
          <w:b/>
        </w:rPr>
        <w:t xml:space="preserve">(Mouth) radical section</w:t>
      </w:r>
      <w:r>
        <w:t xml:space="preserve"> </w:t>
      </w:r>
      <w:r>
        <w:t xml:space="preserve">(口部,</w:t>
      </w:r>
      <w:r>
        <w:t xml:space="preserve"> </w:t>
      </w:r>
      <w:r>
        <w:rPr>
          <w:iCs/>
          <w:i/>
        </w:rPr>
        <w:t xml:space="preserve">kōbu</w:t>
      </w:r>
      <w:r>
        <w:t xml:space="preserve">), there are three instances where the identification of</w:t>
      </w:r>
      <w:r>
        <w:t xml:space="preserve"> </w:t>
      </w:r>
      <w:r>
        <w:rPr>
          <w:rStyle w:val="VerbatimChar"/>
          <w:bCs/>
          <w:b/>
        </w:rPr>
        <w:t xml:space="preserve">Entries</w:t>
      </w:r>
      <w:r>
        <w:t xml:space="preserve"> </w:t>
      </w:r>
      <w:r>
        <w:t xml:space="preserve">is problematic.</w:t>
      </w:r>
    </w:p>
    <w:p>
      <w:pPr>
        <w:pStyle w:val="BodyText"/>
      </w:pPr>
      <w:r>
        <w:t xml:space="preserve">First, the following</w:t>
      </w:r>
      <w:r>
        <w:t xml:space="preserve"> </w:t>
      </w:r>
      <w:r>
        <w:rPr>
          <w:rStyle w:val="VerbatimChar"/>
          <w:bCs/>
          <w:b/>
        </w:rPr>
        <w:t xml:space="preserve">Entries</w:t>
      </w:r>
      <w:r>
        <w:t xml:space="preserve"> </w:t>
      </w:r>
      <w:r>
        <w:t xml:space="preserve">for</w:t>
      </w:r>
      <w:r>
        <w:t xml:space="preserve"> </w:t>
      </w:r>
      <w:r>
        <w:t xml:space="preserve">‘</w:t>
      </w:r>
      <w:r>
        <w:t xml:space="preserve">吉</w:t>
      </w:r>
      <w:r>
        <w:t xml:space="preserve">’</w:t>
      </w:r>
      <w:r>
        <w:t xml:space="preserve"> </w:t>
      </w:r>
      <w:r>
        <w:t xml:space="preserve">and</w:t>
      </w:r>
      <w:r>
        <w:t xml:space="preserve"> </w:t>
      </w:r>
      <w:r>
        <w:t xml:space="preserve">‘</w:t>
      </w:r>
      <w:r>
        <w:t xml:space="preserve">喆</w:t>
      </w:r>
      <w:r>
        <w:t xml:space="preserve">’</w:t>
      </w:r>
      <w:r>
        <w:t xml:space="preserve"> </w:t>
      </w:r>
      <w:r>
        <w:t xml:space="preserve">are listed consecutively and might appear to be a single</w:t>
      </w:r>
      <w:r>
        <w:t xml:space="preserve"> </w:t>
      </w:r>
      <w:r>
        <w:rPr>
          <w:rStyle w:val="VerbatimChar"/>
          <w:bCs/>
          <w:b/>
        </w:rPr>
        <w:t xml:space="preserve">Entry</w:t>
      </w:r>
      <w:r>
        <w:t xml:space="preserve">:</w:t>
      </w:r>
    </w:p>
    <w:p>
      <w:pPr>
        <w:numPr>
          <w:ilvl w:val="0"/>
          <w:numId w:val="1190"/>
        </w:numPr>
        <w:pStyle w:val="Compact"/>
      </w:pPr>
      <w:r>
        <w:rPr>
          <w:rStyle w:val="VerbatimChar"/>
        </w:rPr>
        <w:t xml:space="preserve">kazama_location</w:t>
      </w:r>
      <w:r>
        <w:t xml:space="preserve">: K02047711,</w:t>
      </w:r>
      <w:r>
        <w:t xml:space="preserve"> </w:t>
      </w:r>
      <w:r>
        <w:rPr>
          <w:rStyle w:val="VerbatimChar"/>
        </w:rPr>
        <w:t xml:space="preserve">hanzi_entry</w:t>
      </w:r>
      <w:r>
        <w:t xml:space="preserve">: 吉</w:t>
      </w:r>
    </w:p>
    <w:p>
      <w:pPr>
        <w:numPr>
          <w:ilvl w:val="0"/>
          <w:numId w:val="1190"/>
        </w:numPr>
        <w:pStyle w:val="Compact"/>
      </w:pPr>
      <w:r>
        <w:rPr>
          <w:rStyle w:val="VerbatimChar"/>
        </w:rPr>
        <w:t xml:space="preserve">kazama_location</w:t>
      </w:r>
      <w:r>
        <w:t xml:space="preserve">: K02047712,</w:t>
      </w:r>
      <w:r>
        <w:t xml:space="preserve"> </w:t>
      </w:r>
      <w:r>
        <w:rPr>
          <w:rStyle w:val="VerbatimChar"/>
        </w:rPr>
        <w:t xml:space="preserve">hanzi_entry</w:t>
      </w:r>
      <w:r>
        <w:t xml:space="preserve">: 喆,</w:t>
      </w:r>
      <w:r>
        <w:t xml:space="preserve"> </w:t>
      </w:r>
      <w:r>
        <w:rPr>
          <w:rStyle w:val="VerbatimChar"/>
        </w:rPr>
        <w:t xml:space="preserve">definition</w:t>
      </w:r>
      <w:r>
        <w:t xml:space="preserve">: 知列反　サトル（HH_）　アキラカナリ　シル　サカシ　シム</w:t>
      </w:r>
    </w:p>
    <w:p>
      <w:pPr>
        <w:pStyle w:val="FirstParagraph"/>
      </w:pPr>
      <w:r>
        <w:t xml:space="preserve">However,</w:t>
      </w:r>
      <w:r>
        <w:t xml:space="preserve"> </w:t>
      </w:r>
      <w:r>
        <w:t xml:space="preserve">‘</w:t>
      </w:r>
      <w:r>
        <w:t xml:space="preserve">吉</w:t>
      </w:r>
      <w:r>
        <w:t xml:space="preserve">’</w:t>
      </w:r>
      <w:r>
        <w:t xml:space="preserve"> </w:t>
      </w:r>
      <w:r>
        <w:t xml:space="preserve">(</w:t>
      </w:r>
      <w:r>
        <w:rPr>
          <w:iCs/>
          <w:i/>
        </w:rPr>
        <w:t xml:space="preserve">Guangyun</w:t>
      </w:r>
      <w:r>
        <w:t xml:space="preserve">:</w:t>
      </w:r>
      <w:r>
        <w:t xml:space="preserve"> </w:t>
      </w:r>
      <w:r>
        <w:t xml:space="preserve">“</w:t>
      </w:r>
      <w:r>
        <w:t xml:space="preserve">居質切</w:t>
      </w:r>
      <w:r>
        <w:t xml:space="preserve">”</w:t>
      </w:r>
      <w:r>
        <w:t xml:space="preserve"> </w:t>
      </w:r>
      <w:r>
        <w:rPr>
          <w:iCs/>
          <w:i/>
        </w:rPr>
        <w:t xml:space="preserve">jūzhì qiè</w:t>
      </w:r>
      <w:r>
        <w:t xml:space="preserve">, Entering tone,</w:t>
      </w:r>
      <w:r>
        <w:t xml:space="preserve"> </w:t>
      </w:r>
      <w:r>
        <w:rPr>
          <w:iCs/>
          <w:i/>
        </w:rPr>
        <w:t xml:space="preserve">Zhi</w:t>
      </w:r>
      <w:r>
        <w:t xml:space="preserve"> </w:t>
      </w:r>
      <w:r>
        <w:t xml:space="preserve">(質) rhyme, character 吉) and</w:t>
      </w:r>
      <w:r>
        <w:t xml:space="preserve"> </w:t>
      </w:r>
      <w:r>
        <w:t xml:space="preserve">‘</w:t>
      </w:r>
      <w:r>
        <w:t xml:space="preserve">喆</w:t>
      </w:r>
      <w:r>
        <w:t xml:space="preserve">’</w:t>
      </w:r>
      <w:r>
        <w:t xml:space="preserve"> </w:t>
      </w:r>
      <w:r>
        <w:t xml:space="preserve">(</w:t>
      </w:r>
      <w:r>
        <w:rPr>
          <w:iCs/>
          <w:i/>
        </w:rPr>
        <w:t xml:space="preserve">Guangyun</w:t>
      </w:r>
      <w:r>
        <w:t xml:space="preserve">:</w:t>
      </w:r>
      <w:r>
        <w:t xml:space="preserve"> </w:t>
      </w:r>
      <w:r>
        <w:t xml:space="preserve">“</w:t>
      </w:r>
      <w:r>
        <w:t xml:space="preserve">陟列切</w:t>
      </w:r>
      <w:r>
        <w:t xml:space="preserve">”</w:t>
      </w:r>
      <w:r>
        <w:t xml:space="preserve"> </w:t>
      </w:r>
      <w:r>
        <w:rPr>
          <w:iCs/>
          <w:i/>
        </w:rPr>
        <w:t xml:space="preserve">zhìliè qiè</w:t>
      </w:r>
      <w:r>
        <w:t xml:space="preserve">, Entering tone,</w:t>
      </w:r>
      <w:r>
        <w:t xml:space="preserve"> </w:t>
      </w:r>
      <w:r>
        <w:rPr>
          <w:iCs/>
          <w:i/>
        </w:rPr>
        <w:t xml:space="preserve">Xue</w:t>
      </w:r>
      <w:r>
        <w:t xml:space="preserve"> </w:t>
      </w:r>
      <w:r>
        <w:t xml:space="preserve">(薛) rhyme, character 哲) are distinct characters. The</w:t>
      </w:r>
      <w:r>
        <w:t xml:space="preserve"> </w:t>
      </w:r>
      <w:r>
        <w:rPr>
          <w:rStyle w:val="VerbatimChar"/>
          <w:bCs/>
          <w:b/>
        </w:rPr>
        <w:t xml:space="preserve">Entry</w:t>
      </w:r>
      <w:r>
        <w:t xml:space="preserve"> </w:t>
      </w:r>
      <w:r>
        <w:t xml:space="preserve">for</w:t>
      </w:r>
      <w:r>
        <w:t xml:space="preserve"> </w:t>
      </w:r>
      <w:r>
        <w:t xml:space="preserve">‘</w:t>
      </w:r>
      <w:r>
        <w:t xml:space="preserve">吉</w:t>
      </w:r>
      <w:r>
        <w:t xml:space="preserve">’</w:t>
      </w:r>
      <w:r>
        <w:t xml:space="preserve"> </w:t>
      </w:r>
      <w:r>
        <w:t xml:space="preserve">is an unannotated one.</w:t>
      </w:r>
    </w:p>
    <w:p>
      <w:pPr>
        <w:pStyle w:val="BodyText"/>
      </w:pPr>
      <w:r>
        <w:t xml:space="preserve">Please refer to the left side of the</w:t>
      </w:r>
      <w:r>
        <w:t xml:space="preserve"> </w:t>
      </w:r>
      <w:hyperlink r:id="rId287">
        <w:r>
          <w:rPr>
            <w:rStyle w:val="Hyperlink"/>
          </w:rPr>
          <w:t xml:space="preserve">corresponding page</w:t>
        </w:r>
      </w:hyperlink>
      <w:r>
        <w:t xml:space="preserve"> </w:t>
      </w:r>
      <w:r>
        <w:t xml:space="preserve">in the National Diet Library Digital Collections.</w:t>
      </w:r>
    </w:p>
    <w:p>
      <w:pPr>
        <w:pStyle w:val="BodyText"/>
      </w:pPr>
      <w:r>
        <w:t xml:space="preserve">Next, the</w:t>
      </w:r>
      <w:r>
        <w:t xml:space="preserve"> </w:t>
      </w:r>
      <w:r>
        <w:rPr>
          <w:rStyle w:val="VerbatimChar"/>
          <w:bCs/>
          <w:b/>
        </w:rPr>
        <w:t xml:space="preserve">Headwords</w:t>
      </w:r>
      <w:r>
        <w:t xml:space="preserve"> </w:t>
      </w:r>
      <w:r>
        <w:t xml:space="preserve">‘</w:t>
      </w:r>
      <w:r>
        <w:t xml:space="preserve">⿰口⿰木㬅</w:t>
      </w:r>
      <w:r>
        <w:t xml:space="preserve">’</w:t>
      </w:r>
      <w:r>
        <w:t xml:space="preserve"> </w:t>
      </w:r>
      <w:r>
        <w:t xml:space="preserve">and</w:t>
      </w:r>
      <w:r>
        <w:t xml:space="preserve"> </w:t>
      </w:r>
      <w:r>
        <w:t xml:space="preserve">‘</w:t>
      </w:r>
      <w:r>
        <w:t xml:space="preserve">𠾺</w:t>
      </w:r>
      <w:r>
        <w:t xml:space="preserve">’</w:t>
      </w:r>
      <w:r>
        <w:t xml:space="preserve"> </w:t>
      </w:r>
      <w:r>
        <w:t xml:space="preserve">are listed consecutively (following an</w:t>
      </w:r>
      <w:r>
        <w:t xml:space="preserve"> </w:t>
      </w:r>
      <w:r>
        <w:rPr>
          <w:rStyle w:val="VerbatimChar"/>
          <w:bCs/>
          <w:b/>
        </w:rPr>
        <w:t xml:space="preserve">Entry</w:t>
      </w:r>
      <w:r>
        <w:t xml:space="preserve"> </w:t>
      </w:r>
      <w:r>
        <w:t xml:space="preserve">for</w:t>
      </w:r>
      <w:r>
        <w:t xml:space="preserve"> </w:t>
      </w:r>
      <w:r>
        <w:t xml:space="preserve">‘</w:t>
      </w:r>
      <w:r>
        <w:t xml:space="preserve">㘄</w:t>
      </w:r>
      <w:r>
        <w:t xml:space="preserve">’</w:t>
      </w:r>
      <w:r>
        <w:t xml:space="preserve">) and might also appear to be a single</w:t>
      </w:r>
      <w:r>
        <w:t xml:space="preserve"> </w:t>
      </w:r>
      <w:r>
        <w:rPr>
          <w:rStyle w:val="VerbatimChar"/>
          <w:bCs/>
          <w:b/>
        </w:rPr>
        <w:t xml:space="preserve">Entry</w:t>
      </w:r>
      <w:r>
        <w:t xml:space="preserve"> </w:t>
      </w:r>
      <w:r>
        <w:t xml:space="preserve">or part of the</w:t>
      </w:r>
      <w:r>
        <w:t xml:space="preserve"> </w:t>
      </w:r>
      <w:r>
        <w:t xml:space="preserve">‘</w:t>
      </w:r>
      <w:r>
        <w:t xml:space="preserve">㘄</w:t>
      </w:r>
      <w:r>
        <w:t xml:space="preserve">’</w:t>
      </w:r>
      <w:r>
        <w:t xml:space="preserve"> </w:t>
      </w:r>
      <w:r>
        <w:rPr>
          <w:rStyle w:val="VerbatimChar"/>
          <w:bCs/>
          <w:b/>
        </w:rPr>
        <w:t xml:space="preserve">Entry</w:t>
      </w:r>
      <w:r>
        <w:t xml:space="preserve">:</w:t>
      </w:r>
    </w:p>
    <w:p>
      <w:pPr>
        <w:numPr>
          <w:ilvl w:val="0"/>
          <w:numId w:val="1191"/>
        </w:numPr>
        <w:pStyle w:val="Compact"/>
      </w:pPr>
      <w:r>
        <w:rPr>
          <w:rStyle w:val="VerbatimChar"/>
        </w:rPr>
        <w:t xml:space="preserve">kazama_location</w:t>
      </w:r>
      <w:r>
        <w:t xml:space="preserve">: K02056421,</w:t>
      </w:r>
      <w:r>
        <w:t xml:space="preserve"> </w:t>
      </w:r>
      <w:r>
        <w:rPr>
          <w:rStyle w:val="VerbatimChar"/>
        </w:rPr>
        <w:t xml:space="preserve">hanzi_entry</w:t>
      </w:r>
      <w:r>
        <w:t xml:space="preserve">: 㘄,</w:t>
      </w:r>
      <w:r>
        <w:t xml:space="preserve"> </w:t>
      </w:r>
      <w:r>
        <w:rPr>
          <w:rStyle w:val="VerbatimChar"/>
        </w:rPr>
        <w:t xml:space="preserve">definition</w:t>
      </w:r>
      <w:r>
        <w:t xml:space="preserve">: 魯登反</w:t>
      </w:r>
    </w:p>
    <w:p>
      <w:pPr>
        <w:numPr>
          <w:ilvl w:val="0"/>
          <w:numId w:val="1191"/>
        </w:numPr>
        <w:pStyle w:val="Compact"/>
      </w:pPr>
      <w:r>
        <w:rPr>
          <w:rStyle w:val="VerbatimChar"/>
        </w:rPr>
        <w:t xml:space="preserve">kazama_location</w:t>
      </w:r>
      <w:r>
        <w:t xml:space="preserve">: K02056422,</w:t>
      </w:r>
      <w:r>
        <w:t xml:space="preserve"> </w:t>
      </w:r>
      <w:r>
        <w:rPr>
          <w:rStyle w:val="VerbatimChar"/>
        </w:rPr>
        <w:t xml:space="preserve">hanzi_entry</w:t>
      </w:r>
      <w:r>
        <w:t xml:space="preserve">: ⿰口⿰木㬅</w:t>
      </w:r>
    </w:p>
    <w:p>
      <w:pPr>
        <w:numPr>
          <w:ilvl w:val="0"/>
          <w:numId w:val="1191"/>
        </w:numPr>
        <w:pStyle w:val="Compact"/>
      </w:pPr>
      <w:r>
        <w:rPr>
          <w:rStyle w:val="VerbatimChar"/>
        </w:rPr>
        <w:t xml:space="preserve">kazama_location</w:t>
      </w:r>
      <w:r>
        <w:t xml:space="preserve">: K02056430,</w:t>
      </w:r>
      <w:r>
        <w:t xml:space="preserve"> </w:t>
      </w:r>
      <w:r>
        <w:rPr>
          <w:rStyle w:val="VerbatimChar"/>
        </w:rPr>
        <w:t xml:space="preserve">hanzi_entry</w:t>
      </w:r>
      <w:r>
        <w:t xml:space="preserve">: 𠾺,</w:t>
      </w:r>
      <w:r>
        <w:t xml:space="preserve"> </w:t>
      </w:r>
      <w:r>
        <w:rPr>
          <w:rStyle w:val="VerbatimChar"/>
        </w:rPr>
        <w:t xml:space="preserve">definition</w:t>
      </w:r>
      <w:r>
        <w:t xml:space="preserve">: 俗善字</w:t>
      </w:r>
    </w:p>
    <w:p>
      <w:pPr>
        <w:pStyle w:val="FirstParagraph"/>
      </w:pPr>
      <w:r>
        <w:t xml:space="preserve">However,</w:t>
      </w:r>
      <w:r>
        <w:t xml:space="preserve"> </w:t>
      </w:r>
      <w:r>
        <w:t xml:space="preserve">‘</w:t>
      </w:r>
      <w:r>
        <w:t xml:space="preserve">⿰口⿰木㬅</w:t>
      </w:r>
      <w:r>
        <w:t xml:space="preserve">’</w:t>
      </w:r>
      <w:r>
        <w:t xml:space="preserve"> </w:t>
      </w:r>
      <w:r>
        <w:t xml:space="preserve">is graphically similar to</w:t>
      </w:r>
      <w:r>
        <w:t xml:space="preserve"> </w:t>
      </w:r>
      <w:r>
        <w:t xml:space="preserve">‘</w:t>
      </w:r>
      <w:r>
        <w:t xml:space="preserve">㘄</w:t>
      </w:r>
      <w:r>
        <w:t xml:space="preserve">’</w:t>
      </w:r>
      <w:r>
        <w:t xml:space="preserve">, and it is presumed to have been listed for that reason. The</w:t>
      </w:r>
      <w:r>
        <w:t xml:space="preserve"> </w:t>
      </w:r>
      <w:r>
        <w:rPr>
          <w:rStyle w:val="VerbatimChar"/>
          <w:bCs/>
          <w:b/>
        </w:rPr>
        <w:t xml:space="preserve">Entry</w:t>
      </w:r>
      <w:r>
        <w:t xml:space="preserve"> </w:t>
      </w:r>
      <w:r>
        <w:t xml:space="preserve">for</w:t>
      </w:r>
      <w:r>
        <w:t xml:space="preserve"> </w:t>
      </w:r>
      <w:r>
        <w:t xml:space="preserve">‘</w:t>
      </w:r>
      <w:r>
        <w:t xml:space="preserve">⿰口⿰木㬅</w:t>
      </w:r>
      <w:r>
        <w:t xml:space="preserve">’</w:t>
      </w:r>
      <w:r>
        <w:t xml:space="preserve"> </w:t>
      </w:r>
      <w:r>
        <w:t xml:space="preserve">is likely an unannotated one.</w:t>
      </w:r>
    </w:p>
    <w:p>
      <w:pPr>
        <w:pStyle w:val="BodyText"/>
      </w:pPr>
      <w:r>
        <w:t xml:space="preserve">Please refer to the right side of the</w:t>
      </w:r>
      <w:r>
        <w:t xml:space="preserve"> </w:t>
      </w:r>
      <w:hyperlink r:id="rId288">
        <w:r>
          <w:rPr>
            <w:rStyle w:val="Hyperlink"/>
          </w:rPr>
          <w:t xml:space="preserve">corresponding page</w:t>
        </w:r>
      </w:hyperlink>
      <w:r>
        <w:t xml:space="preserve"> </w:t>
      </w:r>
      <w:r>
        <w:t xml:space="preserve">in the National Diet Library Digital Collections.</w:t>
      </w:r>
    </w:p>
    <w:p>
      <w:pPr>
        <w:pStyle w:val="BodyText"/>
      </w:pPr>
      <w:r>
        <w:t xml:space="preserve">The following is an example that could be interpreted as either one</w:t>
      </w:r>
      <w:r>
        <w:t xml:space="preserve"> </w:t>
      </w:r>
      <w:r>
        <w:rPr>
          <w:rStyle w:val="VerbatimChar"/>
          <w:bCs/>
          <w:b/>
        </w:rPr>
        <w:t xml:space="preserve">Entry</w:t>
      </w:r>
      <w:r>
        <w:t xml:space="preserve"> </w:t>
      </w:r>
      <w:r>
        <w:t xml:space="preserve">or two, depending on the criteria for identification:</w:t>
      </w:r>
    </w:p>
    <w:p>
      <w:pPr>
        <w:numPr>
          <w:ilvl w:val="0"/>
          <w:numId w:val="1192"/>
        </w:numPr>
        <w:pStyle w:val="Compact"/>
      </w:pPr>
      <w:r>
        <w:rPr>
          <w:rStyle w:val="VerbatimChar"/>
        </w:rPr>
        <w:t xml:space="preserve">kazama_location</w:t>
      </w:r>
      <w:r>
        <w:t xml:space="preserve">: K02030211,</w:t>
      </w:r>
      <w:r>
        <w:t xml:space="preserve"> </w:t>
      </w:r>
      <w:r>
        <w:rPr>
          <w:rStyle w:val="VerbatimChar"/>
        </w:rPr>
        <w:t xml:space="preserve">hanzi_entry</w:t>
      </w:r>
      <w:r>
        <w:t xml:space="preserve">: 呴／吽／𤘘,</w:t>
      </w:r>
      <w:r>
        <w:t xml:space="preserve"> </w:t>
      </w:r>
      <w:r>
        <w:rPr>
          <w:rStyle w:val="VerbatimChar"/>
        </w:rPr>
        <w:t xml:space="preserve">definition</w:t>
      </w:r>
      <w:r>
        <w:t xml:space="preserve">: ◉呴吽𤘘「クチサキラ（HHHVHL）」　「或本ニハ已上五字カキツヽケタリ」 (In another manuscript, the preceding five characters are written consecutively)</w:t>
      </w:r>
    </w:p>
    <w:p>
      <w:pPr>
        <w:numPr>
          <w:ilvl w:val="0"/>
          <w:numId w:val="1192"/>
        </w:numPr>
        <w:pStyle w:val="Compact"/>
      </w:pPr>
      <w:r>
        <w:rPr>
          <w:rStyle w:val="VerbatimChar"/>
        </w:rPr>
        <w:t xml:space="preserve">kazama_location</w:t>
      </w:r>
      <w:r>
        <w:t xml:space="preserve">: K02030221,</w:t>
      </w:r>
      <w:r>
        <w:t xml:space="preserve"> </w:t>
      </w:r>
      <w:r>
        <w:rPr>
          <w:rStyle w:val="VerbatimChar"/>
        </w:rPr>
        <w:t xml:space="preserve">hanzi_entry</w:t>
      </w:r>
      <w:r>
        <w:t xml:space="preserve">: 吼／㖃,</w:t>
      </w:r>
      <w:r>
        <w:t xml:space="preserve"> </w:t>
      </w:r>
      <w:r>
        <w:rPr>
          <w:rStyle w:val="VerbatimChar"/>
        </w:rPr>
        <w:t xml:space="preserve">definition</w:t>
      </w:r>
      <w:r>
        <w:t xml:space="preserve">: 五正　呼厚反　イヒキ　ヨハフ　ホユ（LH）　ナク（HL）　和ク（L）</w:t>
      </w:r>
    </w:p>
    <w:p>
      <w:pPr>
        <w:pStyle w:val="FirstParagraph"/>
      </w:pPr>
      <w:r>
        <w:t xml:space="preserve">The</w:t>
      </w:r>
      <w:r>
        <w:t xml:space="preserve"> </w:t>
      </w:r>
      <w:r>
        <w:rPr>
          <w:rStyle w:val="VerbatimChar"/>
          <w:bCs/>
          <w:b/>
        </w:rPr>
        <w:t xml:space="preserve">Entry</w:t>
      </w:r>
      <w:r>
        <w:t xml:space="preserve"> </w:t>
      </w:r>
      <w:r>
        <w:t xml:space="preserve">for</w:t>
      </w:r>
      <w:r>
        <w:t xml:space="preserve"> </w:t>
      </w:r>
      <w:r>
        <w:t xml:space="preserve">‘</w:t>
      </w:r>
      <w:r>
        <w:t xml:space="preserve">呴／吽／𤘘</w:t>
      </w:r>
      <w:r>
        <w:t xml:space="preserve">’</w:t>
      </w:r>
      <w:r>
        <w:t xml:space="preserve"> </w:t>
      </w:r>
      <w:r>
        <w:t xml:space="preserve">has the note</w:t>
      </w:r>
      <w:r>
        <w:t xml:space="preserve"> </w:t>
      </w:r>
      <w:r>
        <w:t xml:space="preserve">“</w:t>
      </w:r>
      <w:r>
        <w:t xml:space="preserve">或本ニハ已上五字カキツヽケタリ</w:t>
      </w:r>
      <w:r>
        <w:t xml:space="preserve">”</w:t>
      </w:r>
      <w:r>
        <w:t xml:space="preserve"> </w:t>
      </w:r>
      <w:r>
        <w:t xml:space="preserve">(In another manuscript, the preceding five characters are written consecutively). At first glance, this makes it seem separate from the following</w:t>
      </w:r>
      <w:r>
        <w:t xml:space="preserve"> </w:t>
      </w:r>
      <w:r>
        <w:rPr>
          <w:rStyle w:val="VerbatimChar"/>
          <w:bCs/>
          <w:b/>
        </w:rPr>
        <w:t xml:space="preserve">Entry</w:t>
      </w:r>
      <w:r>
        <w:t xml:space="preserve"> </w:t>
      </w:r>
      <w:r>
        <w:t xml:space="preserve">for</w:t>
      </w:r>
      <w:r>
        <w:t xml:space="preserve"> </w:t>
      </w:r>
      <w:r>
        <w:t xml:space="preserve">‘</w:t>
      </w:r>
      <w:r>
        <w:t xml:space="preserve">吼／㖃</w:t>
      </w:r>
      <w:r>
        <w:t xml:space="preserve">’</w:t>
      </w:r>
      <w:r>
        <w:t xml:space="preserve">. However, it could also be considered as a single, continuous</w:t>
      </w:r>
      <w:r>
        <w:t xml:space="preserve"> </w:t>
      </w:r>
      <w:r>
        <w:rPr>
          <w:rStyle w:val="VerbatimChar"/>
          <w:bCs/>
          <w:b/>
        </w:rPr>
        <w:t xml:space="preserve">Entry</w:t>
      </w:r>
      <w:r>
        <w:t xml:space="preserve">.</w:t>
      </w:r>
    </w:p>
    <w:p>
      <w:pPr>
        <w:pStyle w:val="BodyText"/>
      </w:pPr>
      <w:r>
        <w:t xml:space="preserve">In Ikeda et al. (2020), these were treated as two separate</w:t>
      </w:r>
      <w:r>
        <w:t xml:space="preserve"> </w:t>
      </w:r>
      <w:r>
        <w:rPr>
          <w:rStyle w:val="VerbatimChar"/>
          <w:bCs/>
          <w:b/>
        </w:rPr>
        <w:t xml:space="preserve">Entries</w:t>
      </w:r>
      <w:r>
        <w:t xml:space="preserve">, prioritizing the format of their presentation in the manuscript.</w:t>
      </w:r>
    </w:p>
    <w:p>
      <w:pPr>
        <w:pStyle w:val="BodyText"/>
      </w:pPr>
      <w:r>
        <w:t xml:space="preserve">Please refer to the right side of the</w:t>
      </w:r>
      <w:r>
        <w:t xml:space="preserve"> </w:t>
      </w:r>
      <w:hyperlink r:id="rId289">
        <w:r>
          <w:rPr>
            <w:rStyle w:val="Hyperlink"/>
          </w:rPr>
          <w:t xml:space="preserve">corresponding page</w:t>
        </w:r>
      </w:hyperlink>
      <w:r>
        <w:t xml:space="preserve"> </w:t>
      </w:r>
      <w:r>
        <w:t xml:space="preserve">in the National Diet Library Digital Collections.</w:t>
      </w:r>
    </w:p>
    <w:bookmarkEnd w:id="290"/>
    <w:bookmarkStart w:id="315" w:name="X8a95dc7a6ab038a45c04f0a1da18988e1ad753e"/>
    <w:p>
      <w:pPr>
        <w:pStyle w:val="Heading3"/>
      </w:pPr>
      <w:r>
        <w:rPr>
          <w:rStyle w:val="SectionNumber"/>
        </w:rPr>
        <w:t xml:space="preserve">21.6.5</w:t>
      </w:r>
      <w:r>
        <w:tab/>
      </w:r>
      <w:r>
        <w:rPr>
          <w:iCs/>
          <w:i/>
        </w:rPr>
        <w:t xml:space="preserve">Butsuge-hon</w:t>
      </w:r>
      <w:r>
        <w:t xml:space="preserve"> </w:t>
      </w:r>
      <w:r>
        <w:t xml:space="preserve">(仏下本 – Lower</w:t>
      </w:r>
      <w:r>
        <w:t xml:space="preserve"> </w:t>
      </w:r>
      <w:r>
        <w:t xml:space="preserve">“</w:t>
      </w:r>
      <w:r>
        <w:t xml:space="preserve">Buddha</w:t>
      </w:r>
      <w:r>
        <w:t xml:space="preserve">”</w:t>
      </w:r>
      <w:r>
        <w:t xml:space="preserve"> </w:t>
      </w:r>
      <w:r>
        <w:t xml:space="preserve">Fascicle, First Part)</w:t>
      </w:r>
    </w:p>
    <w:p>
      <w:pPr>
        <w:pStyle w:val="FirstParagraph"/>
      </w:pPr>
      <w:r>
        <w:t xml:space="preserve">In the</w:t>
      </w:r>
      <w:r>
        <w:t xml:space="preserve"> </w:t>
      </w:r>
      <w:r>
        <w:rPr>
          <w:iCs/>
          <w:i/>
          <w:bCs/>
          <w:b/>
        </w:rPr>
        <w:t xml:space="preserve">Butsuge-hon</w:t>
      </w:r>
      <w:r>
        <w:t xml:space="preserve"> </w:t>
      </w:r>
      <w:r>
        <w:t xml:space="preserve">section, discrepancies in</w:t>
      </w:r>
      <w:r>
        <w:t xml:space="preserve"> </w:t>
      </w:r>
      <w:r>
        <w:rPr>
          <w:rStyle w:val="VerbatimChar"/>
          <w:bCs/>
          <w:b/>
        </w:rPr>
        <w:t xml:space="preserve">Entry</w:t>
      </w:r>
      <w:r>
        <w:t xml:space="preserve"> </w:t>
      </w:r>
      <w:r>
        <w:t xml:space="preserve">counts between Sakai (1967) and Ikeda et al. (2020) are found for the following four radical sections. The figures presented in the table below are from Ikeda et al. (2020):</w:t>
      </w:r>
    </w:p>
    <w:tbl>
      <w:tblPr>
        <w:tblStyle w:val="Table"/>
        <w:tblW w:type="pct" w:w="5000"/>
        <w:tblLook w:firstRow="1" w:lastRow="0" w:firstColumn="0" w:lastColumn="0" w:noHBand="0" w:noVBand="0" w:val="0020"/>
        <w:jc w:val="start"/>
      </w:tblPr>
      <w:tblGrid>
        <w:gridCol w:w="404"/>
        <w:gridCol w:w="1131"/>
        <w:gridCol w:w="646"/>
        <w:gridCol w:w="646"/>
        <w:gridCol w:w="646"/>
        <w:gridCol w:w="646"/>
        <w:gridCol w:w="646"/>
        <w:gridCol w:w="727"/>
        <w:gridCol w:w="1293"/>
        <w:gridCol w:w="1131"/>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023</w:t>
            </w:r>
          </w:p>
        </w:tc>
        <w:tc>
          <w:tcPr/>
          <w:p>
            <w:pPr>
              <w:pStyle w:val="Compact"/>
              <w:jc w:val="left"/>
            </w:pPr>
            <w:r>
              <w:t xml:space="preserve">角 (Horn)</w:t>
            </w:r>
          </w:p>
        </w:tc>
        <w:tc>
          <w:tcPr/>
          <w:p>
            <w:pPr>
              <w:pStyle w:val="Compact"/>
              <w:jc w:val="right"/>
            </w:pPr>
            <w:r>
              <w:t xml:space="preserve">104</w:t>
            </w:r>
          </w:p>
        </w:tc>
        <w:tc>
          <w:tcPr/>
          <w:p>
            <w:pPr>
              <w:pStyle w:val="Compact"/>
              <w:jc w:val="right"/>
            </w:pPr>
            <w:r>
              <w:t xml:space="preserve">20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126</w:t>
            </w:r>
          </w:p>
        </w:tc>
        <w:tc>
          <w:tcPr/>
          <w:p>
            <w:pPr>
              <w:pStyle w:val="Compact"/>
              <w:jc w:val="right"/>
            </w:pPr>
            <w:r>
              <w:t xml:space="preserve">150</w:t>
            </w:r>
          </w:p>
        </w:tc>
      </w:tr>
      <w:tr>
        <w:tc>
          <w:tcPr/>
          <w:p>
            <w:pPr>
              <w:pStyle w:val="Compact"/>
              <w:jc w:val="left"/>
            </w:pPr>
            <w:r>
              <w:t xml:space="preserve">027</w:t>
            </w:r>
          </w:p>
        </w:tc>
        <w:tc>
          <w:tcPr/>
          <w:p>
            <w:pPr>
              <w:pStyle w:val="Compact"/>
              <w:jc w:val="left"/>
            </w:pPr>
            <w:r>
              <w:t xml:space="preserve">髟 (Hair)</w:t>
            </w:r>
          </w:p>
        </w:tc>
        <w:tc>
          <w:tcPr/>
          <w:p>
            <w:pPr>
              <w:pStyle w:val="Compact"/>
              <w:jc w:val="right"/>
            </w:pPr>
            <w:r>
              <w:t xml:space="preserve">127</w:t>
            </w:r>
          </w:p>
        </w:tc>
        <w:tc>
          <w:tcPr/>
          <w:p>
            <w:pPr>
              <w:pStyle w:val="Compact"/>
              <w:jc w:val="right"/>
            </w:pPr>
            <w:r>
              <w:t xml:space="preserve">28</w:t>
            </w:r>
          </w:p>
        </w:tc>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0</w:t>
            </w:r>
          </w:p>
        </w:tc>
        <w:tc>
          <w:tcPr/>
          <w:p>
            <w:pPr>
              <w:pStyle w:val="Compact"/>
              <w:jc w:val="right"/>
            </w:pPr>
            <w:r>
              <w:t xml:space="preserve">165</w:t>
            </w:r>
          </w:p>
        </w:tc>
        <w:tc>
          <w:tcPr/>
          <w:p>
            <w:pPr>
              <w:pStyle w:val="Compact"/>
              <w:jc w:val="right"/>
            </w:pPr>
            <w:r>
              <w:t xml:space="preserve">221</w:t>
            </w:r>
          </w:p>
        </w:tc>
      </w:tr>
      <w:tr>
        <w:tc>
          <w:tcPr/>
          <w:p>
            <w:pPr>
              <w:pStyle w:val="Compact"/>
              <w:jc w:val="left"/>
            </w:pPr>
            <w:r>
              <w:t xml:space="preserve">028</w:t>
            </w:r>
          </w:p>
        </w:tc>
        <w:tc>
          <w:tcPr/>
          <w:p>
            <w:pPr>
              <w:pStyle w:val="Compact"/>
              <w:jc w:val="left"/>
            </w:pPr>
            <w:r>
              <w:t xml:space="preserve">手 (Hand)</w:t>
            </w:r>
          </w:p>
        </w:tc>
        <w:tc>
          <w:tcPr/>
          <w:p>
            <w:pPr>
              <w:pStyle w:val="Compact"/>
              <w:jc w:val="right"/>
            </w:pPr>
            <w:r>
              <w:t xml:space="preserve">886</w:t>
            </w:r>
          </w:p>
        </w:tc>
        <w:tc>
          <w:tcPr/>
          <w:p>
            <w:pPr>
              <w:pStyle w:val="Compact"/>
              <w:jc w:val="right"/>
            </w:pPr>
            <w:r>
              <w:t xml:space="preserve">219</w:t>
            </w:r>
          </w:p>
        </w:tc>
        <w:tc>
          <w:tcPr/>
          <w:p>
            <w:pPr>
              <w:pStyle w:val="Compact"/>
              <w:jc w:val="right"/>
            </w:pPr>
            <w:r>
              <w:t xml:space="preserve">37</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1,148</w:t>
            </w:r>
          </w:p>
        </w:tc>
        <w:tc>
          <w:tcPr/>
          <w:p>
            <w:pPr>
              <w:pStyle w:val="Compact"/>
              <w:jc w:val="right"/>
            </w:pPr>
            <w:r>
              <w:t xml:space="preserve">1,465</w:t>
            </w:r>
          </w:p>
        </w:tc>
      </w:tr>
      <w:tr>
        <w:tc>
          <w:tcPr/>
          <w:p>
            <w:pPr>
              <w:pStyle w:val="Compact"/>
              <w:jc w:val="left"/>
            </w:pPr>
            <w:r>
              <w:t xml:space="preserve">029</w:t>
            </w:r>
          </w:p>
        </w:tc>
        <w:tc>
          <w:tcPr/>
          <w:p>
            <w:pPr>
              <w:pStyle w:val="Compact"/>
              <w:jc w:val="left"/>
            </w:pPr>
            <w:r>
              <w:t xml:space="preserve">木 (Tree)</w:t>
            </w:r>
          </w:p>
        </w:tc>
        <w:tc>
          <w:tcPr/>
          <w:p>
            <w:pPr>
              <w:pStyle w:val="Compact"/>
              <w:jc w:val="right"/>
            </w:pPr>
            <w:r>
              <w:t xml:space="preserve">1,044</w:t>
            </w:r>
          </w:p>
        </w:tc>
        <w:tc>
          <w:tcPr/>
          <w:p>
            <w:pPr>
              <w:pStyle w:val="Compact"/>
              <w:jc w:val="right"/>
            </w:pPr>
            <w:r>
              <w:t xml:space="preserve">243</w:t>
            </w:r>
          </w:p>
        </w:tc>
        <w:tc>
          <w:tcPr/>
          <w:p>
            <w:pPr>
              <w:pStyle w:val="Compact"/>
              <w:jc w:val="right"/>
            </w:pPr>
            <w:r>
              <w:t xml:space="preserve">40</w:t>
            </w:r>
          </w:p>
        </w:tc>
        <w:tc>
          <w:tcPr/>
          <w:p>
            <w:pPr>
              <w:pStyle w:val="Compact"/>
              <w:jc w:val="right"/>
            </w:pPr>
            <w:r>
              <w:t xml:space="preserve">5</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1,333</w:t>
            </w:r>
          </w:p>
        </w:tc>
        <w:tc>
          <w:tcPr/>
          <w:p>
            <w:pPr>
              <w:pStyle w:val="Compact"/>
              <w:jc w:val="right"/>
            </w:pPr>
            <w:r>
              <w:t xml:space="preserve">1,676</w:t>
            </w:r>
          </w:p>
        </w:tc>
      </w:tr>
    </w:tbl>
    <w:p>
      <w:pPr>
        <w:pStyle w:val="BodyText"/>
      </w:pPr>
      <w:r>
        <w:t xml:space="preserve">For the</w:t>
      </w:r>
      <w:r>
        <w:t xml:space="preserve"> </w:t>
      </w:r>
      <w:r>
        <w:rPr>
          <w:bCs/>
          <w:b/>
        </w:rPr>
        <w:t xml:space="preserve">“</w:t>
      </w:r>
      <w:r>
        <w:rPr>
          <w:bCs/>
          <w:b/>
        </w:rPr>
        <w:t xml:space="preserve">角</w:t>
      </w:r>
      <w:r>
        <w:rPr>
          <w:bCs/>
          <w:b/>
        </w:rPr>
        <w:t xml:space="preserve">”</w:t>
      </w:r>
      <w:r>
        <w:rPr>
          <w:bCs/>
          <w:b/>
        </w:rPr>
        <w:t xml:space="preserve"> </w:t>
      </w:r>
      <w:r>
        <w:rPr>
          <w:bCs/>
          <w:b/>
        </w:rPr>
        <w:t xml:space="preserve">(Horn) radical section</w:t>
      </w:r>
      <w:r>
        <w:t xml:space="preserve"> </w:t>
      </w:r>
      <w:r>
        <w:t xml:space="preserve">(角部,</w:t>
      </w:r>
      <w:r>
        <w:t xml:space="preserve"> </w:t>
      </w:r>
      <w:r>
        <w:rPr>
          <w:iCs/>
          <w:i/>
        </w:rPr>
        <w:t xml:space="preserve">kakubu</w:t>
      </w:r>
      <w:r>
        <w:t xml:space="preserve">), the identification of</w:t>
      </w:r>
      <w:r>
        <w:t xml:space="preserve"> </w:t>
      </w:r>
      <w:r>
        <w:rPr>
          <w:rStyle w:val="VerbatimChar"/>
          <w:bCs/>
          <w:b/>
        </w:rPr>
        <w:t xml:space="preserve">Entries</w:t>
      </w:r>
      <w:r>
        <w:t xml:space="preserve"> </w:t>
      </w:r>
      <w:r>
        <w:t xml:space="preserve">is problematic in the following instance:</w:t>
      </w:r>
    </w:p>
    <w:p>
      <w:pPr>
        <w:numPr>
          <w:ilvl w:val="0"/>
          <w:numId w:val="1193"/>
        </w:numPr>
        <w:pStyle w:val="Compact"/>
      </w:pPr>
      <w:r>
        <w:rPr>
          <w:rStyle w:val="VerbatimChar"/>
        </w:rPr>
        <w:t xml:space="preserve">kazama_location</w:t>
      </w:r>
      <w:r>
        <w:t xml:space="preserve">: K03012511,</w:t>
      </w:r>
      <w:r>
        <w:t xml:space="preserve"> </w:t>
      </w:r>
      <w:r>
        <w:rPr>
          <w:rStyle w:val="VerbatimChar"/>
        </w:rPr>
        <w:t xml:space="preserve">hanzi_entry</w:t>
      </w:r>
      <w:r>
        <w:t xml:space="preserve">: ⿳或或角／𧥑,</w:t>
      </w:r>
      <w:r>
        <w:t xml:space="preserve"> </w:t>
      </w:r>
      <w:r>
        <w:rPr>
          <w:rStyle w:val="VerbatimChar"/>
        </w:rPr>
        <w:t xml:space="preserve">definition</w:t>
      </w:r>
      <w:r>
        <w:t xml:space="preserve">: (Unannotated)</w:t>
      </w:r>
    </w:p>
    <w:p>
      <w:pPr>
        <w:numPr>
          <w:ilvl w:val="0"/>
          <w:numId w:val="1193"/>
        </w:numPr>
        <w:pStyle w:val="Compact"/>
      </w:pPr>
      <w:r>
        <w:rPr>
          <w:rStyle w:val="VerbatimChar"/>
        </w:rPr>
        <w:t xml:space="preserve">kazama_location</w:t>
      </w:r>
      <w:r>
        <w:t xml:space="preserve">: K03012520,</w:t>
      </w:r>
      <w:r>
        <w:t xml:space="preserve"> </w:t>
      </w:r>
      <w:r>
        <w:rPr>
          <w:rStyle w:val="VerbatimChar"/>
        </w:rPr>
        <w:t xml:space="preserve">hanzi_entry</w:t>
      </w:r>
      <w:r>
        <w:t xml:space="preserve">: 𧥑,</w:t>
      </w:r>
      <w:r>
        <w:t xml:space="preserve"> </w:t>
      </w:r>
      <w:r>
        <w:rPr>
          <w:rStyle w:val="VerbatimChar"/>
        </w:rPr>
        <w:t xml:space="preserve">definition</w:t>
      </w:r>
      <w:r>
        <w:t xml:space="preserve">: 音必　篳俗　羗人吹角</w:t>
      </w:r>
    </w:p>
    <w:p>
      <w:pPr>
        <w:numPr>
          <w:ilvl w:val="0"/>
          <w:numId w:val="1193"/>
        </w:numPr>
        <w:pStyle w:val="Compact"/>
      </w:pPr>
      <w:r>
        <w:rPr>
          <w:rStyle w:val="VerbatimChar"/>
        </w:rPr>
        <w:t xml:space="preserve">kazama_location</w:t>
      </w:r>
      <w:r>
        <w:t xml:space="preserve">: K03012530,</w:t>
      </w:r>
      <w:r>
        <w:t xml:space="preserve"> </w:t>
      </w:r>
      <w:r>
        <w:rPr>
          <w:rStyle w:val="VerbatimChar"/>
        </w:rPr>
        <w:t xml:space="preserve">hanzi_entry</w:t>
      </w:r>
      <w:r>
        <w:t xml:space="preserve">: 觱,</w:t>
      </w:r>
      <w:r>
        <w:t xml:space="preserve"> </w:t>
      </w:r>
      <w:r>
        <w:rPr>
          <w:rStyle w:val="VerbatimChar"/>
        </w:rPr>
        <w:t xml:space="preserve">definition</w:t>
      </w:r>
      <w:r>
        <w:t xml:space="preserve">:俗　クスヌク</w:t>
      </w:r>
    </w:p>
    <w:p>
      <w:pPr>
        <w:pStyle w:val="FirstParagraph"/>
      </w:pPr>
      <w:r>
        <w:t xml:space="preserve">As some characters may not display correctly depending on the viewing environment, GlyphWiki images are used in the following explanation.</w:t>
      </w:r>
    </w:p>
    <w:p>
      <w:pPr>
        <w:pStyle w:val="BodyText"/>
      </w:pPr>
      <w:r>
        <w:t xml:space="preserve">The</w:t>
      </w:r>
      <w:r>
        <w:t xml:space="preserve"> </w:t>
      </w:r>
      <w:r>
        <w:rPr>
          <w:rStyle w:val="VerbatimChar"/>
          <w:bCs/>
          <w:b/>
        </w:rPr>
        <w:t xml:space="preserve">Headword</w:t>
      </w:r>
      <w:r>
        <w:t xml:space="preserve"> </w:t>
      </w:r>
      <w:r>
        <w:t xml:space="preserve">of the first</w:t>
      </w:r>
      <w:r>
        <w:t xml:space="preserve"> </w:t>
      </w:r>
      <w:r>
        <w:rPr>
          <w:rStyle w:val="VerbatimChar"/>
          <w:bCs/>
          <w:b/>
        </w:rPr>
        <w:t xml:space="preserve">Entry</w:t>
      </w:r>
      <w:r>
        <w:t xml:space="preserve"> </w:t>
      </w:r>
      <w:r>
        <w:t xml:space="preserve">(K03012511 in the previous example, with</w:t>
      </w:r>
      <w:r>
        <w:t xml:space="preserve"> </w:t>
      </w:r>
      <w:r>
        <w:rPr>
          <w:rStyle w:val="VerbatimChar"/>
        </w:rPr>
        <w:t xml:space="preserve">hanzi_entry</w:t>
      </w:r>
      <w:r>
        <w:t xml:space="preserve">: ⿳或或角／𧥑) is composed of the glyphs</w:t>
      </w:r>
      <w:r>
        <w:t xml:space="preserve"> </w:t>
      </w:r>
      <w:r>
        <w:drawing>
          <wp:inline>
            <wp:extent cx="476250" cy="476250"/>
            <wp:effectExtent b="0" l="0" r="0" t="0"/>
            <wp:docPr descr="𧥑" title="" id="292" name="Picture"/>
            <a:graphic>
              <a:graphicData uri="http://schemas.openxmlformats.org/drawingml/2006/picture">
                <pic:pic>
                  <pic:nvPicPr>
                    <pic:cNvPr descr="https://glyphwiki.org/glyph/hdic_hkrm-03012511.50px.png" id="293" name="Picture"/>
                    <pic:cNvPicPr>
                      <a:picLocks noChangeArrowheads="1" noChangeAspect="1"/>
                    </pic:cNvPicPr>
                  </pic:nvPicPr>
                  <pic:blipFill>
                    <a:blip r:embed="rId291"/>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and</w:t>
      </w:r>
      <w:r>
        <w:t xml:space="preserve"> </w:t>
      </w:r>
      <w:r>
        <w:drawing>
          <wp:inline>
            <wp:extent cx="476250" cy="476250"/>
            <wp:effectExtent b="0" l="0" r="0" t="0"/>
            <wp:docPr descr="𧥑" title="" id="295" name="Picture"/>
            <a:graphic>
              <a:graphicData uri="http://schemas.openxmlformats.org/drawingml/2006/picture">
                <pic:pic>
                  <pic:nvPicPr>
                    <pic:cNvPr descr="https://glyphwiki.org/glyph/hdic_hkrm-03012512.50px.png" id="296" name="Picture"/>
                    <pic:cNvPicPr>
                      <a:picLocks noChangeArrowheads="1" noChangeAspect="1"/>
                    </pic:cNvPicPr>
                  </pic:nvPicPr>
                  <pic:blipFill>
                    <a:blip r:embed="rId294"/>
                    <a:stretch>
                      <a:fillRect/>
                    </a:stretch>
                  </pic:blipFill>
                  <pic:spPr bwMode="auto">
                    <a:xfrm>
                      <a:off x="0" y="0"/>
                      <a:ext cx="476250" cy="476250"/>
                    </a:xfrm>
                    <a:prstGeom prst="rect">
                      <a:avLst/>
                    </a:prstGeom>
                    <a:noFill/>
                    <a:ln w="9525">
                      <a:noFill/>
                      <a:headEnd/>
                      <a:tailEnd/>
                    </a:ln>
                  </pic:spPr>
                </pic:pic>
              </a:graphicData>
            </a:graphic>
          </wp:inline>
        </w:drawing>
      </w:r>
      <w:r>
        <w:t xml:space="preserve">. The</w:t>
      </w:r>
      <w:r>
        <w:t xml:space="preserve"> </w:t>
      </w:r>
      <w:r>
        <w:rPr>
          <w:rStyle w:val="VerbatimChar"/>
          <w:bCs/>
          <w:b/>
        </w:rPr>
        <w:t xml:space="preserve">Headword</w:t>
      </w:r>
      <w:r>
        <w:t xml:space="preserve"> </w:t>
      </w:r>
      <w:r>
        <w:t xml:space="preserve">of the second</w:t>
      </w:r>
      <w:r>
        <w:t xml:space="preserve"> </w:t>
      </w:r>
      <w:r>
        <w:rPr>
          <w:rStyle w:val="VerbatimChar"/>
          <w:bCs/>
          <w:b/>
        </w:rPr>
        <w:t xml:space="preserve">Entry</w:t>
      </w:r>
      <w:r>
        <w:t xml:space="preserve"> </w:t>
      </w:r>
      <w:r>
        <w:t xml:space="preserve">(K03012520, with</w:t>
      </w:r>
      <w:r>
        <w:t xml:space="preserve"> </w:t>
      </w:r>
      <w:r>
        <w:rPr>
          <w:rStyle w:val="VerbatimChar"/>
        </w:rPr>
        <w:t xml:space="preserve">hanzi_entry</w:t>
      </w:r>
      <w:r>
        <w:t xml:space="preserve">: 𧥑) is the glyph</w:t>
      </w:r>
      <w:r>
        <w:t xml:space="preserve"> </w:t>
      </w:r>
      <w:r>
        <w:drawing>
          <wp:inline>
            <wp:extent cx="476250" cy="476250"/>
            <wp:effectExtent b="0" l="0" r="0" t="0"/>
            <wp:docPr descr="𧥑" title="" id="298" name="Picture"/>
            <a:graphic>
              <a:graphicData uri="http://schemas.openxmlformats.org/drawingml/2006/picture">
                <pic:pic>
                  <pic:nvPicPr>
                    <pic:cNvPr descr="https://glyphwiki.org/glyph/hdic_hkrm-03012520.50px.png" id="299" name="Picture"/>
                    <pic:cNvPicPr>
                      <a:picLocks noChangeArrowheads="1" noChangeAspect="1"/>
                    </pic:cNvPicPr>
                  </pic:nvPicPr>
                  <pic:blipFill>
                    <a:blip r:embed="rId297"/>
                    <a:stretch>
                      <a:fillRect/>
                    </a:stretch>
                  </pic:blipFill>
                  <pic:spPr bwMode="auto">
                    <a:xfrm>
                      <a:off x="0" y="0"/>
                      <a:ext cx="476250" cy="476250"/>
                    </a:xfrm>
                    <a:prstGeom prst="rect">
                      <a:avLst/>
                    </a:prstGeom>
                    <a:noFill/>
                    <a:ln w="9525">
                      <a:noFill/>
                      <a:headEnd/>
                      <a:tailEnd/>
                    </a:ln>
                  </pic:spPr>
                </pic:pic>
              </a:graphicData>
            </a:graphic>
          </wp:inline>
        </w:drawing>
      </w:r>
      <w:r>
        <w:t xml:space="preserve">.</w:t>
      </w:r>
      <w:r>
        <w:t xml:space="preserve"> </w:t>
      </w:r>
      <w:r>
        <w:t xml:space="preserve">These three glyphs appear consecutively in the manuscript.</w:t>
      </w:r>
      <w:r>
        <w:t xml:space="preserve"> </w:t>
      </w:r>
      <w:r>
        <w:t xml:space="preserve">A slight space is observed between the first glyph and the second glyph (both part of K0301251’s</w:t>
      </w:r>
      <w:r>
        <w:t xml:space="preserve"> </w:t>
      </w:r>
      <w:r>
        <w:rPr>
          <w:rStyle w:val="VerbatimChar"/>
          <w:bCs/>
          <w:b/>
        </w:rPr>
        <w:t xml:space="preserve">Headword</w:t>
      </w:r>
      <w:r>
        <w:t xml:space="preserve">). A clear space, equivalent to one character width, is found between the second glyph (the end of K03012511’s</w:t>
      </w:r>
      <w:r>
        <w:t xml:space="preserve"> </w:t>
      </w:r>
      <w:r>
        <w:rPr>
          <w:rStyle w:val="VerbatimChar"/>
          <w:bCs/>
          <w:b/>
        </w:rPr>
        <w:t xml:space="preserve">Headword</w:t>
      </w:r>
      <w:r>
        <w:t xml:space="preserve">) and the third glyph (the</w:t>
      </w:r>
      <w:r>
        <w:t xml:space="preserve"> </w:t>
      </w:r>
      <w:r>
        <w:rPr>
          <w:rStyle w:val="VerbatimChar"/>
          <w:bCs/>
          <w:b/>
        </w:rPr>
        <w:t xml:space="preserve">Headword</w:t>
      </w:r>
      <w:r>
        <w:t xml:space="preserve"> </w:t>
      </w:r>
      <w:r>
        <w:t xml:space="preserve">of K03012520). If we represent the slight space with</w:t>
      </w:r>
      <w:r>
        <w:t xml:space="preserve"> </w:t>
      </w:r>
      <w:r>
        <w:t xml:space="preserve">‘</w:t>
      </w:r>
      <w:r>
        <w:t xml:space="preserve">_</w:t>
      </w:r>
      <w:r>
        <w:t xml:space="preserve">’</w:t>
      </w:r>
      <w:r>
        <w:t xml:space="preserve"> </w:t>
      </w:r>
      <w:r>
        <w:t xml:space="preserve">and the one-character space with</w:t>
      </w:r>
      <w:r>
        <w:t xml:space="preserve"> </w:t>
      </w:r>
      <w:r>
        <w:t xml:space="preserve">‘</w:t>
      </w:r>
      <w:r>
        <w:t xml:space="preserve">__</w:t>
      </w:r>
      <w:r>
        <w:t xml:space="preserve">’</w:t>
      </w:r>
      <w:r>
        <w:t xml:space="preserve">, the sequence appears as:</w:t>
      </w:r>
    </w:p>
    <w:p>
      <w:pPr>
        <w:pStyle w:val="BodyText"/>
      </w:pPr>
      <w:r>
        <w:drawing>
          <wp:inline>
            <wp:extent cx="476250" cy="476250"/>
            <wp:effectExtent b="0" l="0" r="0" t="0"/>
            <wp:docPr descr="𧥑" title="" id="300" name="Picture"/>
            <a:graphic>
              <a:graphicData uri="http://schemas.openxmlformats.org/drawingml/2006/picture">
                <pic:pic>
                  <pic:nvPicPr>
                    <pic:cNvPr descr="https://glyphwiki.org/glyph/hdic_hkrm-03012511.50px.png" id="301" name="Picture"/>
                    <pic:cNvPicPr>
                      <a:picLocks noChangeArrowheads="1" noChangeAspect="1"/>
                    </pic:cNvPicPr>
                  </pic:nvPicPr>
                  <pic:blipFill>
                    <a:blip r:embed="rId291"/>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_</w:t>
      </w:r>
      <w:r>
        <w:t xml:space="preserve"> </w:t>
      </w:r>
      <w:r>
        <w:drawing>
          <wp:inline>
            <wp:extent cx="476250" cy="476250"/>
            <wp:effectExtent b="0" l="0" r="0" t="0"/>
            <wp:docPr descr="𧥑" title="" id="302" name="Picture"/>
            <a:graphic>
              <a:graphicData uri="http://schemas.openxmlformats.org/drawingml/2006/picture">
                <pic:pic>
                  <pic:nvPicPr>
                    <pic:cNvPr descr="https://glyphwiki.org/glyph/hdic_hkrm-03012512.50px.png" id="303" name="Picture"/>
                    <pic:cNvPicPr>
                      <a:picLocks noChangeArrowheads="1" noChangeAspect="1"/>
                    </pic:cNvPicPr>
                  </pic:nvPicPr>
                  <pic:blipFill>
                    <a:blip r:embed="rId294"/>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__</w:t>
      </w:r>
      <w:r>
        <w:t xml:space="preserve"> </w:t>
      </w:r>
      <w:r>
        <w:drawing>
          <wp:inline>
            <wp:extent cx="476250" cy="476250"/>
            <wp:effectExtent b="0" l="0" r="0" t="0"/>
            <wp:docPr descr="𧥑" title="" id="304" name="Picture"/>
            <a:graphic>
              <a:graphicData uri="http://schemas.openxmlformats.org/drawingml/2006/picture">
                <pic:pic>
                  <pic:nvPicPr>
                    <pic:cNvPr descr="https://glyphwiki.org/glyph/hdic_hkrm-03012520.50px.png" id="305" name="Picture"/>
                    <pic:cNvPicPr>
                      <a:picLocks noChangeArrowheads="1" noChangeAspect="1"/>
                    </pic:cNvPicPr>
                  </pic:nvPicPr>
                  <pic:blipFill>
                    <a:blip r:embed="rId297"/>
                    <a:stretch>
                      <a:fillRect/>
                    </a:stretch>
                  </pic:blipFill>
                  <pic:spPr bwMode="auto">
                    <a:xfrm>
                      <a:off x="0" y="0"/>
                      <a:ext cx="476250" cy="476250"/>
                    </a:xfrm>
                    <a:prstGeom prst="rect">
                      <a:avLst/>
                    </a:prstGeom>
                    <a:noFill/>
                    <a:ln w="9525">
                      <a:noFill/>
                      <a:headEnd/>
                      <a:tailEnd/>
                    </a:ln>
                  </pic:spPr>
                </pic:pic>
              </a:graphicData>
            </a:graphic>
          </wp:inline>
        </w:drawing>
      </w:r>
    </w:p>
    <w:p>
      <w:pPr>
        <w:pStyle w:val="BodyText"/>
      </w:pPr>
      <w:r>
        <w:t xml:space="preserve">The calculated number of</w:t>
      </w:r>
      <w:r>
        <w:t xml:space="preserve"> </w:t>
      </w:r>
      <w:r>
        <w:rPr>
          <w:rStyle w:val="VerbatimChar"/>
          <w:bCs/>
          <w:b/>
        </w:rPr>
        <w:t xml:space="preserve">Entries</w:t>
      </w:r>
      <w:r>
        <w:t xml:space="preserve"> </w:t>
      </w:r>
      <w:r>
        <w:t xml:space="preserve">can vary depending on whether these three visually consecutive</w:t>
      </w:r>
      <w:r>
        <w:t xml:space="preserve"> </w:t>
      </w:r>
      <w:r>
        <w:rPr>
          <w:rStyle w:val="VerbatimChar"/>
          <w:bCs/>
          <w:b/>
        </w:rPr>
        <w:t xml:space="preserve">Headword</w:t>
      </w:r>
      <w:r>
        <w:t xml:space="preserve"> </w:t>
      </w:r>
      <w:r>
        <w:t xml:space="preserve">glyphs are counted as one, two, or three separate</w:t>
      </w:r>
      <w:r>
        <w:t xml:space="preserve"> </w:t>
      </w:r>
      <w:r>
        <w:rPr>
          <w:rStyle w:val="VerbatimChar"/>
          <w:bCs/>
          <w:b/>
        </w:rPr>
        <w:t xml:space="preserve">Entries</w:t>
      </w:r>
      <w:r>
        <w:t xml:space="preserve">.</w:t>
      </w:r>
      <w:r>
        <w:t xml:space="preserve"> </w:t>
      </w:r>
      <w:r>
        <w:t xml:space="preserve">In Ikeda et al. (2020), this sequence was counted as two</w:t>
      </w:r>
      <w:r>
        <w:t xml:space="preserve"> </w:t>
      </w:r>
      <w:r>
        <w:rPr>
          <w:rStyle w:val="VerbatimChar"/>
          <w:bCs/>
          <w:b/>
        </w:rPr>
        <w:t xml:space="preserve">Entries</w:t>
      </w:r>
      <w:r>
        <w:t xml:space="preserve">. This determination was based on the clear space between the second glyph (the last character of the first</w:t>
      </w:r>
      <w:r>
        <w:t xml:space="preserve"> </w:t>
      </w:r>
      <w:r>
        <w:rPr>
          <w:rStyle w:val="VerbatimChar"/>
          <w:bCs/>
          <w:b/>
        </w:rPr>
        <w:t xml:space="preserve">Entry</w:t>
      </w:r>
      <w:r>
        <w:t xml:space="preserve">’s</w:t>
      </w:r>
      <w:r>
        <w:t xml:space="preserve"> </w:t>
      </w:r>
      <w:r>
        <w:rPr>
          <w:rStyle w:val="VerbatimChar"/>
          <w:bCs/>
          <w:b/>
        </w:rPr>
        <w:t xml:space="preserve">Headword</w:t>
      </w:r>
      <w:r>
        <w:t xml:space="preserve">) and the third glyph (the</w:t>
      </w:r>
      <w:r>
        <w:t xml:space="preserve"> </w:t>
      </w:r>
      <w:r>
        <w:rPr>
          <w:rStyle w:val="VerbatimChar"/>
          <w:bCs/>
          <w:b/>
        </w:rPr>
        <w:t xml:space="preserve">Headword</w:t>
      </w:r>
      <w:r>
        <w:t xml:space="preserve"> </w:t>
      </w:r>
      <w:r>
        <w:t xml:space="preserve">of the second</w:t>
      </w:r>
      <w:r>
        <w:t xml:space="preserve"> </w:t>
      </w:r>
      <w:r>
        <w:rPr>
          <w:rStyle w:val="VerbatimChar"/>
          <w:bCs/>
          <w:b/>
        </w:rPr>
        <w:t xml:space="preserve">Entry</w:t>
      </w:r>
      <w:r>
        <w:t xml:space="preserve">), and the fact that the first</w:t>
      </w:r>
      <w:r>
        <w:t xml:space="preserve"> </w:t>
      </w:r>
      <w:r>
        <w:rPr>
          <w:rStyle w:val="VerbatimChar"/>
          <w:bCs/>
          <w:b/>
        </w:rPr>
        <w:t xml:space="preserve">Entry</w:t>
      </w:r>
      <w:r>
        <w:t xml:space="preserve"> </w:t>
      </w:r>
      <w:r>
        <w:t xml:space="preserve">(K0301251,</w:t>
      </w:r>
      <w:r>
        <w:t xml:space="preserve"> </w:t>
      </w:r>
      <w:r>
        <w:t xml:space="preserve">‘</w:t>
      </w:r>
      <w:r>
        <w:t xml:space="preserve">⿳或或角／𧥑</w:t>
      </w:r>
      <w:r>
        <w:t xml:space="preserve">’</w:t>
      </w:r>
      <w:r>
        <w:t xml:space="preserve">) is unannotated.</w:t>
      </w:r>
    </w:p>
    <w:p>
      <w:pPr>
        <w:pStyle w:val="BodyText"/>
      </w:pPr>
      <w:r>
        <w:t xml:space="preserve">Please refer to the right side of the</w:t>
      </w:r>
      <w:r>
        <w:t xml:space="preserve"> </w:t>
      </w:r>
      <w:hyperlink r:id="rId306">
        <w:r>
          <w:rPr>
            <w:rStyle w:val="Hyperlink"/>
          </w:rPr>
          <w:t xml:space="preserve">corresponding page</w:t>
        </w:r>
      </w:hyperlink>
      <w:r>
        <w:t xml:space="preserve"> </w:t>
      </w:r>
      <w:r>
        <w:t xml:space="preserve">in the National Diet Library Digital Collections.</w:t>
      </w:r>
    </w:p>
    <w:p>
      <w:pPr>
        <w:pStyle w:val="BodyText"/>
      </w:pPr>
      <w:r>
        <w:t xml:space="preserve">Incidentally, this section in the Kanchi-in manuscript of the</w:t>
      </w:r>
      <w:r>
        <w:t xml:space="preserve"> </w:t>
      </w:r>
      <w:r>
        <w:rPr>
          <w:iCs/>
          <w:i/>
        </w:rPr>
        <w:t xml:space="preserve">Myōgishō</w:t>
      </w:r>
      <w:r>
        <w:t xml:space="preserve"> </w:t>
      </w:r>
      <w:r>
        <w:t xml:space="preserve">bears a strong resemblance to</w:t>
      </w:r>
      <w:r>
        <w:t xml:space="preserve"> </w:t>
      </w:r>
      <w:r>
        <w:rPr>
          <w:rStyle w:val="VerbatimChar"/>
          <w:bCs/>
          <w:b/>
        </w:rPr>
        <w:t xml:space="preserve">Entries</w:t>
      </w:r>
      <w:r>
        <w:t xml:space="preserve"> </w:t>
      </w:r>
      <w:r>
        <w:t xml:space="preserve">found in Volume 4 of the</w:t>
      </w:r>
      <w:r>
        <w:t xml:space="preserve"> </w:t>
      </w:r>
      <w:r>
        <w:rPr>
          <w:iCs/>
          <w:i/>
        </w:rPr>
        <w:t xml:space="preserve">Longkan Shoujian/Shoujing</w:t>
      </w:r>
      <w:r>
        <w:t xml:space="preserve"> </w:t>
      </w:r>
      <w:r>
        <w:t xml:space="preserve">(龍龕手鏡), under the</w:t>
      </w:r>
      <w:r>
        <w:t xml:space="preserve"> </w:t>
      </w:r>
      <w:r>
        <w:t xml:space="preserve">“</w:t>
      </w:r>
      <w:r>
        <w:t xml:space="preserve">角</w:t>
      </w:r>
      <w:r>
        <w:t xml:space="preserve">”</w:t>
      </w:r>
      <w:r>
        <w:t xml:space="preserve"> </w:t>
      </w:r>
      <w:r>
        <w:t xml:space="preserve">(horn) radical.</w:t>
      </w:r>
    </w:p>
    <w:p>
      <w:pPr>
        <w:numPr>
          <w:ilvl w:val="0"/>
          <w:numId w:val="1194"/>
        </w:numPr>
        <w:pStyle w:val="Compact"/>
      </w:pPr>
      <w:r>
        <w:rPr>
          <w:rStyle w:val="VerbatimChar"/>
        </w:rPr>
        <w:t xml:space="preserve">location</w:t>
      </w:r>
      <w:r>
        <w:t xml:space="preserve">: Lb1690102,</w:t>
      </w:r>
      <w:r>
        <w:t xml:space="preserve"> </w:t>
      </w:r>
      <w:r>
        <w:rPr>
          <w:rStyle w:val="VerbatimChar"/>
        </w:rPr>
        <w:t xml:space="preserve">hanzi_entry</w:t>
      </w:r>
      <w:r>
        <w:t xml:space="preserve">: ⿳或旦角／⿳或或角,</w:t>
      </w:r>
      <w:r>
        <w:t xml:space="preserve"> </w:t>
      </w:r>
      <w:r>
        <w:rPr>
          <w:rStyle w:val="VerbatimChar"/>
        </w:rPr>
        <w:t xml:space="preserve">definition</w:t>
      </w:r>
      <w:r>
        <w:t xml:space="preserve">: 二俗。 (Two popular forms.)</w:t>
      </w:r>
    </w:p>
    <w:p>
      <w:pPr>
        <w:numPr>
          <w:ilvl w:val="0"/>
          <w:numId w:val="1194"/>
        </w:numPr>
        <w:pStyle w:val="Compact"/>
      </w:pPr>
      <w:r>
        <w:rPr>
          <w:rStyle w:val="VerbatimChar"/>
        </w:rPr>
        <w:t xml:space="preserve">location</w:t>
      </w:r>
      <w:r>
        <w:t xml:space="preserve">: Lb1690104,</w:t>
      </w:r>
      <w:r>
        <w:t xml:space="preserve"> </w:t>
      </w:r>
      <w:r>
        <w:rPr>
          <w:rStyle w:val="VerbatimChar"/>
        </w:rPr>
        <w:t xml:space="preserve">hanzi_entry</w:t>
      </w:r>
      <w:r>
        <w:t xml:space="preserve">: ⿳咸咸角／𧥑,</w:t>
      </w:r>
      <w:r>
        <w:t xml:space="preserve"> </w:t>
      </w:r>
      <w:r>
        <w:rPr>
          <w:rStyle w:val="VerbatimChar"/>
        </w:rPr>
        <w:t xml:space="preserve">definition</w:t>
      </w:r>
      <w:r>
        <w:t xml:space="preserve">: 二古。 (Two old forms.)</w:t>
      </w:r>
    </w:p>
    <w:p>
      <w:pPr>
        <w:numPr>
          <w:ilvl w:val="0"/>
          <w:numId w:val="1194"/>
        </w:numPr>
        <w:pStyle w:val="Compact"/>
      </w:pPr>
      <w:r>
        <w:rPr>
          <w:rStyle w:val="VerbatimChar"/>
        </w:rPr>
        <w:t xml:space="preserve">location</w:t>
      </w:r>
      <w:r>
        <w:t xml:space="preserve">: Lb1690106,</w:t>
      </w:r>
      <w:r>
        <w:t xml:space="preserve"> </w:t>
      </w:r>
      <w:r>
        <w:rPr>
          <w:rStyle w:val="VerbatimChar"/>
        </w:rPr>
        <w:t xml:space="preserve">hanzi_entry</w:t>
      </w:r>
      <w:r>
        <w:t xml:space="preserve">: 觱,</w:t>
      </w:r>
      <w:r>
        <w:t xml:space="preserve"> </w:t>
      </w:r>
      <w:r>
        <w:rPr>
          <w:rStyle w:val="VerbatimChar"/>
        </w:rPr>
        <w:t xml:space="preserve">definition</w:t>
      </w:r>
      <w:r>
        <w:t xml:space="preserve">: 今。音必。羗人吹角以驚与也。今作篳ー篥樂噐也。下又音佛。ー理也。五。 (Current form. Pronunciation</w:t>
      </w:r>
      <w:r>
        <w:t xml:space="preserve"> </w:t>
      </w:r>
      <w:r>
        <w:rPr>
          <w:iCs/>
          <w:i/>
        </w:rPr>
        <w:t xml:space="preserve">bì</w:t>
      </w:r>
      <w:r>
        <w:t xml:space="preserve">. Horn blown by the Qiang people to startle game. Now written as 篳ー篥 (</w:t>
      </w:r>
      <w:r>
        <w:rPr>
          <w:iCs/>
          <w:i/>
        </w:rPr>
        <w:t xml:space="preserve">bìlì</w:t>
      </w:r>
      <w:r>
        <w:t xml:space="preserve">), a musical instrument. The second character also has the pronunciation</w:t>
      </w:r>
      <w:r>
        <w:t xml:space="preserve"> </w:t>
      </w:r>
      <w:r>
        <w:rPr>
          <w:iCs/>
          <w:i/>
        </w:rPr>
        <w:t xml:space="preserve">fó</w:t>
      </w:r>
      <w:r>
        <w:t xml:space="preserve"> </w:t>
      </w:r>
      <w:r>
        <w:t xml:space="preserve">(佛). The</w:t>
      </w:r>
      <w:r>
        <w:t xml:space="preserve"> </w:t>
      </w:r>
      <w:r>
        <w:t xml:space="preserve">‘</w:t>
      </w:r>
      <w:r>
        <w:t xml:space="preserve">ー</w:t>
      </w:r>
      <w:r>
        <w:t xml:space="preserve">’</w:t>
      </w:r>
      <w:r>
        <w:t xml:space="preserve"> </w:t>
      </w:r>
      <w:r>
        <w:t xml:space="preserve">indicates a principle/type. Five (notes/entries).)</w:t>
      </w:r>
    </w:p>
    <w:p>
      <w:pPr>
        <w:pStyle w:val="FirstParagraph"/>
      </w:pPr>
      <w:r>
        <w:t xml:space="preserve">The</w:t>
      </w:r>
      <w:r>
        <w:t xml:space="preserve"> </w:t>
      </w:r>
      <w:r>
        <w:rPr>
          <w:rStyle w:val="VerbatimChar"/>
          <w:bCs/>
          <w:b/>
        </w:rPr>
        <w:t xml:space="preserve">Headword</w:t>
      </w:r>
      <w:r>
        <w:t xml:space="preserve"> </w:t>
      </w:r>
      <w:r>
        <w:t xml:space="preserve">for entry</w:t>
      </w:r>
      <w:r>
        <w:t xml:space="preserve"> </w:t>
      </w:r>
      <w:r>
        <w:rPr>
          <w:rStyle w:val="VerbatimChar"/>
        </w:rPr>
        <w:t xml:space="preserve">Lb1690104</w:t>
      </w:r>
      <w:r>
        <w:t xml:space="preserve"> </w:t>
      </w:r>
      <w:r>
        <w:t xml:space="preserve">in the</w:t>
      </w:r>
      <w:r>
        <w:t xml:space="preserve"> </w:t>
      </w:r>
      <w:r>
        <w:rPr>
          <w:iCs/>
          <w:i/>
        </w:rPr>
        <w:t xml:space="preserve">Longkan Shoujian/Shoujing</w:t>
      </w:r>
      <w:r>
        <w:t xml:space="preserve"> </w:t>
      </w:r>
      <w:r>
        <w:t xml:space="preserve">is</w:t>
      </w:r>
      <w:r>
        <w:t xml:space="preserve"> </w:t>
      </w:r>
      <w:r>
        <w:drawing>
          <wp:inline>
            <wp:extent cx="476250" cy="476250"/>
            <wp:effectExtent b="0" l="0" r="0" t="0"/>
            <wp:docPr descr="⿳咸咸角" title="" id="308" name="Picture"/>
            <a:graphic>
              <a:graphicData uri="http://schemas.openxmlformats.org/drawingml/2006/picture">
                <pic:pic>
                  <pic:nvPicPr>
                    <pic:cNvPr descr="https://glyphwiki.org/glyph/zihai-144813.50px.png" id="309" name="Picture"/>
                    <pic:cNvPicPr>
                      <a:picLocks noChangeArrowheads="1" noChangeAspect="1"/>
                    </pic:cNvPicPr>
                  </pic:nvPicPr>
                  <pic:blipFill>
                    <a:blip r:embed="rId307"/>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476250" cy="476250"/>
            <wp:effectExtent b="0" l="0" r="0" t="0"/>
            <wp:docPr descr="𧥑" title="" id="310" name="Picture"/>
            <a:graphic>
              <a:graphicData uri="http://schemas.openxmlformats.org/drawingml/2006/picture">
                <pic:pic>
                  <pic:nvPicPr>
                    <pic:cNvPr descr="https://glyphwiki.org/glyph/hdic_hkrm-03012512.50px.png" id="311" name="Picture"/>
                    <pic:cNvPicPr>
                      <a:picLocks noChangeArrowheads="1" noChangeAspect="1"/>
                    </pic:cNvPicPr>
                  </pic:nvPicPr>
                  <pic:blipFill>
                    <a:blip r:embed="rId294"/>
                    <a:stretch>
                      <a:fillRect/>
                    </a:stretch>
                  </pic:blipFill>
                  <pic:spPr bwMode="auto">
                    <a:xfrm>
                      <a:off x="0" y="0"/>
                      <a:ext cx="476250" cy="476250"/>
                    </a:xfrm>
                    <a:prstGeom prst="rect">
                      <a:avLst/>
                    </a:prstGeom>
                    <a:noFill/>
                    <a:ln w="9525">
                      <a:noFill/>
                      <a:headEnd/>
                      <a:tailEnd/>
                    </a:ln>
                  </pic:spPr>
                </pic:pic>
              </a:graphicData>
            </a:graphic>
          </wp:inline>
        </w:drawing>
      </w:r>
      <w:r>
        <w:t xml:space="preserve">.</w:t>
      </w:r>
    </w:p>
    <w:p>
      <w:pPr>
        <w:pStyle w:val="BodyText"/>
      </w:pPr>
      <w:r>
        <w:t xml:space="preserve">For the</w:t>
      </w:r>
      <w:r>
        <w:t xml:space="preserve"> </w:t>
      </w:r>
      <w:r>
        <w:rPr>
          <w:bCs/>
          <w:b/>
        </w:rPr>
        <w:t xml:space="preserve">“</w:t>
      </w:r>
      <w:r>
        <w:rPr>
          <w:bCs/>
          <w:b/>
        </w:rPr>
        <w:t xml:space="preserve">髟</w:t>
      </w:r>
      <w:r>
        <w:rPr>
          <w:bCs/>
          <w:b/>
        </w:rPr>
        <w:t xml:space="preserve">”</w:t>
      </w:r>
      <w:r>
        <w:rPr>
          <w:bCs/>
          <w:b/>
        </w:rPr>
        <w:t xml:space="preserve"> </w:t>
      </w:r>
      <w:r>
        <w:rPr>
          <w:bCs/>
          <w:b/>
        </w:rPr>
        <w:t xml:space="preserve">(Hair) radical section</w:t>
      </w:r>
      <w:r>
        <w:t xml:space="preserve"> </w:t>
      </w:r>
      <w:r>
        <w:t xml:space="preserve">(髟部,</w:t>
      </w:r>
      <w:r>
        <w:t xml:space="preserve"> </w:t>
      </w:r>
      <w:r>
        <w:rPr>
          <w:iCs/>
          <w:i/>
        </w:rPr>
        <w:t xml:space="preserve">Hyōbu</w:t>
      </w:r>
      <w:r>
        <w:t xml:space="preserve">), the identification of</w:t>
      </w:r>
      <w:r>
        <w:t xml:space="preserve"> </w:t>
      </w:r>
      <w:r>
        <w:rPr>
          <w:rStyle w:val="VerbatimChar"/>
          <w:bCs/>
          <w:b/>
        </w:rPr>
        <w:t xml:space="preserve">Entries</w:t>
      </w:r>
      <w:r>
        <w:t xml:space="preserve"> </w:t>
      </w:r>
      <w:r>
        <w:t xml:space="preserve">is problematic in the following instance:</w:t>
      </w:r>
    </w:p>
    <w:p>
      <w:pPr>
        <w:numPr>
          <w:ilvl w:val="0"/>
          <w:numId w:val="1195"/>
        </w:numPr>
        <w:pStyle w:val="Compact"/>
      </w:pPr>
      <w:r>
        <w:rPr>
          <w:rStyle w:val="VerbatimChar"/>
        </w:rPr>
        <w:t xml:space="preserve">kazama_location</w:t>
      </w:r>
      <w:r>
        <w:t xml:space="preserve">: K03036311</w:t>
      </w:r>
    </w:p>
    <w:p>
      <w:pPr>
        <w:numPr>
          <w:ilvl w:val="0"/>
          <w:numId w:val="1195"/>
        </w:numPr>
        <w:pStyle w:val="Compact"/>
      </w:pPr>
      <w:r>
        <w:rPr>
          <w:rStyle w:val="VerbatimChar"/>
        </w:rPr>
        <w:t xml:space="preserve">hanzi_entry</w:t>
      </w:r>
      <w:r>
        <w:t xml:space="preserve">: ⿰镸及／■／⿰镸用／⿰镸少</w:t>
      </w:r>
    </w:p>
    <w:p>
      <w:pPr>
        <w:numPr>
          <w:ilvl w:val="0"/>
          <w:numId w:val="1195"/>
        </w:numPr>
        <w:pStyle w:val="Compact"/>
      </w:pP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未詳 (Unknown) 「⿰镸⿱右王⿰镸宀圭〈私入〉」</w:t>
      </w:r>
    </w:p>
    <w:p>
      <w:pPr>
        <w:numPr>
          <w:ilvl w:val="0"/>
          <w:numId w:val="1195"/>
        </w:numPr>
        <w:pStyle w:val="Compact"/>
      </w:pPr>
      <w:r>
        <w:rPr>
          <w:rStyle w:val="VerbatimChar"/>
        </w:rPr>
        <w:t xml:space="preserve">remarks</w:t>
      </w:r>
      <w:r>
        <w:t xml:space="preserve"> </w:t>
      </w:r>
      <w:r>
        <w:t xml:space="preserve">(</w:t>
      </w:r>
      <w:r>
        <w:rPr>
          <w:rStyle w:val="VerbatimChar"/>
          <w:bCs/>
          <w:b/>
        </w:rPr>
        <w:t xml:space="preserve">Compiler's Remark</w:t>
      </w:r>
      <w:r>
        <w:t xml:space="preserve">): Ikeda’s note: The string</w:t>
      </w:r>
      <w:r>
        <w:t xml:space="preserve"> </w:t>
      </w:r>
      <w:r>
        <w:t xml:space="preserve">“</w:t>
      </w:r>
      <w:r>
        <w:t xml:space="preserve">⿰镸⿱右王⿰镸宀圭〈私入〉</w:t>
      </w:r>
      <w:r>
        <w:t xml:space="preserve">”</w:t>
      </w:r>
      <w:r>
        <w:t xml:space="preserve"> </w:t>
      </w:r>
      <w:r>
        <w:t xml:space="preserve">is written in red ink. It is considered an</w:t>
      </w:r>
      <w:r>
        <w:t xml:space="preserve"> </w:t>
      </w:r>
      <w:r>
        <w:rPr>
          <w:rStyle w:val="VerbatimChar"/>
          <w:bCs/>
          <w:b/>
        </w:rPr>
        <w:t xml:space="preserve">Embedded Item</w:t>
      </w:r>
      <w:r>
        <w:t xml:space="preserve"> </w:t>
      </w:r>
      <w:r>
        <w:t xml:space="preserve">(埋字,</w:t>
      </w:r>
      <w:r>
        <w:t xml:space="preserve"> </w:t>
      </w:r>
      <w:r>
        <w:rPr>
          <w:iCs/>
          <w:i/>
        </w:rPr>
        <w:t xml:space="preserve">umoji</w:t>
      </w:r>
      <w:r>
        <w:t xml:space="preserve">). It is not counted as a separate</w:t>
      </w:r>
      <w:r>
        <w:t xml:space="preserve"> </w:t>
      </w:r>
      <w:r>
        <w:rPr>
          <w:rStyle w:val="VerbatimChar"/>
          <w:bCs/>
          <w:b/>
        </w:rPr>
        <w:t xml:space="preserve">Entry</w:t>
      </w:r>
      <w:r>
        <w:t xml:space="preserve"> </w:t>
      </w:r>
      <w:r>
        <w:t xml:space="preserve">in this context.</w:t>
      </w:r>
    </w:p>
    <w:p>
      <w:pPr>
        <w:pStyle w:val="FirstParagraph"/>
      </w:pPr>
      <w:r>
        <w:t xml:space="preserve">The total number of</w:t>
      </w:r>
      <w:r>
        <w:t xml:space="preserve"> </w:t>
      </w:r>
      <w:r>
        <w:rPr>
          <w:rStyle w:val="VerbatimChar"/>
          <w:bCs/>
          <w:b/>
        </w:rPr>
        <w:t xml:space="preserve">Entries</w:t>
      </w:r>
      <w:r>
        <w:t xml:space="preserve"> </w:t>
      </w:r>
      <w:r>
        <w:t xml:space="preserve">changes depending on whether the string</w:t>
      </w:r>
      <w:r>
        <w:t xml:space="preserve"> </w:t>
      </w:r>
      <w:r>
        <w:t xml:space="preserve">“</w:t>
      </w:r>
      <w:r>
        <w:t xml:space="preserve">⿰镸⿱右王⿰镸宀圭〈私入〉</w:t>
      </w:r>
      <w:r>
        <w:t xml:space="preserve">”</w:t>
      </w:r>
      <w:r>
        <w:t xml:space="preserve"> </w:t>
      </w:r>
      <w:r>
        <w:t xml:space="preserve">(found within the</w:t>
      </w:r>
      <w:r>
        <w:t xml:space="preserve"> </w:t>
      </w:r>
      <w:r>
        <w:rPr>
          <w:rStyle w:val="VerbatimChar"/>
          <w:bCs/>
          <w:b/>
        </w:rPr>
        <w:t xml:space="preserve">Original Glosses</w:t>
      </w:r>
      <w:r>
        <w:t xml:space="preserve"> </w:t>
      </w:r>
      <w:r>
        <w:t xml:space="preserve">of the above</w:t>
      </w:r>
      <w:r>
        <w:t xml:space="preserve"> </w:t>
      </w:r>
      <w:r>
        <w:rPr>
          <w:rStyle w:val="VerbatimChar"/>
          <w:bCs/>
          <w:b/>
        </w:rPr>
        <w:t xml:space="preserve">Entry</w:t>
      </w:r>
      <w:r>
        <w:t xml:space="preserve">) is counted as a separate</w:t>
      </w:r>
      <w:r>
        <w:t xml:space="preserve"> </w:t>
      </w:r>
      <w:r>
        <w:rPr>
          <w:rStyle w:val="VerbatimChar"/>
          <w:bCs/>
          <w:b/>
        </w:rPr>
        <w:t xml:space="preserve">Entry</w:t>
      </w:r>
      <w:r>
        <w:t xml:space="preserve"> </w:t>
      </w:r>
      <w:r>
        <w:t xml:space="preserve">itself.</w:t>
      </w:r>
      <w:r>
        <w:t xml:space="preserve"> </w:t>
      </w:r>
      <w:r>
        <w:t xml:space="preserve">In Ikeda et al. (2020), this string was not included in the</w:t>
      </w:r>
      <w:r>
        <w:t xml:space="preserve"> </w:t>
      </w:r>
      <w:r>
        <w:rPr>
          <w:rStyle w:val="VerbatimChar"/>
          <w:bCs/>
          <w:b/>
        </w:rPr>
        <w:t xml:space="preserve">Entry</w:t>
      </w:r>
      <w:r>
        <w:t xml:space="preserve"> </w:t>
      </w:r>
      <w:r>
        <w:t xml:space="preserve">count for the</w:t>
      </w:r>
      <w:r>
        <w:t xml:space="preserve"> </w:t>
      </w:r>
      <w:r>
        <w:t xml:space="preserve">“</w:t>
      </w:r>
      <w:r>
        <w:t xml:space="preserve">髟</w:t>
      </w:r>
      <w:r>
        <w:t xml:space="preserve">”</w:t>
      </w:r>
      <w:r>
        <w:t xml:space="preserve"> </w:t>
      </w:r>
      <w:r>
        <w:t xml:space="preserve">(Hair) radical section.</w:t>
      </w:r>
    </w:p>
    <w:p>
      <w:pPr>
        <w:pStyle w:val="BodyText"/>
      </w:pPr>
      <w:r>
        <w:t xml:space="preserve">Please refer to the right side of the</w:t>
      </w:r>
      <w:r>
        <w:t xml:space="preserve"> </w:t>
      </w:r>
      <w:hyperlink r:id="rId312">
        <w:r>
          <w:rPr>
            <w:rStyle w:val="Hyperlink"/>
          </w:rPr>
          <w:t xml:space="preserve">corresponding page</w:t>
        </w:r>
      </w:hyperlink>
      <w:r>
        <w:t xml:space="preserve"> </w:t>
      </w:r>
      <w:r>
        <w:t xml:space="preserve">in the National Diet Library Digital Collections.</w:t>
      </w:r>
    </w:p>
    <w:p>
      <w:pPr>
        <w:pStyle w:val="BodyText"/>
      </w:pPr>
      <w:r>
        <w:t xml:space="preserve">For the</w:t>
      </w:r>
      <w:r>
        <w:t xml:space="preserve"> </w:t>
      </w:r>
      <w:r>
        <w:rPr>
          <w:bCs/>
          <w:b/>
        </w:rPr>
        <w:t xml:space="preserve">“</w:t>
      </w:r>
      <w:r>
        <w:rPr>
          <w:bCs/>
          <w:b/>
        </w:rPr>
        <w:t xml:space="preserve">手</w:t>
      </w:r>
      <w:r>
        <w:rPr>
          <w:bCs/>
          <w:b/>
        </w:rPr>
        <w:t xml:space="preserve">”</w:t>
      </w:r>
      <w:r>
        <w:rPr>
          <w:bCs/>
          <w:b/>
        </w:rPr>
        <w:t xml:space="preserve"> </w:t>
      </w:r>
      <w:r>
        <w:rPr>
          <w:bCs/>
          <w:b/>
        </w:rPr>
        <w:t xml:space="preserve">(Hand) radical section</w:t>
      </w:r>
      <w:r>
        <w:t xml:space="preserve"> </w:t>
      </w:r>
      <w:r>
        <w:t xml:space="preserve">(手部,</w:t>
      </w:r>
      <w:r>
        <w:t xml:space="preserve"> </w:t>
      </w:r>
      <w:r>
        <w:rPr>
          <w:iCs/>
          <w:i/>
        </w:rPr>
        <w:t xml:space="preserve">Shu-bu</w:t>
      </w:r>
      <w:r>
        <w:t xml:space="preserve">), the identification of</w:t>
      </w:r>
      <w:r>
        <w:t xml:space="preserve"> </w:t>
      </w:r>
      <w:r>
        <w:rPr>
          <w:rStyle w:val="VerbatimChar"/>
          <w:bCs/>
          <w:b/>
        </w:rPr>
        <w:t xml:space="preserve">Entries</w:t>
      </w:r>
      <w:r>
        <w:t xml:space="preserve"> </w:t>
      </w:r>
      <w:r>
        <w:t xml:space="preserve">is problematic in the following instance:</w:t>
      </w:r>
    </w:p>
    <w:p>
      <w:pPr>
        <w:numPr>
          <w:ilvl w:val="0"/>
          <w:numId w:val="1196"/>
        </w:numPr>
        <w:pStyle w:val="Compact"/>
      </w:pPr>
      <w:r>
        <w:rPr>
          <w:rStyle w:val="VerbatimChar"/>
        </w:rPr>
        <w:t xml:space="preserve">kazama_location</w:t>
      </w:r>
      <w:r>
        <w:t xml:space="preserve">: K03061721,</w:t>
      </w:r>
      <w:r>
        <w:t xml:space="preserve"> </w:t>
      </w:r>
      <w:r>
        <w:rPr>
          <w:rStyle w:val="VerbatimChar"/>
        </w:rPr>
        <w:t xml:space="preserve">hanzi_entry</w:t>
      </w:r>
      <w:r>
        <w:t xml:space="preserve">: ⿰扌水,</w:t>
      </w:r>
      <w:r>
        <w:t xml:space="preserve"> </w:t>
      </w:r>
      <w:r>
        <w:rPr>
          <w:rStyle w:val="VerbatimChar"/>
        </w:rPr>
        <w:t xml:space="preserve">definition</w:t>
      </w:r>
      <w:r>
        <w:t xml:space="preserve">: スクフ</w:t>
      </w:r>
    </w:p>
    <w:p>
      <w:pPr>
        <w:numPr>
          <w:ilvl w:val="0"/>
          <w:numId w:val="1196"/>
        </w:numPr>
        <w:pStyle w:val="Compact"/>
      </w:pPr>
      <w:r>
        <w:rPr>
          <w:rStyle w:val="VerbatimChar"/>
        </w:rPr>
        <w:t xml:space="preserve">kazama_location</w:t>
      </w:r>
      <w:r>
        <w:t xml:space="preserve">: K03061722,</w:t>
      </w:r>
      <w:r>
        <w:t xml:space="preserve"> </w:t>
      </w:r>
      <w:r>
        <w:rPr>
          <w:rStyle w:val="VerbatimChar"/>
        </w:rPr>
        <w:t xml:space="preserve">hanzi_entry</w:t>
      </w:r>
      <w:r>
        <w:t xml:space="preserve">: 捏,</w:t>
      </w:r>
      <w:r>
        <w:t xml:space="preserve"> </w:t>
      </w:r>
      <w:r>
        <w:rPr>
          <w:rStyle w:val="VerbatimChar"/>
        </w:rPr>
        <w:t xml:space="preserve">definition</w:t>
      </w:r>
      <w:r>
        <w:t xml:space="preserve">: 二奴結反　下又音張　舉也　刾也　又勅貞反</w:t>
      </w:r>
    </w:p>
    <w:p>
      <w:pPr>
        <w:pStyle w:val="FirstParagraph"/>
      </w:pPr>
      <w:r>
        <w:t xml:space="preserve">Because the</w:t>
      </w:r>
      <w:r>
        <w:t xml:space="preserve"> </w:t>
      </w:r>
      <w:r>
        <w:rPr>
          <w:rStyle w:val="VerbatimChar"/>
          <w:bCs/>
          <w:b/>
        </w:rPr>
        <w:t xml:space="preserve">Original Glosses</w:t>
      </w:r>
      <w:r>
        <w:t xml:space="preserve"> </w:t>
      </w:r>
      <w:r>
        <w:t xml:space="preserve">for</w:t>
      </w:r>
      <w:r>
        <w:t xml:space="preserve"> </w:t>
      </w:r>
      <w:r>
        <w:rPr>
          <w:rStyle w:val="VerbatimChar"/>
        </w:rPr>
        <w:t xml:space="preserve">K03061722</w:t>
      </w:r>
      <w:r>
        <w:t xml:space="preserve"> </w:t>
      </w:r>
      <w:r>
        <w:t xml:space="preserve">‘</w:t>
      </w:r>
      <w:r>
        <w:t xml:space="preserve">捏</w:t>
      </w:r>
      <w:r>
        <w:t xml:space="preserve">’</w:t>
      </w:r>
      <w:r>
        <w:t xml:space="preserve"> </w:t>
      </w:r>
      <w:r>
        <w:t xml:space="preserve">begin with the character</w:t>
      </w:r>
      <w:r>
        <w:t xml:space="preserve"> </w:t>
      </w:r>
      <w:r>
        <w:t xml:space="preserve">‘</w:t>
      </w:r>
      <w:r>
        <w:t xml:space="preserve">二</w:t>
      </w:r>
      <w:r>
        <w:t xml:space="preserve">’</w:t>
      </w:r>
      <w:r>
        <w:t xml:space="preserve"> </w:t>
      </w:r>
      <w:r>
        <w:t xml:space="preserve">(two), the</w:t>
      </w:r>
      <w:r>
        <w:t xml:space="preserve"> </w:t>
      </w:r>
      <w:r>
        <w:rPr>
          <w:rStyle w:val="VerbatimChar"/>
          <w:bCs/>
          <w:b/>
        </w:rPr>
        <w:t xml:space="preserve">Entries</w:t>
      </w:r>
      <w:r>
        <w:t xml:space="preserve"> </w:t>
      </w:r>
      <w:r>
        <w:t xml:space="preserve">for</w:t>
      </w:r>
      <w:r>
        <w:t xml:space="preserve"> </w:t>
      </w:r>
      <w:r>
        <w:t xml:space="preserve">‘</w:t>
      </w:r>
      <w:r>
        <w:t xml:space="preserve">⿰扌水</w:t>
      </w:r>
      <w:r>
        <w:t xml:space="preserve">’</w:t>
      </w:r>
      <w:r>
        <w:t xml:space="preserve"> </w:t>
      </w:r>
      <w:r>
        <w:t xml:space="preserve">and</w:t>
      </w:r>
      <w:r>
        <w:t xml:space="preserve"> </w:t>
      </w:r>
      <w:r>
        <w:t xml:space="preserve">‘</w:t>
      </w:r>
      <w:r>
        <w:t xml:space="preserve">捏</w:t>
      </w:r>
      <w:r>
        <w:t xml:space="preserve">’</w:t>
      </w:r>
      <w:r>
        <w:t xml:space="preserve"> </w:t>
      </w:r>
      <w:r>
        <w:t xml:space="preserve">were initially treated as a single unit in the database. However, it was later decided to separate them. Nonetheless, questionable points remain regarding the content of the text. This instance can be seen on page 74 of the facsimile edition of the</w:t>
      </w:r>
      <w:r>
        <w:t xml:space="preserve"> </w:t>
      </w:r>
      <w:r>
        <w:rPr>
          <w:iCs/>
          <w:i/>
        </w:rPr>
        <w:t xml:space="preserve">Hōbodai-in manuscript</w:t>
      </w:r>
      <w:r>
        <w:t xml:space="preserve">.</w:t>
      </w:r>
    </w:p>
    <w:p>
      <w:pPr>
        <w:pStyle w:val="BodyText"/>
      </w:pPr>
      <w:r>
        <w:t xml:space="preserve">For the Kanchi-in manuscript, please refer to the left side of the</w:t>
      </w:r>
      <w:r>
        <w:t xml:space="preserve"> </w:t>
      </w:r>
      <w:hyperlink r:id="rId313">
        <w:r>
          <w:rPr>
            <w:rStyle w:val="Hyperlink"/>
          </w:rPr>
          <w:t xml:space="preserve">corresponding page</w:t>
        </w:r>
      </w:hyperlink>
      <w:r>
        <w:t xml:space="preserve"> </w:t>
      </w:r>
      <w:r>
        <w:t xml:space="preserve">in the National Diet Library Digital Collections.</w:t>
      </w:r>
    </w:p>
    <w:p>
      <w:pPr>
        <w:pStyle w:val="BodyText"/>
      </w:pPr>
      <w:r>
        <w:t xml:space="preserve">The following are two</w:t>
      </w:r>
      <w:r>
        <w:t xml:space="preserve"> </w:t>
      </w:r>
      <w:r>
        <w:rPr>
          <w:rStyle w:val="VerbatimChar"/>
          <w:bCs/>
          <w:b/>
        </w:rPr>
        <w:t xml:space="preserve">Entries</w:t>
      </w:r>
      <w:r>
        <w:t xml:space="preserve"> </w:t>
      </w:r>
      <w:r>
        <w:t xml:space="preserve">where</w:t>
      </w:r>
      <w:r>
        <w:t xml:space="preserve"> </w:t>
      </w:r>
      <w:r>
        <w:rPr>
          <w:rStyle w:val="VerbatimChar"/>
          <w:bCs/>
          <w:b/>
        </w:rPr>
        <w:t xml:space="preserve">Omitted Characters</w:t>
      </w:r>
      <w:r>
        <w:t xml:space="preserve"> </w:t>
      </w:r>
      <w:r>
        <w:t xml:space="preserve">in the</w:t>
      </w:r>
      <w:r>
        <w:t xml:space="preserve"> </w:t>
      </w:r>
      <w:r>
        <w:rPr>
          <w:rStyle w:val="VerbatimChar"/>
          <w:bCs/>
          <w:b/>
        </w:rPr>
        <w:t xml:space="preserve">Headword</w:t>
      </w:r>
      <w:r>
        <w:t xml:space="preserve"> </w:t>
      </w:r>
      <w:r>
        <w:t xml:space="preserve">were supplied:</w:t>
      </w:r>
    </w:p>
    <w:p>
      <w:pPr>
        <w:numPr>
          <w:ilvl w:val="0"/>
          <w:numId w:val="1197"/>
        </w:numPr>
        <w:pStyle w:val="Compact"/>
      </w:pPr>
      <w:r>
        <w:rPr>
          <w:rStyle w:val="VerbatimChar"/>
        </w:rPr>
        <w:t xml:space="preserve">kazama_location</w:t>
      </w:r>
      <w:r>
        <w:t xml:space="preserve">: K03039530,</w:t>
      </w:r>
      <w:r>
        <w:t xml:space="preserve"> </w:t>
      </w:r>
      <w:r>
        <w:rPr>
          <w:rStyle w:val="VerbatimChar"/>
        </w:rPr>
        <w:t xml:space="preserve">hanzi_entry</w:t>
      </w:r>
      <w:r>
        <w:t xml:space="preserve">: 将／［指］</w:t>
      </w:r>
    </w:p>
    <w:p>
      <w:pPr>
        <w:numPr>
          <w:ilvl w:val="0"/>
          <w:numId w:val="1197"/>
        </w:numPr>
        <w:pStyle w:val="Compact"/>
      </w:pPr>
      <w:r>
        <w:rPr>
          <w:rStyle w:val="VerbatimChar"/>
        </w:rPr>
        <w:t xml:space="preserve">kazama_location</w:t>
      </w:r>
      <w:r>
        <w:t xml:space="preserve">: K03047140,</w:t>
      </w:r>
      <w:r>
        <w:t xml:space="preserve"> </w:t>
      </w:r>
      <w:r>
        <w:rPr>
          <w:rStyle w:val="VerbatimChar"/>
        </w:rPr>
        <w:t xml:space="preserve">hanzi_entry</w:t>
      </w:r>
      <w:r>
        <w:t xml:space="preserve">: 磬／［控］</w:t>
      </w:r>
    </w:p>
    <w:p>
      <w:pPr>
        <w:pStyle w:val="FirstParagraph"/>
      </w:pPr>
      <w:r>
        <w:t xml:space="preserve">The figures for the</w:t>
      </w:r>
      <w:r>
        <w:t xml:space="preserve"> </w:t>
      </w:r>
      <w:r>
        <w:t xml:space="preserve">“</w:t>
      </w:r>
      <w:r>
        <w:t xml:space="preserve">手</w:t>
      </w:r>
      <w:r>
        <w:t xml:space="preserve">”</w:t>
      </w:r>
      <w:r>
        <w:t xml:space="preserve"> </w:t>
      </w:r>
      <w:r>
        <w:t xml:space="preserve">(Hand) radical section in Ikeda et al. (2020) are corrected as follows. The corrected figures are shown in</w:t>
      </w:r>
      <w:r>
        <w:t xml:space="preserve"> </w:t>
      </w:r>
      <w:r>
        <w:rPr>
          <w:bCs/>
          <w:b/>
        </w:rPr>
        <w:t xml:space="preserve">bold</w:t>
      </w:r>
      <w:r>
        <w:t xml:space="preserve">. For the</w:t>
      </w:r>
      <w:r>
        <w:t xml:space="preserve"> </w:t>
      </w:r>
      <w:r>
        <w:t xml:space="preserve">“</w:t>
      </w:r>
      <w:r>
        <w:t xml:space="preserve">6 or more characters</w:t>
      </w:r>
      <w:r>
        <w:t xml:space="preserve">”</w:t>
      </w:r>
      <w:r>
        <w:t xml:space="preserve"> </w:t>
      </w:r>
      <w:r>
        <w:t xml:space="preserve">category, there is one</w:t>
      </w:r>
      <w:r>
        <w:t xml:space="preserve"> </w:t>
      </w:r>
      <w:r>
        <w:rPr>
          <w:rStyle w:val="VerbatimChar"/>
          <w:bCs/>
          <w:b/>
        </w:rPr>
        <w:t xml:space="preserve">Entry</w:t>
      </w:r>
      <w:r>
        <w:t xml:space="preserve"> </w:t>
      </w:r>
      <w:r>
        <w:t xml:space="preserve">which consists of 8 characters:</w:t>
      </w:r>
    </w:p>
    <w:tbl>
      <w:tblPr>
        <w:tblStyle w:val="Table"/>
        <w:tblW w:type="pct" w:w="5000"/>
        <w:tblLook w:firstRow="1" w:lastRow="0" w:firstColumn="0" w:lastColumn="0" w:noHBand="0" w:noVBand="0" w:val="0020"/>
        <w:jc w:val="start"/>
      </w:tblPr>
      <w:tblGrid>
        <w:gridCol w:w="408"/>
        <w:gridCol w:w="979"/>
        <w:gridCol w:w="653"/>
        <w:gridCol w:w="734"/>
        <w:gridCol w:w="653"/>
        <w:gridCol w:w="653"/>
        <w:gridCol w:w="653"/>
        <w:gridCol w:w="734"/>
        <w:gridCol w:w="1306"/>
        <w:gridCol w:w="1143"/>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028</w:t>
            </w:r>
          </w:p>
        </w:tc>
        <w:tc>
          <w:tcPr/>
          <w:p>
            <w:pPr>
              <w:pStyle w:val="Compact"/>
              <w:jc w:val="left"/>
            </w:pPr>
            <w:r>
              <w:t xml:space="preserve">手 (Hand)</w:t>
            </w:r>
          </w:p>
        </w:tc>
        <w:tc>
          <w:tcPr/>
          <w:p>
            <w:pPr>
              <w:pStyle w:val="Compact"/>
              <w:jc w:val="right"/>
            </w:pPr>
            <w:r>
              <w:t xml:space="preserve">886</w:t>
            </w:r>
          </w:p>
        </w:tc>
        <w:tc>
          <w:tcPr/>
          <w:p>
            <w:pPr>
              <w:pStyle w:val="Compact"/>
              <w:jc w:val="right"/>
            </w:pPr>
            <w:r>
              <w:rPr>
                <w:bCs/>
                <w:b/>
              </w:rPr>
              <w:t xml:space="preserve">220</w:t>
            </w:r>
          </w:p>
        </w:tc>
        <w:tc>
          <w:tcPr/>
          <w:p>
            <w:pPr>
              <w:pStyle w:val="Compact"/>
              <w:jc w:val="right"/>
            </w:pPr>
            <w:r>
              <w:t xml:space="preserve">37</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rPr>
                <w:bCs/>
                <w:b/>
              </w:rPr>
              <w:t xml:space="preserve">1,149</w:t>
            </w:r>
          </w:p>
        </w:tc>
        <w:tc>
          <w:tcPr/>
          <w:p>
            <w:pPr>
              <w:pStyle w:val="Compact"/>
              <w:jc w:val="right"/>
            </w:pPr>
            <w:r>
              <w:rPr>
                <w:bCs/>
                <w:b/>
              </w:rPr>
              <w:t xml:space="preserve">1,467</w:t>
            </w:r>
          </w:p>
        </w:tc>
      </w:tr>
    </w:tbl>
    <w:p>
      <w:pPr>
        <w:pStyle w:val="BodyText"/>
      </w:pPr>
      <w:r>
        <w:t xml:space="preserve">For the</w:t>
      </w:r>
      <w:r>
        <w:t xml:space="preserve"> </w:t>
      </w:r>
      <w:r>
        <w:rPr>
          <w:bCs/>
          <w:b/>
        </w:rPr>
        <w:t xml:space="preserve">“</w:t>
      </w:r>
      <w:r>
        <w:rPr>
          <w:bCs/>
          <w:b/>
        </w:rPr>
        <w:t xml:space="preserve">木</w:t>
      </w:r>
      <w:r>
        <w:rPr>
          <w:bCs/>
          <w:b/>
        </w:rPr>
        <w:t xml:space="preserve">”</w:t>
      </w:r>
      <w:r>
        <w:rPr>
          <w:bCs/>
          <w:b/>
        </w:rPr>
        <w:t xml:space="preserve"> </w:t>
      </w:r>
      <w:r>
        <w:rPr>
          <w:bCs/>
          <w:b/>
        </w:rPr>
        <w:t xml:space="preserve">(Tree) radical section</w:t>
      </w:r>
      <w:r>
        <w:t xml:space="preserve"> </w:t>
      </w:r>
      <w:r>
        <w:t xml:space="preserve">(木部,</w:t>
      </w:r>
      <w:r>
        <w:t xml:space="preserve"> </w:t>
      </w:r>
      <w:r>
        <w:rPr>
          <w:iCs/>
          <w:i/>
        </w:rPr>
        <w:t xml:space="preserve">Mokubu</w:t>
      </w:r>
      <w:r>
        <w:t xml:space="preserve">), the identification of</w:t>
      </w:r>
      <w:r>
        <w:t xml:space="preserve"> </w:t>
      </w:r>
      <w:r>
        <w:rPr>
          <w:rStyle w:val="VerbatimChar"/>
          <w:bCs/>
          <w:b/>
        </w:rPr>
        <w:t xml:space="preserve">Entries</w:t>
      </w:r>
      <w:r>
        <w:t xml:space="preserve"> </w:t>
      </w:r>
      <w:r>
        <w:t xml:space="preserve">is problematic in the following instance:</w:t>
      </w:r>
    </w:p>
    <w:p>
      <w:pPr>
        <w:numPr>
          <w:ilvl w:val="0"/>
          <w:numId w:val="1198"/>
        </w:numPr>
        <w:pStyle w:val="Compact"/>
      </w:pPr>
      <w:r>
        <w:rPr>
          <w:rStyle w:val="VerbatimChar"/>
        </w:rPr>
        <w:t xml:space="preserve">kazama_location</w:t>
      </w:r>
      <w:r>
        <w:t xml:space="preserve">: K03102341,</w:t>
      </w:r>
      <w:r>
        <w:t xml:space="preserve"> </w:t>
      </w:r>
      <w:r>
        <w:rPr>
          <w:rStyle w:val="VerbatimChar"/>
        </w:rPr>
        <w:t xml:space="preserve">hanzi_entry</w:t>
      </w:r>
      <w:r>
        <w:t xml:space="preserve">: 小／ー（櫃）／膳／ー（櫃）,</w:t>
      </w:r>
      <w:r>
        <w:t xml:space="preserve"> </w:t>
      </w:r>
      <w:r>
        <w:rPr>
          <w:rStyle w:val="VerbatimChar"/>
        </w:rPr>
        <w:t xml:space="preserve">definition</w:t>
      </w:r>
      <w:r>
        <w:t xml:space="preserve">: アケノヒツ（HH___）</w:t>
      </w:r>
    </w:p>
    <w:p>
      <w:pPr>
        <w:pStyle w:val="FirstParagraph"/>
      </w:pPr>
      <w:r>
        <w:t xml:space="preserve">According to the</w:t>
      </w:r>
      <w:r>
        <w:t xml:space="preserve"> </w:t>
      </w:r>
      <w:r>
        <w:rPr>
          <w:iCs/>
          <w:i/>
        </w:rPr>
        <w:t xml:space="preserve">Nihon Kokugo Daijiten</w:t>
      </w:r>
      <w:r>
        <w:t xml:space="preserve"> </w:t>
      </w:r>
      <w:r>
        <w:t xml:space="preserve">(</w:t>
      </w:r>
      <w:r>
        <w:rPr>
          <w:iCs/>
          <w:i/>
        </w:rPr>
        <w:t xml:space="preserve">Nikkoku</w:t>
      </w:r>
      <w:r>
        <w:t xml:space="preserve">), there are examples of</w:t>
      </w:r>
      <w:r>
        <w:t xml:space="preserve"> </w:t>
      </w:r>
      <w:r>
        <w:t xml:space="preserve">‘</w:t>
      </w:r>
      <w:r>
        <w:t xml:space="preserve">小櫃</w:t>
      </w:r>
      <w:r>
        <w:t xml:space="preserve">’</w:t>
      </w:r>
      <w:r>
        <w:t xml:space="preserve"> </w:t>
      </w:r>
      <w:r>
        <w:t xml:space="preserve">(</w:t>
      </w:r>
      <w:r>
        <w:rPr>
          <w:iCs/>
          <w:i/>
        </w:rPr>
        <w:t xml:space="preserve">kobitsu</w:t>
      </w:r>
      <w:r>
        <w:t xml:space="preserve">) in the</w:t>
      </w:r>
      <w:r>
        <w:t xml:space="preserve"> </w:t>
      </w:r>
      <w:r>
        <w:rPr>
          <w:iCs/>
          <w:i/>
        </w:rPr>
        <w:t xml:space="preserve">Wamyō Ruijushō</w:t>
      </w:r>
      <w:r>
        <w:t xml:space="preserve"> </w:t>
      </w:r>
      <w:r>
        <w:t xml:space="preserve">(</w:t>
      </w:r>
      <w:r>
        <w:rPr>
          <w:iCs/>
          <w:i/>
        </w:rPr>
        <w:t xml:space="preserve">Wamyōshō</w:t>
      </w:r>
      <w:r>
        <w:t xml:space="preserve">), and</w:t>
      </w:r>
      <w:r>
        <w:t xml:space="preserve"> </w:t>
      </w:r>
      <w:r>
        <w:t xml:space="preserve">‘</w:t>
      </w:r>
      <w:r>
        <w:t xml:space="preserve">膳櫃</w:t>
      </w:r>
      <w:r>
        <w:t xml:space="preserve">’</w:t>
      </w:r>
      <w:r>
        <w:t xml:space="preserve"> </w:t>
      </w:r>
      <w:r>
        <w:t xml:space="preserve">(</w:t>
      </w:r>
      <w:r>
        <w:rPr>
          <w:iCs/>
          <w:i/>
        </w:rPr>
        <w:t xml:space="preserve">omono hitsu</w:t>
      </w:r>
      <w:r>
        <w:t xml:space="preserve">) in the</w:t>
      </w:r>
      <w:r>
        <w:t xml:space="preserve"> </w:t>
      </w:r>
      <w:r>
        <w:rPr>
          <w:iCs/>
          <w:i/>
        </w:rPr>
        <w:t xml:space="preserve">Engi Shiki</w:t>
      </w:r>
      <w:r>
        <w:t xml:space="preserve">. As it is preferable to treat these as separate</w:t>
      </w:r>
      <w:r>
        <w:t xml:space="preserve"> </w:t>
      </w:r>
      <w:r>
        <w:rPr>
          <w:rStyle w:val="VerbatimChar"/>
          <w:bCs/>
          <w:b/>
        </w:rPr>
        <w:t xml:space="preserve">Entries</w:t>
      </w:r>
      <w:r>
        <w:t xml:space="preserve">, the KRM data has been corrected as follows:</w:t>
      </w:r>
    </w:p>
    <w:p>
      <w:pPr>
        <w:numPr>
          <w:ilvl w:val="0"/>
          <w:numId w:val="1199"/>
        </w:numPr>
        <w:pStyle w:val="Compact"/>
      </w:pPr>
      <w:r>
        <w:rPr>
          <w:rStyle w:val="VerbatimChar"/>
        </w:rPr>
        <w:t xml:space="preserve">kazama_location</w:t>
      </w:r>
      <w:r>
        <w:t xml:space="preserve">: K03102341,</w:t>
      </w:r>
      <w:r>
        <w:t xml:space="preserve"> </w:t>
      </w:r>
      <w:r>
        <w:rPr>
          <w:rStyle w:val="VerbatimChar"/>
        </w:rPr>
        <w:t xml:space="preserve">hanzi_entry</w:t>
      </w:r>
      <w:r>
        <w:t xml:space="preserve">: 小／ー（櫃）,</w:t>
      </w:r>
      <w:r>
        <w:t xml:space="preserve"> </w:t>
      </w:r>
      <w:r>
        <w:rPr>
          <w:rStyle w:val="VerbatimChar"/>
        </w:rPr>
        <w:t xml:space="preserve">definition</w:t>
      </w:r>
      <w:r>
        <w:t xml:space="preserve">: (Unannotated)</w:t>
      </w:r>
    </w:p>
    <w:p>
      <w:pPr>
        <w:numPr>
          <w:ilvl w:val="0"/>
          <w:numId w:val="1199"/>
        </w:numPr>
        <w:pStyle w:val="Compact"/>
      </w:pPr>
      <w:r>
        <w:rPr>
          <w:rStyle w:val="VerbatimChar"/>
        </w:rPr>
        <w:t xml:space="preserve">kazama_location</w:t>
      </w:r>
      <w:r>
        <w:t xml:space="preserve">: K03102343,</w:t>
      </w:r>
      <w:r>
        <w:t xml:space="preserve"> </w:t>
      </w:r>
      <w:r>
        <w:rPr>
          <w:rStyle w:val="VerbatimChar"/>
        </w:rPr>
        <w:t xml:space="preserve">hanzi_entry</w:t>
      </w:r>
      <w:r>
        <w:t xml:space="preserve">: 膳／ー（櫃）,</w:t>
      </w:r>
      <w:r>
        <w:t xml:space="preserve"> </w:t>
      </w:r>
      <w:r>
        <w:rPr>
          <w:rStyle w:val="VerbatimChar"/>
        </w:rPr>
        <w:t xml:space="preserve">definition</w:t>
      </w:r>
      <w:r>
        <w:t xml:space="preserve">: アケノヒツ（HH___）</w:t>
      </w:r>
    </w:p>
    <w:p>
      <w:pPr>
        <w:pStyle w:val="FirstParagraph"/>
      </w:pPr>
      <w:r>
        <w:t xml:space="preserve">Please refer to the right side of the</w:t>
      </w:r>
      <w:r>
        <w:t xml:space="preserve"> </w:t>
      </w:r>
      <w:hyperlink r:id="rId314">
        <w:r>
          <w:rPr>
            <w:rStyle w:val="Hyperlink"/>
          </w:rPr>
          <w:t xml:space="preserve">corresponding page</w:t>
        </w:r>
      </w:hyperlink>
      <w:r>
        <w:t xml:space="preserve"> </w:t>
      </w:r>
      <w:r>
        <w:t xml:space="preserve">in the National Diet Library Digital Collections.</w:t>
      </w:r>
    </w:p>
    <w:p>
      <w:pPr>
        <w:pStyle w:val="BodyText"/>
      </w:pPr>
      <w:r>
        <w:t xml:space="preserve">As a result of this correction, the number of</w:t>
      </w:r>
      <w:r>
        <w:t xml:space="preserve"> </w:t>
      </w:r>
      <w:r>
        <w:rPr>
          <w:rStyle w:val="VerbatimChar"/>
          <w:bCs/>
          <w:b/>
        </w:rPr>
        <w:t xml:space="preserve">Entries</w:t>
      </w:r>
      <w:r>
        <w:t xml:space="preserve"> </w:t>
      </w:r>
      <w:r>
        <w:t xml:space="preserve">in the</w:t>
      </w:r>
      <w:r>
        <w:t xml:space="preserve"> </w:t>
      </w:r>
      <w:r>
        <w:t xml:space="preserve">“</w:t>
      </w:r>
      <w:r>
        <w:t xml:space="preserve">木</w:t>
      </w:r>
      <w:r>
        <w:t xml:space="preserve">”</w:t>
      </w:r>
      <w:r>
        <w:t xml:space="preserve"> </w:t>
      </w:r>
      <w:r>
        <w:t xml:space="preserve">(Tree) radical section now matches the count in Sakai (1967). The corrected figures are shown in</w:t>
      </w:r>
      <w:r>
        <w:t xml:space="preserve"> </w:t>
      </w:r>
      <w:r>
        <w:rPr>
          <w:bCs/>
          <w:b/>
        </w:rPr>
        <w:t xml:space="preserve">bold</w:t>
      </w:r>
      <w:r>
        <w:t xml:space="preserve">:</w:t>
      </w:r>
    </w:p>
    <w:tbl>
      <w:tblPr>
        <w:tblStyle w:val="Table"/>
        <w:tblW w:type="pct" w:w="5000"/>
        <w:tblLook w:firstRow="1" w:lastRow="0" w:firstColumn="0" w:lastColumn="0" w:noHBand="0" w:noVBand="0" w:val="0020"/>
        <w:jc w:val="start"/>
      </w:tblPr>
      <w:tblGrid>
        <w:gridCol w:w="408"/>
        <w:gridCol w:w="979"/>
        <w:gridCol w:w="653"/>
        <w:gridCol w:w="734"/>
        <w:gridCol w:w="653"/>
        <w:gridCol w:w="653"/>
        <w:gridCol w:w="653"/>
        <w:gridCol w:w="734"/>
        <w:gridCol w:w="1306"/>
        <w:gridCol w:w="1143"/>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029</w:t>
            </w:r>
          </w:p>
        </w:tc>
        <w:tc>
          <w:tcPr/>
          <w:p>
            <w:pPr>
              <w:pStyle w:val="Compact"/>
              <w:jc w:val="left"/>
            </w:pPr>
            <w:r>
              <w:t xml:space="preserve">木 (Tree)</w:t>
            </w:r>
          </w:p>
        </w:tc>
        <w:tc>
          <w:tcPr/>
          <w:p>
            <w:pPr>
              <w:pStyle w:val="Compact"/>
              <w:jc w:val="right"/>
            </w:pPr>
            <w:r>
              <w:t xml:space="preserve">1,044</w:t>
            </w:r>
          </w:p>
        </w:tc>
        <w:tc>
          <w:tcPr/>
          <w:p>
            <w:pPr>
              <w:pStyle w:val="Compact"/>
              <w:jc w:val="right"/>
            </w:pPr>
            <w:r>
              <w:rPr>
                <w:bCs/>
                <w:b/>
              </w:rPr>
              <w:t xml:space="preserve">245</w:t>
            </w:r>
          </w:p>
        </w:tc>
        <w:tc>
          <w:tcPr/>
          <w:p>
            <w:pPr>
              <w:pStyle w:val="Compact"/>
              <w:jc w:val="right"/>
            </w:pPr>
            <w:r>
              <w:t xml:space="preserve">40</w:t>
            </w:r>
          </w:p>
        </w:tc>
        <w:tc>
          <w:tcPr/>
          <w:p>
            <w:pPr>
              <w:pStyle w:val="Compact"/>
              <w:jc w:val="right"/>
            </w:pPr>
            <w:r>
              <w:rPr>
                <w:bCs/>
                <w:b/>
              </w:rPr>
              <w:t xml:space="preserve">4</w:t>
            </w:r>
          </w:p>
        </w:tc>
        <w:tc>
          <w:tcPr/>
          <w:p>
            <w:pPr>
              <w:pStyle w:val="Compact"/>
              <w:jc w:val="right"/>
            </w:pPr>
            <w:r>
              <w:t xml:space="preserve">0</w:t>
            </w:r>
          </w:p>
        </w:tc>
        <w:tc>
          <w:tcPr/>
          <w:p>
            <w:pPr>
              <w:pStyle w:val="Compact"/>
              <w:jc w:val="right"/>
            </w:pPr>
            <w:r>
              <w:t xml:space="preserve">1</w:t>
            </w:r>
          </w:p>
        </w:tc>
        <w:tc>
          <w:tcPr/>
          <w:p>
            <w:pPr>
              <w:pStyle w:val="Compact"/>
              <w:jc w:val="right"/>
            </w:pPr>
            <w:r>
              <w:rPr>
                <w:bCs/>
                <w:b/>
              </w:rPr>
              <w:t xml:space="preserve">1,334</w:t>
            </w:r>
          </w:p>
        </w:tc>
        <w:tc>
          <w:tcPr/>
          <w:p>
            <w:pPr>
              <w:pStyle w:val="Compact"/>
              <w:jc w:val="right"/>
            </w:pPr>
            <w:r>
              <w:t xml:space="preserve">1,676</w:t>
            </w:r>
          </w:p>
        </w:tc>
      </w:tr>
    </w:tbl>
    <w:bookmarkEnd w:id="315"/>
    <w:bookmarkStart w:id="319" w:name="Xf2890e7900bec040209c1ef2421c43ecc2bb0c7"/>
    <w:p>
      <w:pPr>
        <w:pStyle w:val="Heading3"/>
      </w:pPr>
      <w:r>
        <w:rPr>
          <w:rStyle w:val="SectionNumber"/>
        </w:rPr>
        <w:t xml:space="preserve">21.6.6</w:t>
      </w:r>
      <w:r>
        <w:tab/>
      </w:r>
      <w:r>
        <w:rPr>
          <w:iCs/>
          <w:i/>
        </w:rPr>
        <w:t xml:space="preserve">Butsuge-matsu</w:t>
      </w:r>
      <w:r>
        <w:t xml:space="preserve"> </w:t>
      </w:r>
      <w:r>
        <w:t xml:space="preserve">(仏下末 – Lower</w:t>
      </w:r>
      <w:r>
        <w:t xml:space="preserve"> </w:t>
      </w:r>
      <w:r>
        <w:t xml:space="preserve">“</w:t>
      </w:r>
      <w:r>
        <w:t xml:space="preserve">Buddha</w:t>
      </w:r>
      <w:r>
        <w:t xml:space="preserve">”</w:t>
      </w:r>
      <w:r>
        <w:t xml:space="preserve"> </w:t>
      </w:r>
      <w:r>
        <w:t xml:space="preserve">Fascicle, Last Part)</w:t>
      </w:r>
    </w:p>
    <w:p>
      <w:pPr>
        <w:pStyle w:val="FirstParagraph"/>
      </w:pPr>
      <w:r>
        <w:t xml:space="preserve">In the</w:t>
      </w:r>
      <w:r>
        <w:t xml:space="preserve"> </w:t>
      </w:r>
      <w:r>
        <w:rPr>
          <w:iCs/>
          <w:i/>
          <w:bCs/>
          <w:b/>
        </w:rPr>
        <w:t xml:space="preserve">Butsuge-matsu</w:t>
      </w:r>
      <w:r>
        <w:t xml:space="preserve"> </w:t>
      </w:r>
      <w:r>
        <w:t xml:space="preserve">section, discrepancies in</w:t>
      </w:r>
      <w:r>
        <w:t xml:space="preserve"> </w:t>
      </w:r>
      <w:r>
        <w:rPr>
          <w:rStyle w:val="VerbatimChar"/>
          <w:bCs/>
          <w:b/>
        </w:rPr>
        <w:t xml:space="preserve">Entry</w:t>
      </w:r>
      <w:r>
        <w:t xml:space="preserve"> </w:t>
      </w:r>
      <w:r>
        <w:t xml:space="preserve">counts between Sakai (1967) and Ikeda et al. (2020) are found for the following radical section. The figures presented in the table below are from Ikeda et al. (2020):</w:t>
      </w:r>
    </w:p>
    <w:tbl>
      <w:tblPr>
        <w:tblStyle w:val="Table"/>
        <w:tblW w:type="pct" w:w="5000"/>
        <w:tblLook w:firstRow="1" w:lastRow="0" w:firstColumn="0" w:lastColumn="0" w:noHBand="0" w:noVBand="0" w:val="0020"/>
        <w:jc w:val="start"/>
      </w:tblPr>
      <w:tblGrid>
        <w:gridCol w:w="412"/>
        <w:gridCol w:w="990"/>
        <w:gridCol w:w="660"/>
        <w:gridCol w:w="660"/>
        <w:gridCol w:w="660"/>
        <w:gridCol w:w="660"/>
        <w:gridCol w:w="660"/>
        <w:gridCol w:w="742"/>
        <w:gridCol w:w="1320"/>
        <w:gridCol w:w="1155"/>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039</w:t>
            </w:r>
          </w:p>
        </w:tc>
        <w:tc>
          <w:tcPr/>
          <w:p>
            <w:pPr>
              <w:pStyle w:val="Compact"/>
              <w:jc w:val="left"/>
            </w:pPr>
            <w:r>
              <w:t xml:space="preserve">火 (Fire)</w:t>
            </w:r>
          </w:p>
        </w:tc>
        <w:tc>
          <w:tcPr/>
          <w:p>
            <w:pPr>
              <w:pStyle w:val="Compact"/>
              <w:jc w:val="right"/>
            </w:pPr>
            <w:r>
              <w:t xml:space="preserve">407</w:t>
            </w:r>
          </w:p>
        </w:tc>
        <w:tc>
          <w:tcPr/>
          <w:p>
            <w:pPr>
              <w:pStyle w:val="Compact"/>
              <w:jc w:val="right"/>
            </w:pPr>
            <w:r>
              <w:t xml:space="preserve">91</w:t>
            </w:r>
          </w:p>
        </w:tc>
        <w:tc>
          <w:tcPr/>
          <w:p>
            <w:pPr>
              <w:pStyle w:val="Compact"/>
              <w:jc w:val="right"/>
            </w:pPr>
            <w:r>
              <w:t xml:space="preserve">11</w:t>
            </w:r>
          </w:p>
        </w:tc>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c>
          <w:tcPr/>
          <w:p>
            <w:pPr>
              <w:pStyle w:val="Compact"/>
              <w:jc w:val="right"/>
            </w:pPr>
            <w:r>
              <w:t xml:space="preserve">513</w:t>
            </w:r>
          </w:p>
        </w:tc>
        <w:tc>
          <w:tcPr/>
          <w:p>
            <w:pPr>
              <w:pStyle w:val="Compact"/>
              <w:jc w:val="right"/>
            </w:pPr>
            <w:r>
              <w:t xml:space="preserve">648</w:t>
            </w:r>
          </w:p>
        </w:tc>
      </w:tr>
    </w:tbl>
    <w:p>
      <w:pPr>
        <w:pStyle w:val="BodyText"/>
      </w:pPr>
      <w:r>
        <w:t xml:space="preserve">For the</w:t>
      </w:r>
      <w:r>
        <w:t xml:space="preserve"> </w:t>
      </w:r>
      <w:r>
        <w:rPr>
          <w:bCs/>
          <w:b/>
        </w:rPr>
        <w:t xml:space="preserve">“</w:t>
      </w:r>
      <w:r>
        <w:rPr>
          <w:bCs/>
          <w:b/>
        </w:rPr>
        <w:t xml:space="preserve">火</w:t>
      </w:r>
      <w:r>
        <w:rPr>
          <w:bCs/>
          <w:b/>
        </w:rPr>
        <w:t xml:space="preserve">”</w:t>
      </w:r>
      <w:r>
        <w:rPr>
          <w:bCs/>
          <w:b/>
        </w:rPr>
        <w:t xml:space="preserve"> </w:t>
      </w:r>
      <w:r>
        <w:rPr>
          <w:bCs/>
          <w:b/>
        </w:rPr>
        <w:t xml:space="preserve">(Fire) radical section</w:t>
      </w:r>
      <w:r>
        <w:t xml:space="preserve"> </w:t>
      </w:r>
      <w:r>
        <w:t xml:space="preserve">(火部,</w:t>
      </w:r>
      <w:r>
        <w:t xml:space="preserve"> </w:t>
      </w:r>
      <w:r>
        <w:rPr>
          <w:iCs/>
          <w:i/>
        </w:rPr>
        <w:t xml:space="preserve">Kabu</w:t>
      </w:r>
      <w:r>
        <w:t xml:space="preserve">), Sakai (1967) counts 512</w:t>
      </w:r>
      <w:r>
        <w:t xml:space="preserve"> </w:t>
      </w:r>
      <w:r>
        <w:rPr>
          <w:rStyle w:val="VerbatimChar"/>
          <w:bCs/>
          <w:b/>
        </w:rPr>
        <w:t xml:space="preserve">Entries</w:t>
      </w:r>
      <w:r>
        <w:t xml:space="preserve">, resulting in a difference of one</w:t>
      </w:r>
      <w:r>
        <w:t xml:space="preserve"> </w:t>
      </w:r>
      <w:r>
        <w:rPr>
          <w:rStyle w:val="VerbatimChar"/>
          <w:bCs/>
          <w:b/>
        </w:rPr>
        <w:t xml:space="preserve">Entry</w:t>
      </w:r>
      <w:r>
        <w:t xml:space="preserve"> </w:t>
      </w:r>
      <w:r>
        <w:t xml:space="preserve">when compared to the count of 513 in Ikeda et al. (2020). There are three instances where the method of counting</w:t>
      </w:r>
      <w:r>
        <w:t xml:space="preserve"> </w:t>
      </w:r>
      <w:r>
        <w:rPr>
          <w:rStyle w:val="VerbatimChar"/>
          <w:bCs/>
          <w:b/>
        </w:rPr>
        <w:t xml:space="preserve">Entries</w:t>
      </w:r>
      <w:r>
        <w:t xml:space="preserve"> </w:t>
      </w:r>
      <w:r>
        <w:t xml:space="preserve">is problematic. The discrepancy with Sakai (1967) is thought to arise from differences in calculating the count in one or more of these instances.</w:t>
      </w:r>
    </w:p>
    <w:p>
      <w:pPr>
        <w:numPr>
          <w:ilvl w:val="0"/>
          <w:numId w:val="1200"/>
        </w:numPr>
        <w:pStyle w:val="Compact"/>
      </w:pPr>
      <w:r>
        <w:rPr>
          <w:rStyle w:val="VerbatimChar"/>
        </w:rPr>
        <w:t xml:space="preserve">kazama_location</w:t>
      </w:r>
      <w:r>
        <w:t xml:space="preserve">: K04038132,</w:t>
      </w:r>
      <w:r>
        <w:t xml:space="preserve"> </w:t>
      </w:r>
      <w:r>
        <w:rPr>
          <w:rStyle w:val="VerbatimChar"/>
        </w:rPr>
        <w:t xml:space="preserve">hanzi_entry</w:t>
      </w:r>
      <w:r>
        <w:t xml:space="preserve">: 𤊹,</w:t>
      </w:r>
      <w:r>
        <w:t xml:space="preserve"> </w:t>
      </w:r>
      <w:r>
        <w:rPr>
          <w:rStyle w:val="VerbatimChar"/>
        </w:rPr>
        <w:t xml:space="preserve">definition</w:t>
      </w:r>
      <w:r>
        <w:t xml:space="preserve">: (Unannotated)</w:t>
      </w:r>
    </w:p>
    <w:p>
      <w:pPr>
        <w:numPr>
          <w:ilvl w:val="0"/>
          <w:numId w:val="1200"/>
        </w:numPr>
        <w:pStyle w:val="Compact"/>
      </w:pPr>
      <w:r>
        <w:rPr>
          <w:rStyle w:val="VerbatimChar"/>
        </w:rPr>
        <w:t xml:space="preserve">kazama_location</w:t>
      </w:r>
      <w:r>
        <w:t xml:space="preserve">: K04038141,</w:t>
      </w:r>
      <w:r>
        <w:t xml:space="preserve"> </w:t>
      </w:r>
      <w:r>
        <w:rPr>
          <w:rStyle w:val="VerbatimChar"/>
        </w:rPr>
        <w:t xml:space="preserve">hanzi_entry</w:t>
      </w:r>
      <w:r>
        <w:t xml:space="preserve">: 㶿／⿰火⿳朩冖子／⿰火⿱十子,</w:t>
      </w:r>
      <w:r>
        <w:t xml:space="preserve"> </w:t>
      </w:r>
      <w:r>
        <w:rPr>
          <w:rStyle w:val="VerbatimChar"/>
        </w:rPr>
        <w:t xml:space="preserve">definition</w:t>
      </w:r>
      <w:r>
        <w:t xml:space="preserve">: 三俗勃字　音悖　サカリ</w:t>
      </w:r>
    </w:p>
    <w:p>
      <w:pPr>
        <w:pStyle w:val="FirstParagraph"/>
      </w:pPr>
      <w:r>
        <w:t xml:space="preserve">After the</w:t>
      </w:r>
      <w:r>
        <w:t xml:space="preserve"> </w:t>
      </w:r>
      <w:r>
        <w:rPr>
          <w:rStyle w:val="VerbatimChar"/>
          <w:bCs/>
          <w:b/>
        </w:rPr>
        <w:t xml:space="preserve">Headword</w:t>
      </w:r>
      <w:r>
        <w:t xml:space="preserve"> </w:t>
      </w:r>
      <w:r>
        <w:t xml:space="preserve">‘</w:t>
      </w:r>
      <w:r>
        <w:t xml:space="preserve">𤊹</w:t>
      </w:r>
      <w:r>
        <w:t xml:space="preserve">’</w:t>
      </w:r>
      <w:r>
        <w:t xml:space="preserve"> </w:t>
      </w:r>
      <w:r>
        <w:t xml:space="preserve">in</w:t>
      </w:r>
      <w:r>
        <w:t xml:space="preserve"> </w:t>
      </w:r>
      <w:r>
        <w:rPr>
          <w:rStyle w:val="VerbatimChar"/>
          <w:bCs/>
          <w:b/>
        </w:rPr>
        <w:t xml:space="preserve">Entry</w:t>
      </w:r>
      <w:r>
        <w:t xml:space="preserve"> </w:t>
      </w:r>
      <w:r>
        <w:rPr>
          <w:rStyle w:val="VerbatimChar"/>
        </w:rPr>
        <w:t xml:space="preserve">K04038132</w:t>
      </w:r>
      <w:r>
        <w:t xml:space="preserve">, there is a slight space. In Ikeda et al. (2020), this was counted as an unannotated</w:t>
      </w:r>
      <w:r>
        <w:t xml:space="preserve"> </w:t>
      </w:r>
      <w:r>
        <w:rPr>
          <w:rStyle w:val="VerbatimChar"/>
          <w:bCs/>
          <w:b/>
        </w:rPr>
        <w:t xml:space="preserve">Entry</w:t>
      </w:r>
      <w:r>
        <w:t xml:space="preserve">.</w:t>
      </w:r>
    </w:p>
    <w:p>
      <w:pPr>
        <w:pStyle w:val="BodyText"/>
      </w:pPr>
      <w:r>
        <w:t xml:space="preserve">The original text for this section can be referred to on the right side of the</w:t>
      </w:r>
      <w:r>
        <w:t xml:space="preserve"> </w:t>
      </w:r>
      <w:hyperlink r:id="rId316">
        <w:r>
          <w:rPr>
            <w:rStyle w:val="Hyperlink"/>
          </w:rPr>
          <w:t xml:space="preserve">corresponding page</w:t>
        </w:r>
      </w:hyperlink>
      <w:r>
        <w:t xml:space="preserve"> </w:t>
      </w:r>
      <w:r>
        <w:t xml:space="preserve">in the National Diet Library Digital Collections.</w:t>
      </w:r>
    </w:p>
    <w:p>
      <w:pPr>
        <w:numPr>
          <w:ilvl w:val="0"/>
          <w:numId w:val="1201"/>
        </w:numPr>
        <w:pStyle w:val="Compact"/>
      </w:pPr>
      <w:r>
        <w:rPr>
          <w:rStyle w:val="VerbatimChar"/>
        </w:rPr>
        <w:t xml:space="preserve">kazama_location</w:t>
      </w:r>
      <w:r>
        <w:t xml:space="preserve">: K04041732,</w:t>
      </w:r>
      <w:r>
        <w:t xml:space="preserve"> </w:t>
      </w:r>
      <w:r>
        <w:rPr>
          <w:rStyle w:val="VerbatimChar"/>
        </w:rPr>
        <w:t xml:space="preserve">hanzi_entry</w:t>
      </w:r>
      <w:r>
        <w:t xml:space="preserve">: 焭,</w:t>
      </w:r>
      <w:r>
        <w:t xml:space="preserve"> </w:t>
      </w:r>
      <w:r>
        <w:rPr>
          <w:rStyle w:val="VerbatimChar"/>
        </w:rPr>
        <w:t xml:space="preserve">definition</w:t>
      </w:r>
      <w:r>
        <w:t xml:space="preserve">: (Unannotated)</w:t>
      </w:r>
    </w:p>
    <w:p>
      <w:pPr>
        <w:numPr>
          <w:ilvl w:val="0"/>
          <w:numId w:val="1201"/>
        </w:numPr>
        <w:pStyle w:val="Compact"/>
      </w:pPr>
      <w:r>
        <w:rPr>
          <w:rStyle w:val="VerbatimChar"/>
        </w:rPr>
        <w:t xml:space="preserve">kazama_location</w:t>
      </w:r>
      <w:r>
        <w:t xml:space="preserve">: K04041741,</w:t>
      </w:r>
      <w:r>
        <w:t xml:space="preserve"> </w:t>
      </w:r>
      <w:r>
        <w:rPr>
          <w:rStyle w:val="VerbatimChar"/>
        </w:rPr>
        <w:t xml:space="preserve">hanzi_entry</w:t>
      </w:r>
      <w:r>
        <w:t xml:space="preserve">: ⿱⿱⿰火火冖凡／煢,</w:t>
      </w:r>
      <w:r>
        <w:t xml:space="preserve"> </w:t>
      </w:r>
      <w:r>
        <w:rPr>
          <w:rStyle w:val="VerbatimChar"/>
        </w:rPr>
        <w:t xml:space="preserve">definition</w:t>
      </w:r>
      <w:r>
        <w:t xml:space="preserve"> </w:t>
      </w:r>
      <w:r>
        <w:t xml:space="preserve">(corrected from</w:t>
      </w:r>
      <w:r>
        <w:t xml:space="preserve"> </w:t>
      </w:r>
      <w:r>
        <w:rPr>
          <w:rStyle w:val="VerbatimChar"/>
        </w:rPr>
        <w:t xml:space="preserve">defifnition</w:t>
      </w:r>
      <w:r>
        <w:t xml:space="preserve">): 俗通正　音瓊　ヒトリ　𠎽〈古〉　惸〈古〉　ヒトリアルヤモメ（HHL__HHH）　ヤモメ（HHH）</w:t>
      </w:r>
    </w:p>
    <w:p>
      <w:pPr>
        <w:pStyle w:val="FirstParagraph"/>
      </w:pPr>
      <w:r>
        <w:t xml:space="preserve">The</w:t>
      </w:r>
      <w:r>
        <w:t xml:space="preserve"> </w:t>
      </w:r>
      <w:r>
        <w:rPr>
          <w:rStyle w:val="VerbatimChar"/>
          <w:bCs/>
          <w:b/>
        </w:rPr>
        <w:t xml:space="preserve">Original Glosses</w:t>
      </w:r>
      <w:r>
        <w:t xml:space="preserve"> </w:t>
      </w:r>
      <w:r>
        <w:t xml:space="preserve">for</w:t>
      </w:r>
      <w:r>
        <w:t xml:space="preserve"> </w:t>
      </w:r>
      <w:r>
        <w:rPr>
          <w:rStyle w:val="VerbatimChar"/>
          <w:bCs/>
          <w:b/>
        </w:rPr>
        <w:t xml:space="preserve">Headword</w:t>
      </w:r>
      <w:r>
        <w:t xml:space="preserve"> </w:t>
      </w:r>
      <w:r>
        <w:t xml:space="preserve">‘</w:t>
      </w:r>
      <w:r>
        <w:t xml:space="preserve">⿱⿱⿰火火冖凡／煢</w:t>
      </w:r>
      <w:r>
        <w:t xml:space="preserve">’</w:t>
      </w:r>
      <w:r>
        <w:t xml:space="preserve"> </w:t>
      </w:r>
      <w:r>
        <w:t xml:space="preserve">(K04041741) begin with the</w:t>
      </w:r>
      <w:r>
        <w:t xml:space="preserve"> </w:t>
      </w:r>
      <w:r>
        <w:rPr>
          <w:rStyle w:val="VerbatimChar"/>
          <w:bCs/>
          <w:b/>
        </w:rPr>
        <w:t xml:space="preserve">Form Classification Tag</w:t>
      </w:r>
      <w:r>
        <w:t xml:space="preserve"> </w:t>
      </w:r>
      <w:r>
        <w:t xml:space="preserve">“</w:t>
      </w:r>
      <w:r>
        <w:t xml:space="preserve">俗通正</w:t>
      </w:r>
      <w:r>
        <w:t xml:space="preserve">”</w:t>
      </w:r>
      <w:r>
        <w:t xml:space="preserve"> </w:t>
      </w:r>
      <w:r>
        <w:t xml:space="preserve">(</w:t>
      </w:r>
      <w:r>
        <w:rPr>
          <w:iCs/>
          <w:i/>
        </w:rPr>
        <w:t xml:space="preserve">zoku tsū sei</w:t>
      </w:r>
      <w:r>
        <w:t xml:space="preserve">). This might suggest that</w:t>
      </w:r>
      <w:r>
        <w:t xml:space="preserve"> </w:t>
      </w:r>
      <w:r>
        <w:t xml:space="preserve">‘</w:t>
      </w:r>
      <w:r>
        <w:t xml:space="preserve">焭</w:t>
      </w:r>
      <w:r>
        <w:t xml:space="preserve">’</w:t>
      </w:r>
      <w:r>
        <w:t xml:space="preserve"> </w:t>
      </w:r>
      <w:r>
        <w:t xml:space="preserve">(K04041732) and</w:t>
      </w:r>
      <w:r>
        <w:t xml:space="preserve"> </w:t>
      </w:r>
      <w:r>
        <w:t xml:space="preserve">‘</w:t>
      </w:r>
      <w:r>
        <w:t xml:space="preserve">⿱⿱⿰火火冖凡／煢</w:t>
      </w:r>
      <w:r>
        <w:t xml:space="preserve">’</w:t>
      </w:r>
      <w:r>
        <w:t xml:space="preserve"> </w:t>
      </w:r>
      <w:r>
        <w:t xml:space="preserve">were originally intended as a single</w:t>
      </w:r>
      <w:r>
        <w:t xml:space="preserve"> </w:t>
      </w:r>
      <w:r>
        <w:rPr>
          <w:rStyle w:val="VerbatimChar"/>
          <w:bCs/>
          <w:b/>
        </w:rPr>
        <w:t xml:space="preserve">Entry</w:t>
      </w:r>
      <w:r>
        <w:t xml:space="preserve">. However, the blank space following</w:t>
      </w:r>
      <w:r>
        <w:t xml:space="preserve"> </w:t>
      </w:r>
      <w:r>
        <w:t xml:space="preserve">‘</w:t>
      </w:r>
      <w:r>
        <w:t xml:space="preserve">焭</w:t>
      </w:r>
      <w:r>
        <w:t xml:space="preserve">’</w:t>
      </w:r>
      <w:r>
        <w:t xml:space="preserve"> </w:t>
      </w:r>
      <w:r>
        <w:t xml:space="preserve">(K04041732) is distinct. Considering this, and given that there are instances where a</w:t>
      </w:r>
      <w:r>
        <w:t xml:space="preserve"> </w:t>
      </w:r>
      <w:r>
        <w:rPr>
          <w:rStyle w:val="VerbatimChar"/>
          <w:bCs/>
          <w:b/>
        </w:rPr>
        <w:t xml:space="preserve">Form Classification Tag</w:t>
      </w:r>
      <w:r>
        <w:t xml:space="preserve"> </w:t>
      </w:r>
      <w:r>
        <w:t xml:space="preserve">can refer to a preceding</w:t>
      </w:r>
      <w:r>
        <w:t xml:space="preserve"> </w:t>
      </w:r>
      <w:r>
        <w:rPr>
          <w:rStyle w:val="VerbatimChar"/>
          <w:bCs/>
          <w:b/>
        </w:rPr>
        <w:t xml:space="preserve">Entry</w:t>
      </w:r>
      <w:r>
        <w:t xml:space="preserve">, Ikeda et al. (2020) counted</w:t>
      </w:r>
      <w:r>
        <w:t xml:space="preserve"> </w:t>
      </w:r>
      <w:r>
        <w:t xml:space="preserve">‘</w:t>
      </w:r>
      <w:r>
        <w:t xml:space="preserve">焭</w:t>
      </w:r>
      <w:r>
        <w:t xml:space="preserve">’</w:t>
      </w:r>
      <w:r>
        <w:t xml:space="preserve"> </w:t>
      </w:r>
      <w:r>
        <w:t xml:space="preserve">(K04041732) as a separate, unannotated</w:t>
      </w:r>
      <w:r>
        <w:t xml:space="preserve"> </w:t>
      </w:r>
      <w:r>
        <w:rPr>
          <w:rStyle w:val="VerbatimChar"/>
          <w:bCs/>
          <w:b/>
        </w:rPr>
        <w:t xml:space="preserve">Entry</w:t>
      </w:r>
      <w:r>
        <w:t xml:space="preserve">.</w:t>
      </w:r>
    </w:p>
    <w:p>
      <w:pPr>
        <w:pStyle w:val="BodyText"/>
      </w:pPr>
      <w:r>
        <w:t xml:space="preserve">The original text for this section can be referred to on the left side of the</w:t>
      </w:r>
      <w:r>
        <w:t xml:space="preserve"> </w:t>
      </w:r>
      <w:hyperlink r:id="rId317">
        <w:r>
          <w:rPr>
            <w:rStyle w:val="Hyperlink"/>
          </w:rPr>
          <w:t xml:space="preserve">corresponding page</w:t>
        </w:r>
      </w:hyperlink>
      <w:r>
        <w:t xml:space="preserve"> </w:t>
      </w:r>
      <w:r>
        <w:t xml:space="preserve">in the National Diet Library Digital Collections.</w:t>
      </w:r>
    </w:p>
    <w:p>
      <w:pPr>
        <w:numPr>
          <w:ilvl w:val="0"/>
          <w:numId w:val="1202"/>
        </w:numPr>
        <w:pStyle w:val="Compact"/>
      </w:pPr>
      <w:r>
        <w:rPr>
          <w:rStyle w:val="VerbatimChar"/>
        </w:rPr>
        <w:t xml:space="preserve">kazama_location</w:t>
      </w:r>
      <w:r>
        <w:t xml:space="preserve">: K04052540,</w:t>
      </w:r>
      <w:r>
        <w:t xml:space="preserve"> </w:t>
      </w:r>
      <w:r>
        <w:rPr>
          <w:rStyle w:val="VerbatimChar"/>
        </w:rPr>
        <w:t xml:space="preserve">hanzi_entry</w:t>
      </w:r>
      <w:r>
        <w:t xml:space="preserve">: ⿱亦火,</w:t>
      </w:r>
      <w:r>
        <w:t xml:space="preserve"> </w:t>
      </w:r>
      <w:r>
        <w:rPr>
          <w:rStyle w:val="VerbatimChar"/>
        </w:rPr>
        <w:t xml:space="preserve">definition</w:t>
      </w:r>
      <w:r>
        <w:t xml:space="preserve">: 餘石反　盛也　カヽヤク　⿱赤火　ウレフ　ユク　和ヤク,</w:t>
      </w:r>
      <w:r>
        <w:t xml:space="preserve"> </w:t>
      </w:r>
      <w:r>
        <w:rPr>
          <w:rStyle w:val="VerbatimChar"/>
        </w:rPr>
        <w:t xml:space="preserve">remarks</w:t>
      </w:r>
      <w:r>
        <w:t xml:space="preserve"> </w:t>
      </w:r>
      <w:r>
        <w:t xml:space="preserve">(</w:t>
      </w:r>
      <w:r>
        <w:rPr>
          <w:rStyle w:val="VerbatimChar"/>
          <w:bCs/>
          <w:b/>
        </w:rPr>
        <w:t xml:space="preserve">Compiler's Remark</w:t>
      </w:r>
      <w:r>
        <w:t xml:space="preserve">): The string</w:t>
      </w:r>
      <w:r>
        <w:t xml:space="preserve"> </w:t>
      </w:r>
      <w:r>
        <w:t xml:space="preserve">‘</w:t>
      </w:r>
      <w:r>
        <w:t xml:space="preserve">⿱赤火</w:t>
      </w:r>
      <w:r>
        <w:t xml:space="preserve">’</w:t>
      </w:r>
      <w:r>
        <w:t xml:space="preserve"> </w:t>
      </w:r>
      <w:r>
        <w:t xml:space="preserve">can be interpreted as either an</w:t>
      </w:r>
      <w:r>
        <w:t xml:space="preserve"> </w:t>
      </w:r>
      <w:r>
        <w:rPr>
          <w:rStyle w:val="VerbatimChar"/>
          <w:bCs/>
          <w:b/>
        </w:rPr>
        <w:t xml:space="preserve">Embedded Item</w:t>
      </w:r>
      <w:r>
        <w:t xml:space="preserve"> </w:t>
      </w:r>
      <w:r>
        <w:t xml:space="preserve">(</w:t>
      </w:r>
      <w:r>
        <w:rPr>
          <w:iCs/>
          <w:i/>
        </w:rPr>
        <w:t xml:space="preserve">umeji</w:t>
      </w:r>
      <w:r>
        <w:t xml:space="preserve">) or as a note on a</w:t>
      </w:r>
      <w:r>
        <w:t xml:space="preserve"> </w:t>
      </w:r>
      <w:r>
        <w:rPr>
          <w:rStyle w:val="VerbatimChar"/>
          <w:bCs/>
          <w:b/>
        </w:rPr>
        <w:t xml:space="preserve">variant character</w:t>
      </w:r>
      <w:r>
        <w:rPr>
          <w:bCs/>
          <w:b/>
        </w:rPr>
        <w:t xml:space="preserve"> </w:t>
      </w:r>
      <w:r>
        <w:rPr>
          <w:bCs/>
          <w:b/>
        </w:rPr>
        <w:t xml:space="preserve">(</w:t>
      </w:r>
      <w:r>
        <w:rPr>
          <w:iCs/>
          <w:i/>
          <w:bCs/>
          <w:b/>
        </w:rPr>
        <w:t xml:space="preserve">itaiji</w:t>
      </w:r>
      <w:r>
        <w:rPr>
          <w:bCs/>
          <w:b/>
        </w:rPr>
        <w:t xml:space="preserve">)</w:t>
      </w:r>
      <w:r>
        <w:t xml:space="preserve">.</w:t>
      </w:r>
    </w:p>
    <w:p>
      <w:pPr>
        <w:pStyle w:val="FirstParagraph"/>
      </w:pPr>
      <w:r>
        <w:t xml:space="preserve">This case is as explained in the</w:t>
      </w:r>
      <w:r>
        <w:t xml:space="preserve"> </w:t>
      </w:r>
      <w:r>
        <w:rPr>
          <w:rStyle w:val="VerbatimChar"/>
        </w:rPr>
        <w:t xml:space="preserve">remarks</w:t>
      </w:r>
      <w:r>
        <w:t xml:space="preserve"> </w:t>
      </w:r>
      <w:r>
        <w:t xml:space="preserve">column. The string</w:t>
      </w:r>
      <w:r>
        <w:t xml:space="preserve"> </w:t>
      </w:r>
      <w:r>
        <w:t xml:space="preserve">‘</w:t>
      </w:r>
      <w:r>
        <w:t xml:space="preserve">⿱赤火</w:t>
      </w:r>
      <w:r>
        <w:t xml:space="preserve">’</w:t>
      </w:r>
      <w:r>
        <w:t xml:space="preserve"> </w:t>
      </w:r>
      <w:r>
        <w:t xml:space="preserve">is written in a slightly larger size, and if considered an</w:t>
      </w:r>
      <w:r>
        <w:t xml:space="preserve"> </w:t>
      </w:r>
      <w:r>
        <w:rPr>
          <w:rStyle w:val="VerbatimChar"/>
          <w:bCs/>
          <w:b/>
        </w:rPr>
        <w:t xml:space="preserve">Embedded Item</w:t>
      </w:r>
      <w:r>
        <w:t xml:space="preserve">, it would increase the</w:t>
      </w:r>
      <w:r>
        <w:t xml:space="preserve"> </w:t>
      </w:r>
      <w:r>
        <w:rPr>
          <w:rStyle w:val="VerbatimChar"/>
          <w:bCs/>
          <w:b/>
        </w:rPr>
        <w:t xml:space="preserve">Entry</w:t>
      </w:r>
      <w:r>
        <w:t xml:space="preserve"> </w:t>
      </w:r>
      <w:r>
        <w:t xml:space="preserve">count by one. However, since</w:t>
      </w:r>
      <w:r>
        <w:t xml:space="preserve"> </w:t>
      </w:r>
      <w:r>
        <w:rPr>
          <w:bCs/>
          <w:b/>
        </w:rPr>
        <w:t xml:space="preserve">Masamune’s Kanji Index</w:t>
      </w:r>
      <w:r>
        <w:t xml:space="preserve"> </w:t>
      </w:r>
      <w:r>
        <w:t xml:space="preserve">(正宗漢字索引,</w:t>
      </w:r>
      <w:r>
        <w:t xml:space="preserve"> </w:t>
      </w:r>
      <w:r>
        <w:rPr>
          <w:iCs/>
          <w:i/>
        </w:rPr>
        <w:t xml:space="preserve">Masamune Kanji Sakuin</w:t>
      </w:r>
      <w:r>
        <w:t xml:space="preserve">) does not list</w:t>
      </w:r>
      <w:r>
        <w:t xml:space="preserve"> </w:t>
      </w:r>
      <w:r>
        <w:t xml:space="preserve">‘</w:t>
      </w:r>
      <w:r>
        <w:t xml:space="preserve">⿱赤火</w:t>
      </w:r>
      <w:r>
        <w:t xml:space="preserve">’</w:t>
      </w:r>
      <w:r>
        <w:t xml:space="preserve"> </w:t>
      </w:r>
      <w:r>
        <w:t xml:space="preserve">as a separate</w:t>
      </w:r>
      <w:r>
        <w:t xml:space="preserve"> </w:t>
      </w:r>
      <w:r>
        <w:rPr>
          <w:rStyle w:val="VerbatimChar"/>
          <w:bCs/>
          <w:b/>
        </w:rPr>
        <w:t xml:space="preserve">Headword</w:t>
      </w:r>
      <w:r>
        <w:t xml:space="preserve">, it was treated as an annotation concerning a</w:t>
      </w:r>
      <w:r>
        <w:t xml:space="preserve"> </w:t>
      </w:r>
      <w:r>
        <w:rPr>
          <w:rStyle w:val="VerbatimChar"/>
          <w:bCs/>
          <w:b/>
        </w:rPr>
        <w:t xml:space="preserve">variant character</w:t>
      </w:r>
      <w:r>
        <w:rPr>
          <w:bCs/>
          <w:b/>
        </w:rPr>
        <w:t xml:space="preserve"> </w:t>
      </w:r>
      <w:r>
        <w:rPr>
          <w:bCs/>
          <w:b/>
        </w:rPr>
        <w:t xml:space="preserve">(</w:t>
      </w:r>
      <w:r>
        <w:rPr>
          <w:iCs/>
          <w:i/>
          <w:bCs/>
          <w:b/>
        </w:rPr>
        <w:t xml:space="preserve">itaiji</w:t>
      </w:r>
      <w:r>
        <w:rPr>
          <w:bCs/>
          <w:b/>
        </w:rPr>
        <w:t xml:space="preserve">)</w:t>
      </w:r>
      <w:r>
        <w:t xml:space="preserve"> </w:t>
      </w:r>
      <w:r>
        <w:t xml:space="preserve">within the</w:t>
      </w:r>
      <w:r>
        <w:t xml:space="preserve"> </w:t>
      </w:r>
      <w:r>
        <w:rPr>
          <w:rStyle w:val="VerbatimChar"/>
          <w:bCs/>
          <w:b/>
        </w:rPr>
        <w:t xml:space="preserve">Original Glosses</w:t>
      </w:r>
      <w:r>
        <w:t xml:space="preserve">.</w:t>
      </w:r>
    </w:p>
    <w:p>
      <w:pPr>
        <w:pStyle w:val="BodyText"/>
      </w:pPr>
      <w:r>
        <w:t xml:space="preserve">The original text for this section can be referred to on the right side of the</w:t>
      </w:r>
      <w:r>
        <w:t xml:space="preserve"> </w:t>
      </w:r>
      <w:hyperlink r:id="rId318">
        <w:r>
          <w:rPr>
            <w:rStyle w:val="Hyperlink"/>
          </w:rPr>
          <w:t xml:space="preserve">corresponding page</w:t>
        </w:r>
      </w:hyperlink>
      <w:r>
        <w:t xml:space="preserve"> </w:t>
      </w:r>
      <w:r>
        <w:t xml:space="preserve">in the National Diet Library Digital Collections.</w:t>
      </w:r>
    </w:p>
    <w:bookmarkEnd w:id="319"/>
    <w:bookmarkStart w:id="323" w:name="X36c526903cd5abb8b22e1e9102416ddd5c37829"/>
    <w:p>
      <w:pPr>
        <w:pStyle w:val="Heading3"/>
      </w:pPr>
      <w:r>
        <w:rPr>
          <w:rStyle w:val="SectionNumber"/>
        </w:rPr>
        <w:t xml:space="preserve">21.6.7</w:t>
      </w:r>
      <w:r>
        <w:tab/>
      </w:r>
      <w:r>
        <w:rPr>
          <w:iCs/>
          <w:i/>
        </w:rPr>
        <w:t xml:space="preserve">Hōjō</w:t>
      </w:r>
      <w:r>
        <w:t xml:space="preserve"> </w:t>
      </w:r>
      <w:r>
        <w:t xml:space="preserve">(法上 – First</w:t>
      </w:r>
      <w:r>
        <w:t xml:space="preserve"> </w:t>
      </w:r>
      <w:r>
        <w:t xml:space="preserve">“</w:t>
      </w:r>
      <w:r>
        <w:t xml:space="preserve">Dharma</w:t>
      </w:r>
      <w:r>
        <w:t xml:space="preserve">”</w:t>
      </w:r>
      <w:r>
        <w:t xml:space="preserve"> </w:t>
      </w:r>
      <w:r>
        <w:t xml:space="preserve">Fascicle)</w:t>
      </w:r>
    </w:p>
    <w:p>
      <w:pPr>
        <w:pStyle w:val="FirstParagraph"/>
      </w:pPr>
      <w:r>
        <w:t xml:space="preserve">For the</w:t>
      </w:r>
      <w:r>
        <w:t xml:space="preserve"> </w:t>
      </w:r>
      <w:r>
        <w:rPr>
          <w:bCs/>
          <w:b/>
        </w:rPr>
        <w:t xml:space="preserve">“</w:t>
      </w:r>
      <w:r>
        <w:rPr>
          <w:bCs/>
          <w:b/>
        </w:rPr>
        <w:t xml:space="preserve">水</w:t>
      </w:r>
      <w:r>
        <w:rPr>
          <w:bCs/>
          <w:b/>
        </w:rPr>
        <w:t xml:space="preserve">”</w:t>
      </w:r>
      <w:r>
        <w:rPr>
          <w:bCs/>
          <w:b/>
        </w:rPr>
        <w:t xml:space="preserve"> </w:t>
      </w:r>
      <w:r>
        <w:rPr>
          <w:bCs/>
          <w:b/>
        </w:rPr>
        <w:t xml:space="preserve">(Water) radical section</w:t>
      </w:r>
      <w:r>
        <w:t xml:space="preserve"> </w:t>
      </w:r>
      <w:r>
        <w:t xml:space="preserve">(水部,</w:t>
      </w:r>
      <w:r>
        <w:t xml:space="preserve"> </w:t>
      </w:r>
      <w:r>
        <w:rPr>
          <w:iCs/>
          <w:i/>
        </w:rPr>
        <w:t xml:space="preserve">Sui-bu</w:t>
      </w:r>
      <w:r>
        <w:t xml:space="preserve">), attention should be paid to the following four</w:t>
      </w:r>
      <w:r>
        <w:t xml:space="preserve"> </w:t>
      </w:r>
      <w:r>
        <w:rPr>
          <w:rStyle w:val="VerbatimChar"/>
          <w:bCs/>
          <w:b/>
        </w:rPr>
        <w:t xml:space="preserve">Entries</w:t>
      </w:r>
      <w:r>
        <w:t xml:space="preserve">, which are associated with the note</w:t>
      </w:r>
      <w:r>
        <w:t xml:space="preserve"> </w:t>
      </w:r>
      <w:r>
        <w:t xml:space="preserve">“</w:t>
      </w:r>
      <w:r>
        <w:t xml:space="preserve">此クタリ二水ノトコロニアリ</w:t>
      </w:r>
      <w:r>
        <w:t xml:space="preserve">”</w:t>
      </w:r>
      <w:r>
        <w:t xml:space="preserve"> </w:t>
      </w:r>
      <w:r>
        <w:t xml:space="preserve">(These items are in the place of 冫 [</w:t>
      </w:r>
      <w:r>
        <w:rPr>
          <w:iCs/>
          <w:i/>
        </w:rPr>
        <w:t xml:space="preserve">nisui</w:t>
      </w:r>
      <w:r>
        <w:t xml:space="preserve">, the ice radical]):</w:t>
      </w:r>
    </w:p>
    <w:p>
      <w:pPr>
        <w:numPr>
          <w:ilvl w:val="0"/>
          <w:numId w:val="1203"/>
        </w:numPr>
        <w:pStyle w:val="Compact"/>
      </w:pPr>
      <w:r>
        <w:rPr>
          <w:rStyle w:val="VerbatimChar"/>
        </w:rPr>
        <w:t xml:space="preserve">kazama_location</w:t>
      </w:r>
      <w:r>
        <w:t xml:space="preserve">: K05033810,</w:t>
      </w:r>
      <w:r>
        <w:t xml:space="preserve"> </w:t>
      </w:r>
      <w:r>
        <w:rPr>
          <w:rStyle w:val="VerbatimChar"/>
        </w:rPr>
        <w:t xml:space="preserve">hanzi_entry</w:t>
      </w:r>
      <w:r>
        <w:t xml:space="preserve">: ■,</w:t>
      </w:r>
      <w:r>
        <w:t xml:space="preserve"> </w:t>
      </w:r>
      <w:r>
        <w:rPr>
          <w:rStyle w:val="VerbatimChar"/>
        </w:rPr>
        <w:t xml:space="preserve">definition</w:t>
      </w:r>
      <w:r>
        <w:t xml:space="preserve">: 「此クタリ二水ノトコロニアリ」　フチ(LH)</w:t>
      </w:r>
      <w:r>
        <w:t xml:space="preserve"> </w:t>
      </w:r>
      <w:r>
        <w:rPr>
          <w:iCs/>
          <w:i/>
        </w:rPr>
        <w:t xml:space="preserve">(Compiler’s Note for K0503381: An</w:t>
      </w:r>
      <w:r>
        <w:rPr>
          <w:iCs/>
          <w:i/>
        </w:rPr>
        <w:t xml:space="preserve"> </w:t>
      </w:r>
      <w:r>
        <w:rPr>
          <w:rStyle w:val="VerbatimChar"/>
          <w:bCs/>
          <w:b/>
          <w:iCs/>
          <w:i/>
        </w:rPr>
        <w:t xml:space="preserve">Interpolation Mark</w:t>
      </w:r>
      <w:r>
        <w:rPr>
          <w:iCs/>
          <w:i/>
        </w:rPr>
        <w:t xml:space="preserve"> </w:t>
      </w:r>
      <w:r>
        <w:rPr>
          <w:iCs/>
          <w:i/>
        </w:rPr>
        <w:t xml:space="preserve">appears immediately before this. This note indicates that these four</w:t>
      </w:r>
      <w:r>
        <w:rPr>
          <w:iCs/>
          <w:i/>
        </w:rPr>
        <w:t xml:space="preserve"> </w:t>
      </w:r>
      <w:r>
        <w:rPr>
          <w:rStyle w:val="VerbatimChar"/>
          <w:bCs/>
          <w:b/>
          <w:iCs/>
          <w:i/>
        </w:rPr>
        <w:t xml:space="preserve">Entries</w:t>
      </w:r>
      <w:r>
        <w:rPr>
          <w:iCs/>
          <w:i/>
        </w:rPr>
        <w:t xml:space="preserve"> </w:t>
      </w:r>
      <w:r>
        <w:rPr>
          <w:iCs/>
          <w:i/>
        </w:rPr>
        <w:t xml:space="preserve">on this line should be moved to the</w:t>
      </w:r>
      <w:r>
        <w:rPr>
          <w:iCs/>
          <w:i/>
        </w:rPr>
        <w:t xml:space="preserve"> </w:t>
      </w:r>
      <w:r>
        <w:rPr>
          <w:iCs/>
          <w:i/>
        </w:rPr>
        <w:t xml:space="preserve">“</w:t>
      </w:r>
      <w:r>
        <w:rPr>
          <w:iCs/>
          <w:i/>
        </w:rPr>
        <w:t xml:space="preserve">冫</w:t>
      </w:r>
      <w:r>
        <w:rPr>
          <w:iCs/>
          <w:i/>
        </w:rPr>
        <w:t xml:space="preserve">”</w:t>
      </w:r>
      <w:r>
        <w:rPr>
          <w:iCs/>
          <w:i/>
        </w:rPr>
        <w:t xml:space="preserve"> </w:t>
      </w:r>
      <w:r>
        <w:rPr>
          <w:iCs/>
          <w:i/>
        </w:rPr>
        <w:t xml:space="preserve">(</w:t>
      </w:r>
      <w:r>
        <w:t xml:space="preserve">nisui</w:t>
      </w:r>
      <w:r>
        <w:rPr>
          <w:iCs/>
          <w:i/>
        </w:rPr>
        <w:t xml:space="preserve">) radical section. See Sakai,</w:t>
      </w:r>
      <w:r>
        <w:rPr>
          <w:iCs/>
          <w:i/>
        </w:rPr>
        <w:t xml:space="preserve"> </w:t>
      </w:r>
      <w:r>
        <w:t xml:space="preserve">Jijun* [Character Order], p. 33.)*</w:t>
      </w:r>
    </w:p>
    <w:p>
      <w:pPr>
        <w:numPr>
          <w:ilvl w:val="0"/>
          <w:numId w:val="1203"/>
        </w:numPr>
        <w:pStyle w:val="Compact"/>
      </w:pPr>
      <w:r>
        <w:rPr>
          <w:rStyle w:val="VerbatimChar"/>
        </w:rPr>
        <w:t xml:space="preserve">kazama_location</w:t>
      </w:r>
      <w:r>
        <w:t xml:space="preserve">: K05033820,</w:t>
      </w:r>
      <w:r>
        <w:t xml:space="preserve"> </w:t>
      </w:r>
      <w:r>
        <w:rPr>
          <w:rStyle w:val="VerbatimChar"/>
        </w:rPr>
        <w:t xml:space="preserve">hanzi_entry</w:t>
      </w:r>
      <w:r>
        <w:t xml:space="preserve">: 减,</w:t>
      </w:r>
      <w:r>
        <w:t xml:space="preserve"> </w:t>
      </w:r>
      <w:r>
        <w:rPr>
          <w:rStyle w:val="VerbatimChar"/>
        </w:rPr>
        <w:t xml:space="preserve">definition</w:t>
      </w:r>
      <w:r>
        <w:t xml:space="preserve">: 俗減字　オトス（LLH）　ヘク（LHV）　ヘス　和ケム</w:t>
      </w:r>
    </w:p>
    <w:p>
      <w:pPr>
        <w:numPr>
          <w:ilvl w:val="0"/>
          <w:numId w:val="1203"/>
        </w:numPr>
        <w:pStyle w:val="Compact"/>
      </w:pPr>
      <w:r>
        <w:rPr>
          <w:rStyle w:val="VerbatimChar"/>
        </w:rPr>
        <w:t xml:space="preserve">kazama_location</w:t>
      </w:r>
      <w:r>
        <w:t xml:space="preserve">: K05033830,</w:t>
      </w:r>
      <w:r>
        <w:t xml:space="preserve"> </w:t>
      </w:r>
      <w:r>
        <w:rPr>
          <w:rStyle w:val="VerbatimChar"/>
        </w:rPr>
        <w:t xml:space="preserve">hanzi_entry</w:t>
      </w:r>
      <w:r>
        <w:t xml:space="preserve">: 冸,</w:t>
      </w:r>
      <w:r>
        <w:t xml:space="preserve"> </w:t>
      </w:r>
      <w:r>
        <w:rPr>
          <w:rStyle w:val="VerbatimChar"/>
        </w:rPr>
        <w:t xml:space="preserve">definition</w:t>
      </w:r>
      <w:r>
        <w:t xml:space="preserve">: ソヽク</w:t>
      </w:r>
    </w:p>
    <w:p>
      <w:pPr>
        <w:numPr>
          <w:ilvl w:val="0"/>
          <w:numId w:val="1203"/>
        </w:numPr>
        <w:pStyle w:val="Compact"/>
      </w:pPr>
      <w:r>
        <w:rPr>
          <w:rStyle w:val="VerbatimChar"/>
        </w:rPr>
        <w:t xml:space="preserve">kazama_location</w:t>
      </w:r>
      <w:r>
        <w:t xml:space="preserve">: K05033840,</w:t>
      </w:r>
      <w:r>
        <w:t xml:space="preserve"> </w:t>
      </w:r>
      <w:r>
        <w:rPr>
          <w:rStyle w:val="VerbatimChar"/>
        </w:rPr>
        <w:t xml:space="preserve">hanzi_entry</w:t>
      </w:r>
      <w:r>
        <w:t xml:space="preserve">: ⿰冫⿰关⺉,</w:t>
      </w:r>
      <w:r>
        <w:t xml:space="preserve"> </w:t>
      </w:r>
      <w:r>
        <w:rPr>
          <w:rStyle w:val="VerbatimChar"/>
        </w:rPr>
        <w:t xml:space="preserve">definition</w:t>
      </w:r>
      <w:r>
        <w:t xml:space="preserve">: フカシ</w:t>
      </w:r>
    </w:p>
    <w:p>
      <w:pPr>
        <w:pStyle w:val="FirstParagraph"/>
      </w:pPr>
      <w:r>
        <w:t xml:space="preserve">These four</w:t>
      </w:r>
      <w:r>
        <w:t xml:space="preserve"> </w:t>
      </w:r>
      <w:r>
        <w:rPr>
          <w:rStyle w:val="VerbatimChar"/>
          <w:bCs/>
          <w:b/>
        </w:rPr>
        <w:t xml:space="preserve">Entries</w:t>
      </w:r>
      <w:r>
        <w:t xml:space="preserve"> </w:t>
      </w:r>
      <w:r>
        <w:t xml:space="preserve">have been assigned to the</w:t>
      </w:r>
      <w:r>
        <w:t xml:space="preserve"> </w:t>
      </w:r>
      <w:r>
        <w:t xml:space="preserve">“</w:t>
      </w:r>
      <w:r>
        <w:t xml:space="preserve">冫</w:t>
      </w:r>
      <w:r>
        <w:t xml:space="preserve">”</w:t>
      </w:r>
      <w:r>
        <w:t xml:space="preserve"> </w:t>
      </w:r>
      <w:r>
        <w:t xml:space="preserve">(</w:t>
      </w:r>
      <w:r>
        <w:rPr>
          <w:iCs/>
          <w:i/>
        </w:rPr>
        <w:t xml:space="preserve">nisui</w:t>
      </w:r>
      <w:r>
        <w:t xml:space="preserve">) radical section for the purpose of calculating</w:t>
      </w:r>
      <w:r>
        <w:t xml:space="preserve"> </w:t>
      </w:r>
      <w:r>
        <w:rPr>
          <w:rStyle w:val="VerbatimChar"/>
          <w:bCs/>
          <w:b/>
        </w:rPr>
        <w:t xml:space="preserve">Entry</w:t>
      </w:r>
      <w:r>
        <w:t xml:space="preserve"> </w:t>
      </w:r>
      <w:r>
        <w:t xml:space="preserve">counts.</w:t>
      </w:r>
    </w:p>
    <w:p>
      <w:pPr>
        <w:pStyle w:val="BodyText"/>
      </w:pPr>
      <w:r>
        <w:t xml:space="preserve">The original text for this section can be referred to on the left side of the</w:t>
      </w:r>
      <w:r>
        <w:t xml:space="preserve"> </w:t>
      </w:r>
      <w:hyperlink r:id="rId320">
        <w:r>
          <w:rPr>
            <w:rStyle w:val="Hyperlink"/>
          </w:rPr>
          <w:t xml:space="preserve">corresponding page</w:t>
        </w:r>
      </w:hyperlink>
      <w:r>
        <w:t xml:space="preserve"> </w:t>
      </w:r>
      <w:r>
        <w:t xml:space="preserve">in the National Diet Library Digital Collections.</w:t>
      </w:r>
    </w:p>
    <w:p>
      <w:pPr>
        <w:pStyle w:val="BodyText"/>
      </w:pPr>
      <w:r>
        <w:t xml:space="preserve">Sakai (1967) calculated 1,322</w:t>
      </w:r>
      <w:r>
        <w:t xml:space="preserve"> </w:t>
      </w:r>
      <w:r>
        <w:rPr>
          <w:rStyle w:val="VerbatimChar"/>
          <w:bCs/>
          <w:b/>
        </w:rPr>
        <w:t xml:space="preserve">Entries</w:t>
      </w:r>
      <w:r>
        <w:t xml:space="preserve"> </w:t>
      </w:r>
      <w:r>
        <w:t xml:space="preserve">for the</w:t>
      </w:r>
      <w:r>
        <w:t xml:space="preserve"> </w:t>
      </w:r>
      <w:r>
        <w:t xml:space="preserve">“</w:t>
      </w:r>
      <w:r>
        <w:t xml:space="preserve">水</w:t>
      </w:r>
      <w:r>
        <w:t xml:space="preserve">”</w:t>
      </w:r>
      <w:r>
        <w:t xml:space="preserve"> </w:t>
      </w:r>
      <w:r>
        <w:t xml:space="preserve">(Water) radical section, while Ikeda et al. (2020) calculated 1,321</w:t>
      </w:r>
      <w:r>
        <w:t xml:space="preserve"> </w:t>
      </w:r>
      <w:r>
        <w:rPr>
          <w:rStyle w:val="VerbatimChar"/>
          <w:bCs/>
          <w:b/>
        </w:rPr>
        <w:t xml:space="preserve">Entries</w:t>
      </w:r>
      <w:r>
        <w:t xml:space="preserve">, resulting in a difference of one</w:t>
      </w:r>
      <w:r>
        <w:t xml:space="preserve"> </w:t>
      </w:r>
      <w:r>
        <w:rPr>
          <w:rStyle w:val="VerbatimChar"/>
          <w:bCs/>
          <w:b/>
        </w:rPr>
        <w:t xml:space="preserve">Entry</w:t>
      </w:r>
      <w:r>
        <w:t xml:space="preserve">. Upon review, the following</w:t>
      </w:r>
      <w:r>
        <w:t xml:space="preserve"> </w:t>
      </w:r>
      <w:r>
        <w:rPr>
          <w:rStyle w:val="VerbatimChar"/>
          <w:bCs/>
          <w:b/>
        </w:rPr>
        <w:t xml:space="preserve">Entry</w:t>
      </w:r>
      <w:r>
        <w:t xml:space="preserve"> </w:t>
      </w:r>
      <w:r>
        <w:t xml:space="preserve">is a potential source of this counting discrepancy:</w:t>
      </w:r>
    </w:p>
    <w:p>
      <w:pPr>
        <w:numPr>
          <w:ilvl w:val="0"/>
          <w:numId w:val="1204"/>
        </w:numPr>
        <w:pStyle w:val="Compact"/>
      </w:pPr>
      <w:r>
        <w:rPr>
          <w:rStyle w:val="VerbatimChar"/>
        </w:rPr>
        <w:t xml:space="preserve">kazama_location</w:t>
      </w:r>
      <w:r>
        <w:t xml:space="preserve">: K05001310,</w:t>
      </w:r>
      <w:r>
        <w:t xml:space="preserve"> </w:t>
      </w:r>
      <w:r>
        <w:rPr>
          <w:rStyle w:val="VerbatimChar"/>
        </w:rPr>
        <w:t xml:space="preserve">hanzi_entry</w:t>
      </w:r>
      <w:r>
        <w:t xml:space="preserve">: 水,</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尸癸反　ミツ（HHV）　カハ　月ー（水）　ツキノサハリ　和スイ（LH）</w:t>
      </w:r>
    </w:p>
    <w:p>
      <w:pPr>
        <w:pStyle w:val="FirstParagraph"/>
      </w:pPr>
      <w:r>
        <w:t xml:space="preserve">The string</w:t>
      </w:r>
      <w:r>
        <w:t xml:space="preserve"> </w:t>
      </w:r>
      <w:r>
        <w:t xml:space="preserve">‘</w:t>
      </w:r>
      <w:r>
        <w:t xml:space="preserve">月ー（水）</w:t>
      </w:r>
      <w:r>
        <w:t xml:space="preserve">’</w:t>
      </w:r>
      <w:r>
        <w:t xml:space="preserve"> </w:t>
      </w:r>
      <w:r>
        <w:t xml:space="preserve">(moon-[substituting for] water; referring to menstruation, 月水</w:t>
      </w:r>
      <w:r>
        <w:t xml:space="preserve"> </w:t>
      </w:r>
      <w:r>
        <w:rPr>
          <w:iCs/>
          <w:i/>
        </w:rPr>
        <w:t xml:space="preserve">gessui</w:t>
      </w:r>
      <w:r>
        <w:t xml:space="preserve">) is a compound word. If this were treated as an</w:t>
      </w:r>
      <w:r>
        <w:t xml:space="preserve"> </w:t>
      </w:r>
      <w:r>
        <w:rPr>
          <w:rStyle w:val="VerbatimChar"/>
          <w:bCs/>
          <w:b/>
        </w:rPr>
        <w:t xml:space="preserve">Embedded Item</w:t>
      </w:r>
      <w:r>
        <w:rPr>
          <w:bCs/>
          <w:b/>
        </w:rPr>
        <w:t xml:space="preserve"> </w:t>
      </w:r>
      <w:r>
        <w:rPr>
          <w:bCs/>
          <w:b/>
        </w:rPr>
        <w:t xml:space="preserve">(</w:t>
      </w:r>
      <w:r>
        <w:rPr>
          <w:iCs/>
          <w:i/>
          <w:bCs/>
          <w:b/>
        </w:rPr>
        <w:t xml:space="preserve">umeji</w:t>
      </w:r>
      <w:r>
        <w:rPr>
          <w:bCs/>
          <w:b/>
        </w:rPr>
        <w:t xml:space="preserve">)</w:t>
      </w:r>
      <w:r>
        <w:t xml:space="preserve"> </w:t>
      </w:r>
      <w:r>
        <w:t xml:space="preserve">and counted as a separate</w:t>
      </w:r>
      <w:r>
        <w:t xml:space="preserve"> </w:t>
      </w:r>
      <w:r>
        <w:rPr>
          <w:rStyle w:val="VerbatimChar"/>
          <w:bCs/>
          <w:b/>
        </w:rPr>
        <w:t xml:space="preserve">Entry</w:t>
      </w:r>
      <w:r>
        <w:t xml:space="preserve">, the</w:t>
      </w:r>
      <w:r>
        <w:t xml:space="preserve"> </w:t>
      </w:r>
      <w:r>
        <w:rPr>
          <w:rStyle w:val="VerbatimChar"/>
          <w:bCs/>
          <w:b/>
        </w:rPr>
        <w:t xml:space="preserve">Entry</w:t>
      </w:r>
      <w:r>
        <w:t xml:space="preserve"> </w:t>
      </w:r>
      <w:r>
        <w:t xml:space="preserve">counts of Sakai (1967) and Ikeda et al. (2020) for this radical section would become identical. However, the subsequent part of the</w:t>
      </w:r>
      <w:r>
        <w:t xml:space="preserve"> </w:t>
      </w:r>
      <w:r>
        <w:rPr>
          <w:rStyle w:val="VerbatimChar"/>
          <w:bCs/>
          <w:b/>
        </w:rPr>
        <w:t xml:space="preserve">Original Glosses</w:t>
      </w:r>
      <w:r>
        <w:t xml:space="preserve">,</w:t>
      </w:r>
      <w:r>
        <w:t xml:space="preserve"> </w:t>
      </w:r>
      <w:r>
        <w:t xml:space="preserve">“</w:t>
      </w:r>
      <w:r>
        <w:t xml:space="preserve">和スイ（LH）</w:t>
      </w:r>
      <w:r>
        <w:t xml:space="preserve">”</w:t>
      </w:r>
      <w:r>
        <w:t xml:space="preserve"> </w:t>
      </w:r>
      <w:r>
        <w:t xml:space="preserve">(a</w:t>
      </w:r>
      <w:r>
        <w:t xml:space="preserve"> </w:t>
      </w:r>
      <w:r>
        <w:rPr>
          <w:iCs/>
          <w:i/>
        </w:rPr>
        <w:t xml:space="preserve">Wa-on</w:t>
      </w:r>
      <w:r>
        <w:t xml:space="preserve"> </w:t>
      </w:r>
      <w:r>
        <w:t xml:space="preserve">pronunciation for</w:t>
      </w:r>
      <w:r>
        <w:t xml:space="preserve"> </w:t>
      </w:r>
      <w:r>
        <w:t xml:space="preserve">‘</w:t>
      </w:r>
      <w:r>
        <w:t xml:space="preserve">水</w:t>
      </w:r>
      <w:r>
        <w:t xml:space="preserve">’</w:t>
      </w:r>
      <w:r>
        <w:t xml:space="preserve">), pertains to the main</w:t>
      </w:r>
      <w:r>
        <w:t xml:space="preserve"> </w:t>
      </w:r>
      <w:r>
        <w:rPr>
          <w:rStyle w:val="VerbatimChar"/>
          <w:bCs/>
          <w:b/>
        </w:rPr>
        <w:t xml:space="preserve">Headword</w:t>
      </w:r>
      <w:r>
        <w:t xml:space="preserve"> </w:t>
      </w:r>
      <w:r>
        <w:t xml:space="preserve">‘</w:t>
      </w:r>
      <w:r>
        <w:t xml:space="preserve">水</w:t>
      </w:r>
      <w:r>
        <w:t xml:space="preserve">’</w:t>
      </w:r>
      <w:r>
        <w:t xml:space="preserve">. Identifying an embedded</w:t>
      </w:r>
      <w:r>
        <w:t xml:space="preserve"> </w:t>
      </w:r>
      <w:r>
        <w:rPr>
          <w:rStyle w:val="VerbatimChar"/>
          <w:bCs/>
          <w:b/>
        </w:rPr>
        <w:t xml:space="preserve">Entry</w:t>
      </w:r>
      <w:r>
        <w:t xml:space="preserve"> </w:t>
      </w:r>
      <w:r>
        <w:t xml:space="preserve">in a way that interrupts the glosses for the main</w:t>
      </w:r>
      <w:r>
        <w:t xml:space="preserve"> </w:t>
      </w:r>
      <w:r>
        <w:rPr>
          <w:rStyle w:val="VerbatimChar"/>
          <w:bCs/>
          <w:b/>
        </w:rPr>
        <w:t xml:space="preserve">Headword</w:t>
      </w:r>
      <w:r>
        <w:t xml:space="preserve"> </w:t>
      </w:r>
      <w:r>
        <w:t xml:space="preserve">is problematic. Therefore, this</w:t>
      </w:r>
      <w:r>
        <w:t xml:space="preserve"> </w:t>
      </w:r>
      <w:r>
        <w:rPr>
          <w:rStyle w:val="VerbatimChar"/>
          <w:bCs/>
          <w:b/>
        </w:rPr>
        <w:t xml:space="preserve">Entry</w:t>
      </w:r>
      <w:r>
        <w:t xml:space="preserve"> </w:t>
      </w:r>
      <w:r>
        <w:t xml:space="preserve">(for</w:t>
      </w:r>
      <w:r>
        <w:t xml:space="preserve"> </w:t>
      </w:r>
      <w:r>
        <w:t xml:space="preserve">‘</w:t>
      </w:r>
      <w:r>
        <w:t xml:space="preserve">水</w:t>
      </w:r>
      <w:r>
        <w:t xml:space="preserve">’</w:t>
      </w:r>
      <w:r>
        <w:t xml:space="preserve">) is maintained as a single</w:t>
      </w:r>
      <w:r>
        <w:t xml:space="preserve"> </w:t>
      </w:r>
      <w:r>
        <w:rPr>
          <w:rStyle w:val="VerbatimChar"/>
          <w:bCs/>
          <w:b/>
        </w:rPr>
        <w:t xml:space="preserve">Entry</w:t>
      </w:r>
      <w:r>
        <w:t xml:space="preserve"> </w:t>
      </w:r>
      <w:r>
        <w:t xml:space="preserve">as per Ikeda et al. (2020).</w:t>
      </w:r>
    </w:p>
    <w:p>
      <w:pPr>
        <w:pStyle w:val="BodyText"/>
      </w:pPr>
      <w:r>
        <w:t xml:space="preserve">The original text for this section can be referred to on the left side of the</w:t>
      </w:r>
      <w:r>
        <w:t xml:space="preserve"> </w:t>
      </w:r>
      <w:hyperlink r:id="rId321">
        <w:r>
          <w:rPr>
            <w:rStyle w:val="Hyperlink"/>
          </w:rPr>
          <w:t xml:space="preserve">corresponding page</w:t>
        </w:r>
      </w:hyperlink>
      <w:r>
        <w:t xml:space="preserve"> </w:t>
      </w:r>
      <w:r>
        <w:t xml:space="preserve">in the National Diet Library Digital Collections.</w:t>
      </w:r>
    </w:p>
    <w:p>
      <w:pPr>
        <w:pStyle w:val="BodyText"/>
      </w:pPr>
      <w:r>
        <w:t xml:space="preserve">For the</w:t>
      </w:r>
      <w:r>
        <w:t xml:space="preserve"> </w:t>
      </w:r>
      <w:r>
        <w:rPr>
          <w:bCs/>
          <w:b/>
        </w:rPr>
        <w:t xml:space="preserve">“</w:t>
      </w:r>
      <w:r>
        <w:rPr>
          <w:bCs/>
          <w:b/>
        </w:rPr>
        <w:t xml:space="preserve">足</w:t>
      </w:r>
      <w:r>
        <w:rPr>
          <w:bCs/>
          <w:b/>
        </w:rPr>
        <w:t xml:space="preserve">”</w:t>
      </w:r>
      <w:r>
        <w:rPr>
          <w:bCs/>
          <w:b/>
        </w:rPr>
        <w:t xml:space="preserve"> </w:t>
      </w:r>
      <w:r>
        <w:rPr>
          <w:bCs/>
          <w:b/>
        </w:rPr>
        <w:t xml:space="preserve">(Foot) radical section</w:t>
      </w:r>
      <w:r>
        <w:t xml:space="preserve"> </w:t>
      </w:r>
      <w:r>
        <w:t xml:space="preserve">(足部,</w:t>
      </w:r>
      <w:r>
        <w:t xml:space="preserve"> </w:t>
      </w:r>
      <w:r>
        <w:rPr>
          <w:iCs/>
          <w:i/>
        </w:rPr>
        <w:t xml:space="preserve">Sokubu</w:t>
      </w:r>
      <w:r>
        <w:t xml:space="preserve">), Sakai (1967) counts 494</w:t>
      </w:r>
      <w:r>
        <w:t xml:space="preserve"> </w:t>
      </w:r>
      <w:r>
        <w:rPr>
          <w:rStyle w:val="VerbatimChar"/>
          <w:bCs/>
          <w:b/>
        </w:rPr>
        <w:t xml:space="preserve">Entries</w:t>
      </w:r>
      <w:r>
        <w:t xml:space="preserve">, while Ikeda et al. (2020) count 493</w:t>
      </w:r>
      <w:r>
        <w:t xml:space="preserve"> </w:t>
      </w:r>
      <w:r>
        <w:rPr>
          <w:rStyle w:val="VerbatimChar"/>
          <w:bCs/>
          <w:b/>
        </w:rPr>
        <w:t xml:space="preserve">Entries</w:t>
      </w:r>
      <w:r>
        <w:t xml:space="preserve">, a difference of one</w:t>
      </w:r>
      <w:r>
        <w:t xml:space="preserve"> </w:t>
      </w:r>
      <w:r>
        <w:rPr>
          <w:rStyle w:val="VerbatimChar"/>
          <w:bCs/>
          <w:b/>
        </w:rPr>
        <w:t xml:space="preserve">Entry</w:t>
      </w:r>
      <w:r>
        <w:t xml:space="preserve">. The following instance is likely related to this discrepancy:</w:t>
      </w:r>
    </w:p>
    <w:p>
      <w:pPr>
        <w:numPr>
          <w:ilvl w:val="0"/>
          <w:numId w:val="1205"/>
        </w:numPr>
        <w:pStyle w:val="Compact"/>
      </w:pPr>
      <w:r>
        <w:rPr>
          <w:rStyle w:val="VerbatimChar"/>
        </w:rPr>
        <w:t xml:space="preserve">kazama_location</w:t>
      </w:r>
      <w:r>
        <w:t xml:space="preserve">: K05076311,</w:t>
      </w:r>
      <w:r>
        <w:t xml:space="preserve"> </w:t>
      </w:r>
      <w:r>
        <w:rPr>
          <w:rStyle w:val="VerbatimChar"/>
        </w:rPr>
        <w:t xml:space="preserve">hanzi_entry</w:t>
      </w:r>
      <w:r>
        <w:t xml:space="preserve">: 踟／ー（蹰）,</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上馳(L)　又智音　或躊字　タチヤスラフ　オソシ,</w:t>
      </w:r>
      <w:r>
        <w:t xml:space="preserve"> </w:t>
      </w:r>
      <w:r>
        <w:rPr>
          <w:rStyle w:val="VerbatimChar"/>
        </w:rPr>
        <w:t xml:space="preserve">remarks</w:t>
      </w:r>
      <w:r>
        <w:t xml:space="preserve"> </w:t>
      </w:r>
      <w:r>
        <w:t xml:space="preserve">(</w:t>
      </w:r>
      <w:r>
        <w:rPr>
          <w:rStyle w:val="VerbatimChar"/>
          <w:bCs/>
          <w:b/>
        </w:rPr>
        <w:t xml:space="preserve">Compiler's Remark</w:t>
      </w:r>
      <w:r>
        <w:t xml:space="preserve">): Ikeda’s note:</w:t>
      </w:r>
      <w:r>
        <w:t xml:space="preserve"> </w:t>
      </w:r>
      <w:r>
        <w:t xml:space="preserve">“</w:t>
      </w:r>
      <w:r>
        <w:t xml:space="preserve">躊字</w:t>
      </w:r>
      <w:r>
        <w:t xml:space="preserve">”</w:t>
      </w:r>
      <w:r>
        <w:t xml:space="preserve"> </w:t>
      </w:r>
      <w:r>
        <w:t xml:space="preserve">(the characters</w:t>
      </w:r>
      <w:r>
        <w:t xml:space="preserve"> </w:t>
      </w:r>
      <w:r>
        <w:t xml:space="preserve">‘</w:t>
      </w:r>
      <w:r>
        <w:t xml:space="preserve">躊</w:t>
      </w:r>
      <w:r>
        <w:t xml:space="preserve">’</w:t>
      </w:r>
      <w:r>
        <w:t xml:space="preserve"> </w:t>
      </w:r>
      <w:r>
        <w:t xml:space="preserve">and</w:t>
      </w:r>
      <w:r>
        <w:t xml:space="preserve"> </w:t>
      </w:r>
      <w:r>
        <w:t xml:space="preserve">‘</w:t>
      </w:r>
      <w:r>
        <w:t xml:space="preserve">字</w:t>
      </w:r>
      <w:r>
        <w:t xml:space="preserve">’</w:t>
      </w:r>
      <w:r>
        <w:t xml:space="preserve">) is written in a large size. It is considered part of the</w:t>
      </w:r>
      <w:r>
        <w:t xml:space="preserve"> </w:t>
      </w:r>
      <w:r>
        <w:rPr>
          <w:rStyle w:val="VerbatimChar"/>
          <w:bCs/>
          <w:b/>
        </w:rPr>
        <w:t xml:space="preserve">Original Glosses</w:t>
      </w:r>
      <w:r>
        <w:t xml:space="preserve">.</w:t>
      </w:r>
    </w:p>
    <w:p>
      <w:pPr>
        <w:pStyle w:val="FirstParagraph"/>
      </w:pPr>
      <w:r>
        <w:t xml:space="preserve">As noted in the</w:t>
      </w:r>
      <w:r>
        <w:t xml:space="preserve"> </w:t>
      </w:r>
      <w:r>
        <w:rPr>
          <w:rStyle w:val="VerbatimChar"/>
        </w:rPr>
        <w:t xml:space="preserve">remarks</w:t>
      </w:r>
      <w:r>
        <w:t xml:space="preserve"> </w:t>
      </w:r>
      <w:r>
        <w:t xml:space="preserve">(the</w:t>
      </w:r>
      <w:r>
        <w:t xml:space="preserve"> </w:t>
      </w:r>
      <w:r>
        <w:rPr>
          <w:rStyle w:val="VerbatimChar"/>
          <w:bCs/>
          <w:b/>
        </w:rPr>
        <w:t xml:space="preserve">Compiler's Remark</w:t>
      </w:r>
      <w:r>
        <w:t xml:space="preserve">), one might consider counting</w:t>
      </w:r>
      <w:r>
        <w:t xml:space="preserve"> </w:t>
      </w:r>
      <w:r>
        <w:t xml:space="preserve">“</w:t>
      </w:r>
      <w:r>
        <w:t xml:space="preserve">躊字</w:t>
      </w:r>
      <w:r>
        <w:t xml:space="preserve">”</w:t>
      </w:r>
      <w:r>
        <w:t xml:space="preserve"> </w:t>
      </w:r>
      <w:r>
        <w:t xml:space="preserve">(the characters</w:t>
      </w:r>
      <w:r>
        <w:t xml:space="preserve"> </w:t>
      </w:r>
      <w:r>
        <w:t xml:space="preserve">‘</w:t>
      </w:r>
      <w:r>
        <w:t xml:space="preserve">躊</w:t>
      </w:r>
      <w:r>
        <w:t xml:space="preserve">’</w:t>
      </w:r>
      <w:r>
        <w:t xml:space="preserve"> </w:t>
      </w:r>
      <w:r>
        <w:t xml:space="preserve">and</w:t>
      </w:r>
      <w:r>
        <w:t xml:space="preserve"> </w:t>
      </w:r>
      <w:r>
        <w:t xml:space="preserve">‘</w:t>
      </w:r>
      <w:r>
        <w:t xml:space="preserve">字</w:t>
      </w:r>
      <w:r>
        <w:t xml:space="preserve">’</w:t>
      </w:r>
      <w:r>
        <w:t xml:space="preserve"> </w:t>
      </w:r>
      <w:r>
        <w:t xml:space="preserve">found in the gloss above) as a separate</w:t>
      </w:r>
      <w:r>
        <w:t xml:space="preserve"> </w:t>
      </w:r>
      <w:r>
        <w:rPr>
          <w:rStyle w:val="VerbatimChar"/>
          <w:bCs/>
          <w:b/>
        </w:rPr>
        <w:t xml:space="preserve">Entry</w:t>
      </w:r>
      <w:r>
        <w:t xml:space="preserve">. However, the character</w:t>
      </w:r>
      <w:r>
        <w:t xml:space="preserve"> </w:t>
      </w:r>
      <w:r>
        <w:t xml:space="preserve">‘</w:t>
      </w:r>
      <w:r>
        <w:t xml:space="preserve">躊</w:t>
      </w:r>
      <w:r>
        <w:t xml:space="preserve">’</w:t>
      </w:r>
      <w:r>
        <w:t xml:space="preserve"> </w:t>
      </w:r>
      <w:r>
        <w:t xml:space="preserve">is itself listed as the</w:t>
      </w:r>
      <w:r>
        <w:t xml:space="preserve"> </w:t>
      </w:r>
      <w:r>
        <w:rPr>
          <w:rStyle w:val="VerbatimChar"/>
          <w:bCs/>
          <w:b/>
        </w:rPr>
        <w:t xml:space="preserve">Headword</w:t>
      </w:r>
      <w:r>
        <w:t xml:space="preserve"> </w:t>
      </w:r>
      <w:r>
        <w:t xml:space="preserve">of the very next</w:t>
      </w:r>
      <w:r>
        <w:t xml:space="preserve"> </w:t>
      </w:r>
      <w:r>
        <w:rPr>
          <w:rStyle w:val="VerbatimChar"/>
          <w:bCs/>
          <w:b/>
        </w:rPr>
        <w:t xml:space="preserve">Entry</w:t>
      </w:r>
      <w:r>
        <w:t xml:space="preserve">:</w:t>
      </w:r>
    </w:p>
    <w:p>
      <w:pPr>
        <w:numPr>
          <w:ilvl w:val="0"/>
          <w:numId w:val="1206"/>
        </w:numPr>
        <w:pStyle w:val="Compact"/>
      </w:pPr>
      <w:r>
        <w:rPr>
          <w:rStyle w:val="VerbatimChar"/>
        </w:rPr>
        <w:t xml:space="preserve">kazama_location</w:t>
      </w:r>
      <w:r>
        <w:t xml:space="preserve">: K05076330,</w:t>
      </w:r>
      <w:r>
        <w:t xml:space="preserve"> </w:t>
      </w:r>
      <w:r>
        <w:rPr>
          <w:rStyle w:val="VerbatimChar"/>
        </w:rPr>
        <w:t xml:space="preserve">hanzi_entry</w:t>
      </w:r>
      <w:r>
        <w:t xml:space="preserve">: 躊,</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音儔　タチモトホル　タチヤスラフ（LH____）</w:t>
      </w:r>
    </w:p>
    <w:p>
      <w:pPr>
        <w:pStyle w:val="FirstParagraph"/>
      </w:pPr>
      <w:r>
        <w:t xml:space="preserve">Therefore, rather than considering</w:t>
      </w:r>
      <w:r>
        <w:t xml:space="preserve"> </w:t>
      </w:r>
      <w:r>
        <w:t xml:space="preserve">‘</w:t>
      </w:r>
      <w:r>
        <w:t xml:space="preserve">躊</w:t>
      </w:r>
      <w:r>
        <w:t xml:space="preserve">’</w:t>
      </w:r>
      <w:r>
        <w:t xml:space="preserve"> </w:t>
      </w:r>
      <w:r>
        <w:t xml:space="preserve">to be a duplicated</w:t>
      </w:r>
      <w:r>
        <w:t xml:space="preserve"> </w:t>
      </w:r>
      <w:r>
        <w:rPr>
          <w:rStyle w:val="VerbatimChar"/>
          <w:bCs/>
          <w:b/>
        </w:rPr>
        <w:t xml:space="preserve">Headword</w:t>
      </w:r>
      <w:r>
        <w:t xml:space="preserve"> </w:t>
      </w:r>
      <w:r>
        <w:t xml:space="preserve">(or</w:t>
      </w:r>
      <w:r>
        <w:t xml:space="preserve"> </w:t>
      </w:r>
      <w:r>
        <w:t xml:space="preserve">“</w:t>
      </w:r>
      <w:r>
        <w:t xml:space="preserve">躊字</w:t>
      </w:r>
      <w:r>
        <w:t xml:space="preserve">”</w:t>
      </w:r>
      <w:r>
        <w:t xml:space="preserve"> </w:t>
      </w:r>
      <w:r>
        <w:t xml:space="preserve">to be an independent embedded</w:t>
      </w:r>
      <w:r>
        <w:t xml:space="preserve"> </w:t>
      </w:r>
      <w:r>
        <w:rPr>
          <w:rStyle w:val="VerbatimChar"/>
          <w:bCs/>
          <w:b/>
        </w:rPr>
        <w:t xml:space="preserve">Entry</w:t>
      </w:r>
      <w:r>
        <w:t xml:space="preserve">), it is considered more appropriate to interpret</w:t>
      </w:r>
      <w:r>
        <w:t xml:space="preserve"> </w:t>
      </w:r>
      <w:r>
        <w:t xml:space="preserve">“</w:t>
      </w:r>
      <w:r>
        <w:t xml:space="preserve">躊字</w:t>
      </w:r>
      <w:r>
        <w:t xml:space="preserve">”</w:t>
      </w:r>
      <w:r>
        <w:t xml:space="preserve"> </w:t>
      </w:r>
      <w:r>
        <w:t xml:space="preserve">in the first instance as characters within the</w:t>
      </w:r>
      <w:r>
        <w:t xml:space="preserve"> </w:t>
      </w:r>
      <w:r>
        <w:rPr>
          <w:rStyle w:val="VerbatimChar"/>
          <w:bCs/>
          <w:b/>
        </w:rPr>
        <w:t xml:space="preserve">Original Glosses</w:t>
      </w:r>
      <w:r>
        <w:t xml:space="preserve"> </w:t>
      </w:r>
      <w:r>
        <w:t xml:space="preserve">that were simply written in a large size.</w:t>
      </w:r>
    </w:p>
    <w:p>
      <w:pPr>
        <w:pStyle w:val="BodyText"/>
      </w:pPr>
      <w:r>
        <w:t xml:space="preserve">The original text for this section can be referred to on the right side of the</w:t>
      </w:r>
      <w:r>
        <w:t xml:space="preserve"> </w:t>
      </w:r>
      <w:hyperlink r:id="rId322">
        <w:r>
          <w:rPr>
            <w:rStyle w:val="Hyperlink"/>
          </w:rPr>
          <w:t xml:space="preserve">corresponding page</w:t>
        </w:r>
      </w:hyperlink>
      <w:r>
        <w:t xml:space="preserve"> </w:t>
      </w:r>
      <w:r>
        <w:t xml:space="preserve">in the National Diet Library Digital Collections.</w:t>
      </w:r>
    </w:p>
    <w:bookmarkEnd w:id="323"/>
    <w:bookmarkStart w:id="326" w:name="X94082d30d515f417b7bd6b6bed10d405868db7e"/>
    <w:p>
      <w:pPr>
        <w:pStyle w:val="Heading3"/>
      </w:pPr>
      <w:r>
        <w:rPr>
          <w:rStyle w:val="SectionNumber"/>
        </w:rPr>
        <w:t xml:space="preserve">21.6.8</w:t>
      </w:r>
      <w:r>
        <w:tab/>
      </w:r>
      <w:r>
        <w:rPr>
          <w:iCs/>
          <w:i/>
        </w:rPr>
        <w:t xml:space="preserve">Hōchū</w:t>
      </w:r>
      <w:r>
        <w:t xml:space="preserve"> </w:t>
      </w:r>
      <w:r>
        <w:t xml:space="preserve">(法中 – Middle</w:t>
      </w:r>
      <w:r>
        <w:t xml:space="preserve"> </w:t>
      </w:r>
      <w:r>
        <w:t xml:space="preserve">“</w:t>
      </w:r>
      <w:r>
        <w:t xml:space="preserve">Dharma</w:t>
      </w:r>
      <w:r>
        <w:t xml:space="preserve">”</w:t>
      </w:r>
      <w:r>
        <w:t xml:space="preserve"> </w:t>
      </w:r>
      <w:r>
        <w:t xml:space="preserve">Fascicle)</w:t>
      </w:r>
    </w:p>
    <w:p>
      <w:pPr>
        <w:pStyle w:val="FirstParagraph"/>
      </w:pPr>
      <w:r>
        <w:t xml:space="preserve">In the</w:t>
      </w:r>
      <w:r>
        <w:t xml:space="preserve"> </w:t>
      </w:r>
      <w:r>
        <w:rPr>
          <w:iCs/>
          <w:i/>
          <w:bCs/>
          <w:b/>
        </w:rPr>
        <w:t xml:space="preserve">Hōchū</w:t>
      </w:r>
      <w:r>
        <w:t xml:space="preserve"> </w:t>
      </w:r>
      <w:r>
        <w:t xml:space="preserve">section, discrepancies in</w:t>
      </w:r>
      <w:r>
        <w:t xml:space="preserve"> </w:t>
      </w:r>
      <w:r>
        <w:rPr>
          <w:rStyle w:val="VerbatimChar"/>
          <w:bCs/>
          <w:b/>
        </w:rPr>
        <w:t xml:space="preserve">Entry</w:t>
      </w:r>
      <w:r>
        <w:t xml:space="preserve"> </w:t>
      </w:r>
      <w:r>
        <w:t xml:space="preserve">counts between Sakai (1967) and Ikeda et al. (2020) are found for the following three radical sections. The figures presented in the table below are from Ikeda et al. (2020):</w:t>
      </w:r>
    </w:p>
    <w:tbl>
      <w:tblPr>
        <w:tblStyle w:val="Table"/>
        <w:tblW w:type="pct" w:w="5000"/>
        <w:tblLook w:firstRow="1" w:lastRow="0" w:firstColumn="0" w:lastColumn="0" w:noHBand="0" w:noVBand="0" w:val="0020"/>
        <w:jc w:val="start"/>
      </w:tblPr>
      <w:tblGrid>
        <w:gridCol w:w="408"/>
        <w:gridCol w:w="1061"/>
        <w:gridCol w:w="653"/>
        <w:gridCol w:w="653"/>
        <w:gridCol w:w="653"/>
        <w:gridCol w:w="653"/>
        <w:gridCol w:w="653"/>
        <w:gridCol w:w="734"/>
        <w:gridCol w:w="1306"/>
        <w:gridCol w:w="1143"/>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051</w:t>
            </w:r>
          </w:p>
        </w:tc>
        <w:tc>
          <w:tcPr/>
          <w:p>
            <w:pPr>
              <w:pStyle w:val="Compact"/>
              <w:jc w:val="left"/>
            </w:pPr>
            <w:r>
              <w:t xml:space="preserve">石 (Stone)</w:t>
            </w:r>
          </w:p>
        </w:tc>
        <w:tc>
          <w:tcPr/>
          <w:p>
            <w:pPr>
              <w:pStyle w:val="Compact"/>
              <w:jc w:val="right"/>
            </w:pPr>
            <w:r>
              <w:t xml:space="preserve">308</w:t>
            </w:r>
          </w:p>
        </w:tc>
        <w:tc>
          <w:tcPr/>
          <w:p>
            <w:pPr>
              <w:pStyle w:val="Compact"/>
              <w:jc w:val="right"/>
            </w:pPr>
            <w:r>
              <w:t xml:space="preserve">57</w:t>
            </w:r>
          </w:p>
        </w:tc>
        <w:tc>
          <w:tcPr/>
          <w:p>
            <w:pPr>
              <w:pStyle w:val="Compact"/>
              <w:jc w:val="right"/>
            </w:pPr>
            <w:r>
              <w:t xml:space="preserve">5</w:t>
            </w:r>
          </w:p>
        </w:tc>
        <w:tc>
          <w:tcPr/>
          <w:p>
            <w:pPr>
              <w:pStyle w:val="Compact"/>
              <w:jc w:val="right"/>
            </w:pPr>
            <w:r>
              <w:t xml:space="preserve">3</w:t>
            </w:r>
          </w:p>
        </w:tc>
        <w:tc>
          <w:tcPr/>
          <w:p>
            <w:pPr>
              <w:pStyle w:val="Compact"/>
              <w:jc w:val="right"/>
            </w:pPr>
            <w:r>
              <w:t xml:space="preserve">0</w:t>
            </w:r>
          </w:p>
        </w:tc>
        <w:tc>
          <w:tcPr/>
          <w:p>
            <w:pPr>
              <w:pStyle w:val="Compact"/>
              <w:jc w:val="right"/>
            </w:pPr>
            <w:r>
              <w:t xml:space="preserve">3</w:t>
            </w:r>
          </w:p>
        </w:tc>
        <w:tc>
          <w:tcPr/>
          <w:p>
            <w:pPr>
              <w:pStyle w:val="Compact"/>
              <w:jc w:val="right"/>
            </w:pPr>
            <w:r>
              <w:t xml:space="preserve">376</w:t>
            </w:r>
          </w:p>
        </w:tc>
        <w:tc>
          <w:tcPr/>
          <w:p>
            <w:pPr>
              <w:pStyle w:val="Compact"/>
              <w:jc w:val="right"/>
            </w:pPr>
            <w:r>
              <w:t xml:space="preserve">472</w:t>
            </w:r>
          </w:p>
        </w:tc>
      </w:tr>
      <w:tr>
        <w:tc>
          <w:tcPr/>
          <w:p>
            <w:pPr>
              <w:pStyle w:val="Compact"/>
              <w:jc w:val="left"/>
            </w:pPr>
            <w:r>
              <w:t xml:space="preserve">052</w:t>
            </w:r>
          </w:p>
        </w:tc>
        <w:tc>
          <w:tcPr/>
          <w:p>
            <w:pPr>
              <w:pStyle w:val="Compact"/>
              <w:jc w:val="left"/>
            </w:pPr>
            <w:r>
              <w:t xml:space="preserve">玉 (Jade)</w:t>
            </w:r>
          </w:p>
        </w:tc>
        <w:tc>
          <w:tcPr/>
          <w:p>
            <w:pPr>
              <w:pStyle w:val="Compact"/>
              <w:jc w:val="right"/>
            </w:pPr>
            <w:r>
              <w:t xml:space="preserve">294</w:t>
            </w:r>
          </w:p>
        </w:tc>
        <w:tc>
          <w:tcPr/>
          <w:p>
            <w:pPr>
              <w:pStyle w:val="Compact"/>
              <w:jc w:val="right"/>
            </w:pPr>
            <w:r>
              <w:t xml:space="preserve">76</w:t>
            </w:r>
          </w:p>
        </w:tc>
        <w:tc>
          <w:tcPr/>
          <w:p>
            <w:pPr>
              <w:pStyle w:val="Compact"/>
              <w:jc w:val="right"/>
            </w:pPr>
            <w:r>
              <w:t xml:space="preserve">8</w:t>
            </w:r>
          </w:p>
        </w:tc>
        <w:tc>
          <w:tcPr/>
          <w:p>
            <w:pPr>
              <w:pStyle w:val="Compact"/>
              <w:jc w:val="right"/>
            </w:pPr>
            <w:r>
              <w:t xml:space="preserve">1</w:t>
            </w:r>
          </w:p>
        </w:tc>
        <w:tc>
          <w:tcPr/>
          <w:p>
            <w:pPr>
              <w:pStyle w:val="Compact"/>
              <w:jc w:val="right"/>
            </w:pPr>
            <w:r>
              <w:t xml:space="preserve">3</w:t>
            </w:r>
          </w:p>
        </w:tc>
        <w:tc>
          <w:tcPr/>
          <w:p>
            <w:pPr>
              <w:pStyle w:val="Compact"/>
              <w:jc w:val="right"/>
            </w:pPr>
            <w:r>
              <w:t xml:space="preserve">1</w:t>
            </w:r>
          </w:p>
        </w:tc>
        <w:tc>
          <w:tcPr/>
          <w:p>
            <w:pPr>
              <w:pStyle w:val="Compact"/>
              <w:jc w:val="right"/>
            </w:pPr>
            <w:r>
              <w:t xml:space="preserve">383</w:t>
            </w:r>
          </w:p>
        </w:tc>
        <w:tc>
          <w:tcPr/>
          <w:p>
            <w:pPr>
              <w:pStyle w:val="Compact"/>
              <w:jc w:val="right"/>
            </w:pPr>
            <w:r>
              <w:t xml:space="preserve">496</w:t>
            </w:r>
          </w:p>
        </w:tc>
      </w:tr>
      <w:tr>
        <w:tc>
          <w:tcPr/>
          <w:p>
            <w:pPr>
              <w:pStyle w:val="Compact"/>
              <w:jc w:val="left"/>
            </w:pPr>
            <w:r>
              <w:t xml:space="preserve">057</w:t>
            </w:r>
          </w:p>
        </w:tc>
        <w:tc>
          <w:tcPr/>
          <w:p>
            <w:pPr>
              <w:pStyle w:val="Compact"/>
              <w:jc w:val="left"/>
            </w:pPr>
            <w:r>
              <w:t xml:space="preserve">心 (Heart)</w:t>
            </w:r>
          </w:p>
        </w:tc>
        <w:tc>
          <w:tcPr/>
          <w:p>
            <w:pPr>
              <w:pStyle w:val="Compact"/>
              <w:jc w:val="right"/>
            </w:pPr>
            <w:r>
              <w:t xml:space="preserve">730</w:t>
            </w:r>
          </w:p>
        </w:tc>
        <w:tc>
          <w:tcPr/>
          <w:p>
            <w:pPr>
              <w:pStyle w:val="Compact"/>
              <w:jc w:val="right"/>
            </w:pPr>
            <w:r>
              <w:t xml:space="preserve">161</w:t>
            </w:r>
          </w:p>
        </w:tc>
        <w:tc>
          <w:tcPr/>
          <w:p>
            <w:pPr>
              <w:pStyle w:val="Compact"/>
              <w:jc w:val="right"/>
            </w:pPr>
            <w:r>
              <w:t xml:space="preserve">13</w:t>
            </w:r>
          </w:p>
        </w:tc>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c>
          <w:tcPr/>
          <w:p>
            <w:pPr>
              <w:pStyle w:val="Compact"/>
              <w:jc w:val="right"/>
            </w:pPr>
            <w:r>
              <w:t xml:space="preserve">908</w:t>
            </w:r>
          </w:p>
        </w:tc>
        <w:tc>
          <w:tcPr/>
          <w:p>
            <w:pPr>
              <w:pStyle w:val="Compact"/>
              <w:jc w:val="right"/>
            </w:pPr>
            <w:r>
              <w:t xml:space="preserve">1,111</w:t>
            </w:r>
          </w:p>
        </w:tc>
      </w:tr>
    </w:tbl>
    <w:p>
      <w:pPr>
        <w:pStyle w:val="BodyText"/>
      </w:pPr>
      <w:r>
        <w:t xml:space="preserve">For the</w:t>
      </w:r>
      <w:r>
        <w:t xml:space="preserve"> </w:t>
      </w:r>
      <w:r>
        <w:rPr>
          <w:bCs/>
          <w:b/>
        </w:rPr>
        <w:t xml:space="preserve">“</w:t>
      </w:r>
      <w:r>
        <w:rPr>
          <w:bCs/>
          <w:b/>
        </w:rPr>
        <w:t xml:space="preserve">石</w:t>
      </w:r>
      <w:r>
        <w:rPr>
          <w:bCs/>
          <w:b/>
        </w:rPr>
        <w:t xml:space="preserve">”</w:t>
      </w:r>
      <w:r>
        <w:rPr>
          <w:bCs/>
          <w:b/>
        </w:rPr>
        <w:t xml:space="preserve"> </w:t>
      </w:r>
      <w:r>
        <w:rPr>
          <w:bCs/>
          <w:b/>
        </w:rPr>
        <w:t xml:space="preserve">(Stone) radical section</w:t>
      </w:r>
      <w:r>
        <w:t xml:space="preserve"> </w:t>
      </w:r>
      <w:r>
        <w:t xml:space="preserve">(石部,</w:t>
      </w:r>
      <w:r>
        <w:t xml:space="preserve"> </w:t>
      </w:r>
      <w:r>
        <w:rPr>
          <w:iCs/>
          <w:i/>
        </w:rPr>
        <w:t xml:space="preserve">Sekibu</w:t>
      </w:r>
      <w:r>
        <w:t xml:space="preserve">), Sakai (1967) counts 375</w:t>
      </w:r>
      <w:r>
        <w:t xml:space="preserve"> </w:t>
      </w:r>
      <w:r>
        <w:rPr>
          <w:rStyle w:val="VerbatimChar"/>
          <w:bCs/>
          <w:b/>
        </w:rPr>
        <w:t xml:space="preserve">Entries</w:t>
      </w:r>
      <w:r>
        <w:t xml:space="preserve">, while Ikeda et al. (2020) initially counted 376</w:t>
      </w:r>
      <w:r>
        <w:t xml:space="preserve"> </w:t>
      </w:r>
      <w:r>
        <w:rPr>
          <w:rStyle w:val="VerbatimChar"/>
          <w:bCs/>
          <w:b/>
        </w:rPr>
        <w:t xml:space="preserve">Entries</w:t>
      </w:r>
      <w:r>
        <w:t xml:space="preserve">, a difference of one</w:t>
      </w:r>
      <w:r>
        <w:t xml:space="preserve"> </w:t>
      </w:r>
      <w:r>
        <w:rPr>
          <w:rStyle w:val="VerbatimChar"/>
          <w:bCs/>
          <w:b/>
        </w:rPr>
        <w:t xml:space="preserve">Entry</w:t>
      </w:r>
      <w:r>
        <w:t xml:space="preserve">. This discrepancy is likely related to the following instance:</w:t>
      </w:r>
    </w:p>
    <w:p>
      <w:pPr>
        <w:numPr>
          <w:ilvl w:val="0"/>
          <w:numId w:val="1207"/>
        </w:numPr>
        <w:pStyle w:val="Compact"/>
      </w:pPr>
      <w:r>
        <w:rPr>
          <w:rStyle w:val="VerbatimChar"/>
        </w:rPr>
        <w:t xml:space="preserve">kazama_location</w:t>
      </w:r>
      <w:r>
        <w:t xml:space="preserve">: K06001320,</w:t>
      </w:r>
      <w:r>
        <w:t xml:space="preserve"> </w:t>
      </w:r>
      <w:r>
        <w:rPr>
          <w:rStyle w:val="VerbatimChar"/>
        </w:rPr>
        <w:t xml:space="preserve">hanzi_entry</w:t>
      </w:r>
      <w:r>
        <w:t xml:space="preserve">: ⿸𠂋帀,</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古　△在下</w:t>
      </w:r>
    </w:p>
    <w:p>
      <w:pPr>
        <w:pStyle w:val="FirstParagraph"/>
      </w:pPr>
      <w:r>
        <w:t xml:space="preserve">In the</w:t>
      </w:r>
      <w:r>
        <w:t xml:space="preserve"> </w:t>
      </w:r>
      <w:r>
        <w:rPr>
          <w:rStyle w:val="VerbatimChar"/>
          <w:bCs/>
          <w:b/>
        </w:rPr>
        <w:t xml:space="preserve">Original Gloss</w:t>
      </w:r>
      <w:r>
        <w:t xml:space="preserve"> </w:t>
      </w:r>
      <w:r>
        <w:t xml:space="preserve">“</w:t>
      </w:r>
      <w:r>
        <w:t xml:space="preserve">△在下</w:t>
      </w:r>
      <w:r>
        <w:t xml:space="preserve">”</w:t>
      </w:r>
      <w:r>
        <w:t xml:space="preserve">, the</w:t>
      </w:r>
      <w:r>
        <w:t xml:space="preserve"> </w:t>
      </w:r>
      <w:r>
        <w:t xml:space="preserve">‘</w:t>
      </w:r>
      <w:r>
        <w:t xml:space="preserve">△</w:t>
      </w:r>
      <w:r>
        <w:t xml:space="preserve">’</w:t>
      </w:r>
      <w:r>
        <w:t xml:space="preserve"> </w:t>
      </w:r>
      <w:r>
        <w:t xml:space="preserve">symbol is written in a slightly larger size, which was misidentified as a separate</w:t>
      </w:r>
      <w:r>
        <w:t xml:space="preserve"> </w:t>
      </w:r>
      <w:r>
        <w:rPr>
          <w:rStyle w:val="VerbatimChar"/>
          <w:bCs/>
          <w:b/>
        </w:rPr>
        <w:t xml:space="preserve">Headword</w:t>
      </w:r>
      <w:r>
        <w:t xml:space="preserve"> </w:t>
      </w:r>
      <w:r>
        <w:t xml:space="preserve">(contributing to the initial count of 376 by Ikeda et al.).</w:t>
      </w:r>
    </w:p>
    <w:p>
      <w:pPr>
        <w:pStyle w:val="BodyText"/>
      </w:pPr>
      <w:r>
        <w:t xml:space="preserve">Additionally, an</w:t>
      </w:r>
      <w:r>
        <w:t xml:space="preserve"> </w:t>
      </w:r>
      <w:r>
        <w:rPr>
          <w:rStyle w:val="VerbatimChar"/>
          <w:bCs/>
          <w:b/>
        </w:rPr>
        <w:t xml:space="preserve">Entry</w:t>
      </w:r>
      <w:r>
        <w:t xml:space="preserve"> </w:t>
      </w:r>
      <w:r>
        <w:t xml:space="preserve">where an</w:t>
      </w:r>
      <w:r>
        <w:t xml:space="preserve"> </w:t>
      </w:r>
      <w:r>
        <w:rPr>
          <w:rStyle w:val="VerbatimChar"/>
          <w:bCs/>
          <w:b/>
        </w:rPr>
        <w:t xml:space="preserve">Omitted Character</w:t>
      </w:r>
      <w:r>
        <w:t xml:space="preserve"> </w:t>
      </w:r>
      <w:r>
        <w:t xml:space="preserve">in the</w:t>
      </w:r>
      <w:r>
        <w:t xml:space="preserve"> </w:t>
      </w:r>
      <w:r>
        <w:rPr>
          <w:rStyle w:val="VerbatimChar"/>
          <w:bCs/>
          <w:b/>
        </w:rPr>
        <w:t xml:space="preserve">Headword</w:t>
      </w:r>
      <w:r>
        <w:t xml:space="preserve"> </w:t>
      </w:r>
      <w:r>
        <w:t xml:space="preserve">was supplied is the following:</w:t>
      </w:r>
    </w:p>
    <w:p>
      <w:pPr>
        <w:numPr>
          <w:ilvl w:val="0"/>
          <w:numId w:val="1208"/>
        </w:numPr>
        <w:pStyle w:val="Compact"/>
      </w:pPr>
      <w:r>
        <w:rPr>
          <w:rStyle w:val="VerbatimChar"/>
        </w:rPr>
        <w:t xml:space="preserve">kazama_location</w:t>
      </w:r>
      <w:r>
        <w:t xml:space="preserve">: K06012741,</w:t>
      </w:r>
      <w:r>
        <w:t xml:space="preserve"> </w:t>
      </w:r>
      <w:r>
        <w:rPr>
          <w:rStyle w:val="VerbatimChar"/>
        </w:rPr>
        <w:t xml:space="preserve">hanzi_entry</w:t>
      </w:r>
      <w:r>
        <w:t xml:space="preserve">: 桃／花／［石］,</w:t>
      </w:r>
      <w:r>
        <w:t xml:space="preserve"> </w:t>
      </w:r>
      <w:r>
        <w:rPr>
          <w:rStyle w:val="VerbatimChar"/>
        </w:rPr>
        <w:t xml:space="preserve">definition</w:t>
      </w:r>
      <w:r>
        <w:t xml:space="preserve">: 此間音タウクヱシヤク（LHHHLLL）</w:t>
      </w:r>
    </w:p>
    <w:p>
      <w:pPr>
        <w:pStyle w:val="FirstParagraph"/>
      </w:pPr>
      <w:r>
        <w:t xml:space="preserve">The</w:t>
      </w:r>
      <w:r>
        <w:t xml:space="preserve"> </w:t>
      </w:r>
      <w:r>
        <w:rPr>
          <w:rStyle w:val="VerbatimChar"/>
          <w:bCs/>
          <w:b/>
        </w:rPr>
        <w:t xml:space="preserve">Entry</w:t>
      </w:r>
      <w:r>
        <w:t xml:space="preserve"> </w:t>
      </w:r>
      <w:r>
        <w:t xml:space="preserve">count and total headword character count for the</w:t>
      </w:r>
      <w:r>
        <w:t xml:space="preserve"> </w:t>
      </w:r>
      <w:r>
        <w:t xml:space="preserve">“</w:t>
      </w:r>
      <w:r>
        <w:t xml:space="preserve">石</w:t>
      </w:r>
      <w:r>
        <w:t xml:space="preserve">”</w:t>
      </w:r>
      <w:r>
        <w:t xml:space="preserve"> </w:t>
      </w:r>
      <w:r>
        <w:t xml:space="preserve">(Stone) radical section are corrected as follows:</w:t>
      </w:r>
    </w:p>
    <w:tbl>
      <w:tblPr>
        <w:tblStyle w:val="Table"/>
        <w:tblW w:type="pct" w:w="5000"/>
        <w:tblLook w:firstRow="1" w:lastRow="0" w:firstColumn="0" w:lastColumn="0" w:noHBand="0" w:noVBand="0" w:val="0020"/>
        <w:jc w:val="start"/>
      </w:tblPr>
      <w:tblGrid>
        <w:gridCol w:w="408"/>
        <w:gridCol w:w="1061"/>
        <w:gridCol w:w="653"/>
        <w:gridCol w:w="653"/>
        <w:gridCol w:w="653"/>
        <w:gridCol w:w="653"/>
        <w:gridCol w:w="653"/>
        <w:gridCol w:w="734"/>
        <w:gridCol w:w="1306"/>
        <w:gridCol w:w="1143"/>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051</w:t>
            </w:r>
          </w:p>
        </w:tc>
        <w:tc>
          <w:tcPr/>
          <w:p>
            <w:pPr>
              <w:pStyle w:val="Compact"/>
              <w:jc w:val="left"/>
            </w:pPr>
            <w:r>
              <w:t xml:space="preserve">石 (Stone)</w:t>
            </w:r>
          </w:p>
        </w:tc>
        <w:tc>
          <w:tcPr/>
          <w:p>
            <w:pPr>
              <w:pStyle w:val="Compact"/>
              <w:jc w:val="right"/>
            </w:pPr>
            <w:r>
              <w:t xml:space="preserve">307</w:t>
            </w:r>
          </w:p>
        </w:tc>
        <w:tc>
          <w:tcPr/>
          <w:p>
            <w:pPr>
              <w:pStyle w:val="Compact"/>
              <w:jc w:val="right"/>
            </w:pPr>
            <w:r>
              <w:t xml:space="preserve">56</w:t>
            </w:r>
          </w:p>
        </w:tc>
        <w:tc>
          <w:tcPr/>
          <w:p>
            <w:pPr>
              <w:pStyle w:val="Compact"/>
              <w:jc w:val="right"/>
            </w:pPr>
            <w:r>
              <w:t xml:space="preserve">6</w:t>
            </w:r>
          </w:p>
        </w:tc>
        <w:tc>
          <w:tcPr/>
          <w:p>
            <w:pPr>
              <w:pStyle w:val="Compact"/>
              <w:jc w:val="right"/>
            </w:pPr>
            <w:r>
              <w:t xml:space="preserve">3</w:t>
            </w:r>
          </w:p>
        </w:tc>
        <w:tc>
          <w:tcPr/>
          <w:p>
            <w:pPr>
              <w:pStyle w:val="Compact"/>
              <w:jc w:val="right"/>
            </w:pPr>
            <w:r>
              <w:t xml:space="preserve">0</w:t>
            </w:r>
          </w:p>
        </w:tc>
        <w:tc>
          <w:tcPr/>
          <w:p>
            <w:pPr>
              <w:pStyle w:val="Compact"/>
              <w:jc w:val="right"/>
            </w:pPr>
            <w:r>
              <w:t xml:space="preserve">4</w:t>
            </w:r>
          </w:p>
        </w:tc>
        <w:tc>
          <w:tcPr/>
          <w:p>
            <w:pPr>
              <w:pStyle w:val="Compact"/>
              <w:jc w:val="right"/>
            </w:pPr>
            <w:r>
              <w:t xml:space="preserve">375</w:t>
            </w:r>
          </w:p>
        </w:tc>
        <w:tc>
          <w:tcPr/>
          <w:p>
            <w:pPr>
              <w:pStyle w:val="Compact"/>
              <w:jc w:val="right"/>
            </w:pPr>
            <w:r>
              <w:t xml:space="preserve">472</w:t>
            </w:r>
          </w:p>
        </w:tc>
      </w:tr>
    </w:tbl>
    <w:p>
      <w:pPr>
        <w:pStyle w:val="BodyText"/>
      </w:pPr>
      <w:r>
        <w:t xml:space="preserve">For the</w:t>
      </w:r>
      <w:r>
        <w:t xml:space="preserve"> </w:t>
      </w:r>
      <w:r>
        <w:rPr>
          <w:bCs/>
          <w:b/>
        </w:rPr>
        <w:t xml:space="preserve">“</w:t>
      </w:r>
      <w:r>
        <w:rPr>
          <w:bCs/>
          <w:b/>
        </w:rPr>
        <w:t xml:space="preserve">玉</w:t>
      </w:r>
      <w:r>
        <w:rPr>
          <w:bCs/>
          <w:b/>
        </w:rPr>
        <w:t xml:space="preserve">”</w:t>
      </w:r>
      <w:r>
        <w:rPr>
          <w:bCs/>
          <w:b/>
        </w:rPr>
        <w:t xml:space="preserve"> </w:t>
      </w:r>
      <w:r>
        <w:rPr>
          <w:bCs/>
          <w:b/>
        </w:rPr>
        <w:t xml:space="preserve">(Jade) radical section</w:t>
      </w:r>
      <w:r>
        <w:t xml:space="preserve"> </w:t>
      </w:r>
      <w:r>
        <w:t xml:space="preserve">(玉部,</w:t>
      </w:r>
      <w:r>
        <w:t xml:space="preserve"> </w:t>
      </w:r>
      <w:r>
        <w:rPr>
          <w:iCs/>
          <w:i/>
        </w:rPr>
        <w:t xml:space="preserve">Gyokubu</w:t>
      </w:r>
      <w:r>
        <w:t xml:space="preserve">), Sakai (1967) counts 384</w:t>
      </w:r>
      <w:r>
        <w:t xml:space="preserve"> </w:t>
      </w:r>
      <w:r>
        <w:rPr>
          <w:rStyle w:val="VerbatimChar"/>
          <w:bCs/>
          <w:b/>
        </w:rPr>
        <w:t xml:space="preserve">Entries</w:t>
      </w:r>
      <w:r>
        <w:t xml:space="preserve">, while Ikeda et al. (2020) count 383</w:t>
      </w:r>
      <w:r>
        <w:t xml:space="preserve"> </w:t>
      </w:r>
      <w:r>
        <w:rPr>
          <w:rStyle w:val="VerbatimChar"/>
          <w:bCs/>
          <w:b/>
        </w:rPr>
        <w:t xml:space="preserve">Entries</w:t>
      </w:r>
      <w:r>
        <w:t xml:space="preserve">, a difference of one</w:t>
      </w:r>
      <w:r>
        <w:t xml:space="preserve"> </w:t>
      </w:r>
      <w:r>
        <w:rPr>
          <w:rStyle w:val="VerbatimChar"/>
          <w:bCs/>
          <w:b/>
        </w:rPr>
        <w:t xml:space="preserve">Entry</w:t>
      </w:r>
      <w:r>
        <w:t xml:space="preserve">. The following</w:t>
      </w:r>
      <w:r>
        <w:t xml:space="preserve"> </w:t>
      </w:r>
      <w:r>
        <w:rPr>
          <w:rStyle w:val="VerbatimChar"/>
          <w:bCs/>
          <w:b/>
        </w:rPr>
        <w:t xml:space="preserve">Entry</w:t>
      </w:r>
      <w:r>
        <w:t xml:space="preserve"> </w:t>
      </w:r>
      <w:r>
        <w:t xml:space="preserve">is likely related to this discrepancy:</w:t>
      </w:r>
    </w:p>
    <w:p>
      <w:pPr>
        <w:numPr>
          <w:ilvl w:val="0"/>
          <w:numId w:val="1209"/>
        </w:numPr>
        <w:pStyle w:val="Compact"/>
      </w:pPr>
      <w:r>
        <w:rPr>
          <w:rStyle w:val="VerbatimChar"/>
        </w:rPr>
        <w:t xml:space="preserve">kazama_location</w:t>
      </w:r>
      <w:r>
        <w:t xml:space="preserve">: K06013430,</w:t>
      </w:r>
      <w:r>
        <w:t xml:space="preserve"> </w:t>
      </w:r>
      <w:r>
        <w:rPr>
          <w:rStyle w:val="VerbatimChar"/>
        </w:rPr>
        <w:t xml:space="preserve">hanzi_entry</w:t>
      </w:r>
      <w:r>
        <w:t xml:space="preserve">: 玊,</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音夙（T）「シク」　又栗（T）「リク」　又欣救反　琢「ミカク」玉を工也,</w:t>
      </w:r>
      <w:r>
        <w:t xml:space="preserve"> </w:t>
      </w:r>
      <w:r>
        <w:rPr>
          <w:rStyle w:val="VerbatimChar"/>
        </w:rPr>
        <w:t xml:space="preserve">remarks</w:t>
      </w:r>
      <w:r>
        <w:t xml:space="preserve"> </w:t>
      </w:r>
      <w:r>
        <w:t xml:space="preserve">(</w:t>
      </w:r>
      <w:r>
        <w:rPr>
          <w:rStyle w:val="VerbatimChar"/>
          <w:bCs/>
          <w:b/>
        </w:rPr>
        <w:t xml:space="preserve">Compiler's Remark</w:t>
      </w:r>
      <w:r>
        <w:t xml:space="preserve">): Ikeda’s note:</w:t>
      </w:r>
      <w:r>
        <w:t xml:space="preserve"> </w:t>
      </w:r>
      <w:r>
        <w:t xml:space="preserve">‘</w:t>
      </w:r>
      <w:r>
        <w:t xml:space="preserve">栗</w:t>
      </w:r>
      <w:r>
        <w:t xml:space="preserve">’</w:t>
      </w:r>
      <w:r>
        <w:t xml:space="preserve"> </w:t>
      </w:r>
      <w:r>
        <w:t xml:space="preserve">is an error for</w:t>
      </w:r>
      <w:r>
        <w:t xml:space="preserve"> </w:t>
      </w:r>
      <w:r>
        <w:t xml:space="preserve">‘</w:t>
      </w:r>
      <w:r>
        <w:t xml:space="preserve">粟</w:t>
      </w:r>
      <w:r>
        <w:t xml:space="preserve">’</w:t>
      </w:r>
      <w:r>
        <w:t xml:space="preserve">. The red ink mark on</w:t>
      </w:r>
      <w:r>
        <w:t xml:space="preserve"> </w:t>
      </w:r>
      <w:r>
        <w:t xml:space="preserve">‘</w:t>
      </w:r>
      <w:r>
        <w:t xml:space="preserve">玉</w:t>
      </w:r>
      <w:r>
        <w:t xml:space="preserve">’</w:t>
      </w:r>
      <w:r>
        <w:t xml:space="preserve"> </w:t>
      </w:r>
      <w:r>
        <w:t xml:space="preserve">might be an</w:t>
      </w:r>
      <w:r>
        <w:t xml:space="preserve"> </w:t>
      </w:r>
      <w:r>
        <w:rPr>
          <w:rStyle w:val="VerbatimChar"/>
        </w:rPr>
        <w:t xml:space="preserve">Morphosyntactic Glosses</w:t>
      </w:r>
      <w:r>
        <w:t xml:space="preserve"> </w:t>
      </w:r>
      <w:r>
        <w:t xml:space="preserve">(</w:t>
      </w:r>
      <w:r>
        <w:rPr>
          <w:iCs/>
          <w:i/>
        </w:rPr>
        <w:t xml:space="preserve">wokototen</w:t>
      </w:r>
      <w:r>
        <w:t xml:space="preserve">, ヲコト点) for</w:t>
      </w:r>
      <w:r>
        <w:t xml:space="preserve"> </w:t>
      </w:r>
      <w:r>
        <w:t xml:space="preserve">‘</w:t>
      </w:r>
      <w:r>
        <w:t xml:space="preserve">を</w:t>
      </w:r>
      <w:r>
        <w:t xml:space="preserve">’</w:t>
      </w:r>
      <w:r>
        <w:t xml:space="preserve"> </w:t>
      </w:r>
      <w:r>
        <w:t xml:space="preserve">(</w:t>
      </w:r>
      <w:r>
        <w:rPr>
          <w:iCs/>
          <w:i/>
        </w:rPr>
        <w:t xml:space="preserve">wo</w:t>
      </w:r>
      <w:r>
        <w:t xml:space="preserve">).</w:t>
      </w:r>
      <w:r>
        <w:t xml:space="preserve"> </w:t>
      </w:r>
      <w:r>
        <w:t xml:space="preserve">‘</w:t>
      </w:r>
      <w:r>
        <w:t xml:space="preserve">工也</w:t>
      </w:r>
      <w:r>
        <w:t xml:space="preserve">’</w:t>
      </w:r>
      <w:r>
        <w:t xml:space="preserve"> </w:t>
      </w:r>
      <w:r>
        <w:t xml:space="preserve">is written in small characters in the manuscript, but it has been transcribed in large characters here because the</w:t>
      </w:r>
      <w:r>
        <w:t xml:space="preserve"> </w:t>
      </w:r>
      <w:r>
        <w:rPr>
          <w:iCs/>
          <w:i/>
        </w:rPr>
        <w:t xml:space="preserve">Guangyun</w:t>
      </w:r>
      <w:r>
        <w:t xml:space="preserve"> </w:t>
      </w:r>
      <w:r>
        <w:t xml:space="preserve">has the semantic gloss</w:t>
      </w:r>
      <w:r>
        <w:t xml:space="preserve"> </w:t>
      </w:r>
      <w:r>
        <w:t xml:space="preserve">‘</w:t>
      </w:r>
      <w:r>
        <w:t xml:space="preserve">琢玉工</w:t>
      </w:r>
      <w:r>
        <w:t xml:space="preserve">’</w:t>
      </w:r>
      <w:r>
        <w:t xml:space="preserve"> </w:t>
      </w:r>
      <w:r>
        <w:t xml:space="preserve">(jade-carving artisan).</w:t>
      </w:r>
    </w:p>
    <w:p>
      <w:pPr>
        <w:pStyle w:val="FirstParagraph"/>
      </w:pPr>
      <w:r>
        <w:t xml:space="preserve">There is a possibility of treating</w:t>
      </w:r>
      <w:r>
        <w:t xml:space="preserve"> </w:t>
      </w:r>
      <w:r>
        <w:t xml:space="preserve">‘</w:t>
      </w:r>
      <w:r>
        <w:t xml:space="preserve">琢玉</w:t>
      </w:r>
      <w:r>
        <w:t xml:space="preserve">’</w:t>
      </w:r>
      <w:r>
        <w:t xml:space="preserve"> </w:t>
      </w:r>
      <w:r>
        <w:t xml:space="preserve">(jade carving), which appears in the gloss as</w:t>
      </w:r>
      <w:r>
        <w:t xml:space="preserve"> </w:t>
      </w:r>
      <w:r>
        <w:t xml:space="preserve">‘</w:t>
      </w:r>
      <w:r>
        <w:t xml:space="preserve">琢「ミカク」玉を</w:t>
      </w:r>
      <w:r>
        <w:t xml:space="preserve">’</w:t>
      </w:r>
      <w:r>
        <w:t xml:space="preserve">, as an</w:t>
      </w:r>
      <w:r>
        <w:t xml:space="preserve"> </w:t>
      </w:r>
      <w:r>
        <w:rPr>
          <w:rStyle w:val="VerbatimChar"/>
          <w:bCs/>
          <w:b/>
        </w:rPr>
        <w:t xml:space="preserve">Embedded Item</w:t>
      </w:r>
      <w:r>
        <w:rPr>
          <w:bCs/>
          <w:b/>
        </w:rPr>
        <w:t xml:space="preserve"> </w:t>
      </w:r>
      <w:r>
        <w:rPr>
          <w:bCs/>
          <w:b/>
        </w:rPr>
        <w:t xml:space="preserve">(</w:t>
      </w:r>
      <w:r>
        <w:rPr>
          <w:iCs/>
          <w:i/>
          <w:bCs/>
          <w:b/>
        </w:rPr>
        <w:t xml:space="preserve">umeji</w:t>
      </w:r>
      <w:r>
        <w:rPr>
          <w:bCs/>
          <w:b/>
        </w:rPr>
        <w:t xml:space="preserve">)</w:t>
      </w:r>
      <w:r>
        <w:t xml:space="preserve">. However, since</w:t>
      </w:r>
      <w:r>
        <w:t xml:space="preserve"> </w:t>
      </w:r>
      <w:r>
        <w:t xml:space="preserve">‘</w:t>
      </w:r>
      <w:r>
        <w:t xml:space="preserve">琢</w:t>
      </w:r>
      <w:r>
        <w:t xml:space="preserve">’</w:t>
      </w:r>
      <w:r>
        <w:t xml:space="preserve"> </w:t>
      </w:r>
      <w:r>
        <w:t xml:space="preserve">is listed as a separate</w:t>
      </w:r>
      <w:r>
        <w:t xml:space="preserve"> </w:t>
      </w:r>
      <w:r>
        <w:rPr>
          <w:rStyle w:val="VerbatimChar"/>
          <w:bCs/>
          <w:b/>
        </w:rPr>
        <w:t xml:space="preserve">Headword</w:t>
      </w:r>
      <w:r>
        <w:t xml:space="preserve"> </w:t>
      </w:r>
      <w:r>
        <w:t xml:space="preserve">elsewhere, it is likely appropriate to consider</w:t>
      </w:r>
      <w:r>
        <w:t xml:space="preserve"> </w:t>
      </w:r>
      <w:r>
        <w:t xml:space="preserve">‘</w:t>
      </w:r>
      <w:r>
        <w:t xml:space="preserve">琢玉</w:t>
      </w:r>
      <w:r>
        <w:t xml:space="preserve">’</w:t>
      </w:r>
      <w:r>
        <w:t xml:space="preserve"> </w:t>
      </w:r>
      <w:r>
        <w:t xml:space="preserve">as part of the</w:t>
      </w:r>
      <w:r>
        <w:t xml:space="preserve"> </w:t>
      </w:r>
      <w:r>
        <w:rPr>
          <w:rStyle w:val="VerbatimChar"/>
          <w:bCs/>
          <w:b/>
        </w:rPr>
        <w:t xml:space="preserve">Original Glosses</w:t>
      </w:r>
      <w:r>
        <w:t xml:space="preserve"> </w:t>
      </w:r>
      <w:r>
        <w:t xml:space="preserve">for</w:t>
      </w:r>
      <w:r>
        <w:t xml:space="preserve"> </w:t>
      </w:r>
      <w:r>
        <w:t xml:space="preserve">‘</w:t>
      </w:r>
      <w:r>
        <w:t xml:space="preserve">玊</w:t>
      </w:r>
      <w:r>
        <w:t xml:space="preserve">’</w:t>
      </w:r>
      <w:r>
        <w:t xml:space="preserve">.</w:t>
      </w:r>
    </w:p>
    <w:p>
      <w:pPr>
        <w:pStyle w:val="BodyText"/>
      </w:pPr>
      <w:r>
        <w:t xml:space="preserve">The original text for this section can be referred to on the left side of the</w:t>
      </w:r>
      <w:r>
        <w:t xml:space="preserve"> </w:t>
      </w:r>
      <w:hyperlink r:id="rId324">
        <w:r>
          <w:rPr>
            <w:rStyle w:val="Hyperlink"/>
          </w:rPr>
          <w:t xml:space="preserve">corresponding page</w:t>
        </w:r>
      </w:hyperlink>
      <w:r>
        <w:t xml:space="preserve"> </w:t>
      </w:r>
      <w:r>
        <w:t xml:space="preserve">in the National Diet Library Digital Collections.</w:t>
      </w:r>
    </w:p>
    <w:p>
      <w:pPr>
        <w:pStyle w:val="BodyText"/>
      </w:pPr>
      <w:r>
        <w:t xml:space="preserve">For the</w:t>
      </w:r>
      <w:r>
        <w:t xml:space="preserve"> </w:t>
      </w:r>
      <w:r>
        <w:rPr>
          <w:bCs/>
          <w:b/>
        </w:rPr>
        <w:t xml:space="preserve">“</w:t>
      </w:r>
      <w:r>
        <w:rPr>
          <w:bCs/>
          <w:b/>
        </w:rPr>
        <w:t xml:space="preserve">心</w:t>
      </w:r>
      <w:r>
        <w:rPr>
          <w:bCs/>
          <w:b/>
        </w:rPr>
        <w:t xml:space="preserve">”</w:t>
      </w:r>
      <w:r>
        <w:rPr>
          <w:bCs/>
          <w:b/>
        </w:rPr>
        <w:t xml:space="preserve"> </w:t>
      </w:r>
      <w:r>
        <w:rPr>
          <w:bCs/>
          <w:b/>
        </w:rPr>
        <w:t xml:space="preserve">(Heart) radical section</w:t>
      </w:r>
      <w:r>
        <w:t xml:space="preserve"> </w:t>
      </w:r>
      <w:r>
        <w:t xml:space="preserve">(心部,</w:t>
      </w:r>
      <w:r>
        <w:t xml:space="preserve"> </w:t>
      </w:r>
      <w:r>
        <w:rPr>
          <w:iCs/>
          <w:i/>
        </w:rPr>
        <w:t xml:space="preserve">Shinbu</w:t>
      </w:r>
      <w:r>
        <w:t xml:space="preserve">), Sakai (1967) counts 909</w:t>
      </w:r>
      <w:r>
        <w:t xml:space="preserve"> </w:t>
      </w:r>
      <w:r>
        <w:rPr>
          <w:rStyle w:val="VerbatimChar"/>
          <w:bCs/>
          <w:b/>
        </w:rPr>
        <w:t xml:space="preserve">Entries</w:t>
      </w:r>
      <w:r>
        <w:t xml:space="preserve">, while Ikeda et al. (2020) count 908</w:t>
      </w:r>
      <w:r>
        <w:t xml:space="preserve"> </w:t>
      </w:r>
      <w:r>
        <w:rPr>
          <w:rStyle w:val="VerbatimChar"/>
          <w:bCs/>
          <w:b/>
        </w:rPr>
        <w:t xml:space="preserve">Entries</w:t>
      </w:r>
      <w:r>
        <w:t xml:space="preserve">, a difference of one</w:t>
      </w:r>
      <w:r>
        <w:t xml:space="preserve"> </w:t>
      </w:r>
      <w:r>
        <w:rPr>
          <w:rStyle w:val="VerbatimChar"/>
          <w:bCs/>
          <w:b/>
        </w:rPr>
        <w:t xml:space="preserve">Entry</w:t>
      </w:r>
      <w:r>
        <w:t xml:space="preserve">. The following</w:t>
      </w:r>
      <w:r>
        <w:t xml:space="preserve"> </w:t>
      </w:r>
      <w:r>
        <w:rPr>
          <w:rStyle w:val="VerbatimChar"/>
          <w:bCs/>
          <w:b/>
        </w:rPr>
        <w:t xml:space="preserve">Entry</w:t>
      </w:r>
      <w:r>
        <w:t xml:space="preserve"> </w:t>
      </w:r>
      <w:r>
        <w:t xml:space="preserve">is likely related to this discrepancy:</w:t>
      </w:r>
    </w:p>
    <w:p>
      <w:pPr>
        <w:numPr>
          <w:ilvl w:val="0"/>
          <w:numId w:val="1210"/>
        </w:numPr>
        <w:pStyle w:val="Compact"/>
      </w:pPr>
      <w:r>
        <w:rPr>
          <w:rStyle w:val="VerbatimChar"/>
        </w:rPr>
        <w:t xml:space="preserve">kazama_location</w:t>
      </w:r>
      <w:r>
        <w:t xml:space="preserve">: K06084521,</w:t>
      </w:r>
      <w:r>
        <w:t xml:space="preserve"> </w:t>
      </w:r>
      <w:r>
        <w:rPr>
          <w:rStyle w:val="VerbatimChar"/>
        </w:rPr>
        <w:t xml:space="preserve">hanzi_entry</w:t>
      </w:r>
      <w:r>
        <w:t xml:space="preserve">: 㥶,</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「注」⿺⻎偘古　「注」⿱保言𠐨〈籀〉,</w:t>
      </w:r>
      <w:r>
        <w:t xml:space="preserve"> </w:t>
      </w:r>
      <w:r>
        <w:rPr>
          <w:rStyle w:val="VerbatimChar"/>
        </w:rPr>
        <w:t xml:space="preserve">remarks</w:t>
      </w:r>
      <w:r>
        <w:t xml:space="preserve"> </w:t>
      </w:r>
      <w:r>
        <w:t xml:space="preserve">(</w:t>
      </w:r>
      <w:r>
        <w:rPr>
          <w:rStyle w:val="VerbatimChar"/>
          <w:bCs/>
          <w:b/>
        </w:rPr>
        <w:t xml:space="preserve">Compiler's Remark</w:t>
      </w:r>
      <w:r>
        <w:t xml:space="preserve">): Ikeda’s note: Although</w:t>
      </w:r>
      <w:r>
        <w:t xml:space="preserve"> </w:t>
      </w:r>
      <w:r>
        <w:t xml:space="preserve">‘</w:t>
      </w:r>
      <w:r>
        <w:t xml:space="preserve">⿺⻎偘古</w:t>
      </w:r>
      <w:r>
        <w:t xml:space="preserve">’</w:t>
      </w:r>
      <w:r>
        <w:t xml:space="preserve"> </w:t>
      </w:r>
      <w:r>
        <w:t xml:space="preserve">and</w:t>
      </w:r>
      <w:r>
        <w:t xml:space="preserve"> </w:t>
      </w:r>
      <w:r>
        <w:t xml:space="preserve">‘</w:t>
      </w:r>
      <w:r>
        <w:t xml:space="preserve">⿱保言𠐨</w:t>
      </w:r>
      <w:r>
        <w:t xml:space="preserve">’</w:t>
      </w:r>
      <w:r>
        <w:t xml:space="preserve"> </w:t>
      </w:r>
      <w:r>
        <w:t xml:space="preserve">are written in large characters, each is accompanied by the character</w:t>
      </w:r>
      <w:r>
        <w:t xml:space="preserve"> </w:t>
      </w:r>
      <w:r>
        <w:t xml:space="preserve">‘</w:t>
      </w:r>
      <w:r>
        <w:t xml:space="preserve">注</w:t>
      </w:r>
      <w:r>
        <w:t xml:space="preserve">’</w:t>
      </w:r>
      <w:r>
        <w:t xml:space="preserve"> </w:t>
      </w:r>
      <w:r>
        <w:t xml:space="preserve">(annotation), indicating they are part of the</w:t>
      </w:r>
      <w:r>
        <w:t xml:space="preserve"> </w:t>
      </w:r>
      <w:r>
        <w:rPr>
          <w:rStyle w:val="VerbatimChar"/>
          <w:bCs/>
          <w:b/>
        </w:rPr>
        <w:t xml:space="preserve">Original Glosses</w:t>
      </w:r>
      <w:r>
        <w:t xml:space="preserve">.</w:t>
      </w:r>
    </w:p>
    <w:p>
      <w:pPr>
        <w:pStyle w:val="FirstParagraph"/>
      </w:pPr>
      <w:r>
        <w:t xml:space="preserve">Since</w:t>
      </w:r>
      <w:r>
        <w:t xml:space="preserve"> </w:t>
      </w:r>
      <w:r>
        <w:t xml:space="preserve">‘</w:t>
      </w:r>
      <w:r>
        <w:t xml:space="preserve">⿺⻎偘古</w:t>
      </w:r>
      <w:r>
        <w:t xml:space="preserve">’</w:t>
      </w:r>
      <w:r>
        <w:t xml:space="preserve"> </w:t>
      </w:r>
      <w:r>
        <w:t xml:space="preserve">and</w:t>
      </w:r>
      <w:r>
        <w:t xml:space="preserve"> </w:t>
      </w:r>
      <w:r>
        <w:t xml:space="preserve">‘</w:t>
      </w:r>
      <w:r>
        <w:t xml:space="preserve">⿱保言𠐨</w:t>
      </w:r>
      <w:r>
        <w:t xml:space="preserve">’</w:t>
      </w:r>
      <w:r>
        <w:t xml:space="preserve"> </w:t>
      </w:r>
      <w:r>
        <w:t xml:space="preserve">are written in large characters, there is a possibility of counting them as</w:t>
      </w:r>
      <w:r>
        <w:t xml:space="preserve"> </w:t>
      </w:r>
      <w:r>
        <w:rPr>
          <w:rStyle w:val="VerbatimChar"/>
          <w:bCs/>
          <w:b/>
        </w:rPr>
        <w:t xml:space="preserve">Headwords</w:t>
      </w:r>
      <w:r>
        <w:t xml:space="preserve">. However, they are not characters that would typically be assigned to the</w:t>
      </w:r>
      <w:r>
        <w:t xml:space="preserve"> </w:t>
      </w:r>
      <w:r>
        <w:t xml:space="preserve">“</w:t>
      </w:r>
      <w:r>
        <w:t xml:space="preserve">心</w:t>
      </w:r>
      <w:r>
        <w:t xml:space="preserve">”</w:t>
      </w:r>
      <w:r>
        <w:t xml:space="preserve"> </w:t>
      </w:r>
      <w:r>
        <w:t xml:space="preserve">(Heart) radical section, and furthermore, they are explicitly marked with</w:t>
      </w:r>
      <w:r>
        <w:t xml:space="preserve"> </w:t>
      </w:r>
      <w:r>
        <w:t xml:space="preserve">‘</w:t>
      </w:r>
      <w:r>
        <w:t xml:space="preserve">注</w:t>
      </w:r>
      <w:r>
        <w:t xml:space="preserve">’</w:t>
      </w:r>
      <w:r>
        <w:t xml:space="preserve"> </w:t>
      </w:r>
      <w:r>
        <w:t xml:space="preserve">(annotation). Therefore, it is unlikely that Ikeda et al. (2020) miscounted by including these as separate</w:t>
      </w:r>
      <w:r>
        <w:t xml:space="preserve"> </w:t>
      </w:r>
      <w:r>
        <w:rPr>
          <w:rStyle w:val="VerbatimChar"/>
          <w:bCs/>
          <w:b/>
        </w:rPr>
        <w:t xml:space="preserve">Entries</w:t>
      </w:r>
      <w:r>
        <w:t xml:space="preserve"> </w:t>
      </w:r>
      <w:r>
        <w:t xml:space="preserve">(implying the discrepancy may originate from Sakai’s count or another unclarified instance).</w:t>
      </w:r>
    </w:p>
    <w:p>
      <w:pPr>
        <w:pStyle w:val="BodyText"/>
      </w:pPr>
      <w:r>
        <w:t xml:space="preserve">The original text for this section can be referred to on the right side of the</w:t>
      </w:r>
      <w:r>
        <w:t xml:space="preserve"> </w:t>
      </w:r>
      <w:hyperlink r:id="rId325">
        <w:r>
          <w:rPr>
            <w:rStyle w:val="Hyperlink"/>
          </w:rPr>
          <w:t xml:space="preserve">corresponding page</w:t>
        </w:r>
      </w:hyperlink>
      <w:r>
        <w:t xml:space="preserve"> </w:t>
      </w:r>
      <w:r>
        <w:t xml:space="preserve">in the National Diet Library Digital Collections.</w:t>
      </w:r>
    </w:p>
    <w:p>
      <w:pPr>
        <w:pStyle w:val="BodyText"/>
      </w:pPr>
      <w:r>
        <w:t xml:space="preserve">For the</w:t>
      </w:r>
      <w:r>
        <w:t xml:space="preserve"> </w:t>
      </w:r>
      <w:r>
        <w:rPr>
          <w:bCs/>
          <w:b/>
        </w:rPr>
        <w:t xml:space="preserve">“</w:t>
      </w:r>
      <w:r>
        <w:rPr>
          <w:bCs/>
          <w:b/>
        </w:rPr>
        <w:t xml:space="preserve">糸</w:t>
      </w:r>
      <w:r>
        <w:rPr>
          <w:bCs/>
          <w:b/>
        </w:rPr>
        <w:t xml:space="preserve">”</w:t>
      </w:r>
      <w:r>
        <w:rPr>
          <w:bCs/>
          <w:b/>
        </w:rPr>
        <w:t xml:space="preserve"> </w:t>
      </w:r>
      <w:r>
        <w:rPr>
          <w:bCs/>
          <w:b/>
        </w:rPr>
        <w:t xml:space="preserve">(Silk) radical section</w:t>
      </w:r>
      <w:r>
        <w:t xml:space="preserve"> </w:t>
      </w:r>
      <w:r>
        <w:t xml:space="preserve">(糸部,</w:t>
      </w:r>
      <w:r>
        <w:t xml:space="preserve"> </w:t>
      </w:r>
      <w:r>
        <w:rPr>
          <w:iCs/>
          <w:i/>
        </w:rPr>
        <w:t xml:space="preserve">Shibu</w:t>
      </w:r>
      <w:r>
        <w:t xml:space="preserve">), there is no difference in the number of</w:t>
      </w:r>
      <w:r>
        <w:t xml:space="preserve"> </w:t>
      </w:r>
      <w:r>
        <w:rPr>
          <w:rStyle w:val="VerbatimChar"/>
          <w:bCs/>
          <w:b/>
        </w:rPr>
        <w:t xml:space="preserve">Entries</w:t>
      </w:r>
      <w:r>
        <w:t xml:space="preserve"> </w:t>
      </w:r>
      <w:r>
        <w:t xml:space="preserve">between Sakai (1967) and Ikeda et al. (2020). However, a correction is made to the character count of the</w:t>
      </w:r>
      <w:r>
        <w:t xml:space="preserve"> </w:t>
      </w:r>
      <w:r>
        <w:rPr>
          <w:rStyle w:val="VerbatimChar"/>
          <w:bCs/>
          <w:b/>
        </w:rPr>
        <w:t xml:space="preserve">Headword</w:t>
      </w:r>
      <w:r>
        <w:t xml:space="preserve"> </w:t>
      </w:r>
      <w:r>
        <w:t xml:space="preserve">in the following</w:t>
      </w:r>
      <w:r>
        <w:t xml:space="preserve"> </w:t>
      </w:r>
      <w:r>
        <w:rPr>
          <w:rStyle w:val="VerbatimChar"/>
          <w:bCs/>
          <w:b/>
        </w:rPr>
        <w:t xml:space="preserve">Entry</w:t>
      </w:r>
      <w:r>
        <w:t xml:space="preserve">:</w:t>
      </w:r>
    </w:p>
    <w:p>
      <w:pPr>
        <w:numPr>
          <w:ilvl w:val="0"/>
          <w:numId w:val="1211"/>
        </w:numPr>
        <w:pStyle w:val="Compact"/>
      </w:pPr>
      <w:r>
        <w:rPr>
          <w:rStyle w:val="VerbatimChar"/>
        </w:rPr>
        <w:t xml:space="preserve">kazama_location</w:t>
      </w:r>
      <w:r>
        <w:t xml:space="preserve">: K06121611,</w:t>
      </w:r>
      <w:r>
        <w:t xml:space="preserve"> </w:t>
      </w:r>
      <w:r>
        <w:rPr>
          <w:rStyle w:val="VerbatimChar"/>
        </w:rPr>
        <w:t xml:space="preserve">hanzi_entry</w:t>
      </w:r>
      <w:r>
        <w:t xml:space="preserve">: 罘／䋄,</w:t>
      </w:r>
      <w:r>
        <w:t xml:space="preserve"> </w:t>
      </w:r>
      <w:r>
        <w:rPr>
          <w:rStyle w:val="VerbatimChar"/>
        </w:rPr>
        <w:t xml:space="preserve">definition</w:t>
      </w:r>
      <w:r>
        <w:t xml:space="preserve">: ノアミ</w:t>
      </w:r>
    </w:p>
    <w:p>
      <w:pPr>
        <w:pStyle w:val="FirstParagraph"/>
      </w:pPr>
      <w:r>
        <w:t xml:space="preserve">This corrects a previous misidentification where the</w:t>
      </w:r>
      <w:r>
        <w:t xml:space="preserve"> </w:t>
      </w:r>
      <w:r>
        <w:rPr>
          <w:rStyle w:val="VerbatimChar"/>
          <w:bCs/>
          <w:b/>
        </w:rPr>
        <w:t xml:space="preserve">Headword</w:t>
      </w:r>
      <w:r>
        <w:t xml:space="preserve"> </w:t>
      </w:r>
      <w:r>
        <w:t xml:space="preserve">was mistakenly interpreted as</w:t>
      </w:r>
      <w:r>
        <w:t xml:space="preserve"> </w:t>
      </w:r>
      <w:r>
        <w:t xml:space="preserve">‘</w:t>
      </w:r>
      <w:r>
        <w:t xml:space="preserve">四／不／䋄</w:t>
      </w:r>
      <w:r>
        <w:t xml:space="preserve">’</w:t>
      </w:r>
      <w:r>
        <w:t xml:space="preserve">. As a result of this correction to the headword’s character composition, the breakdown of</w:t>
      </w:r>
      <w:r>
        <w:t xml:space="preserve"> </w:t>
      </w:r>
      <w:r>
        <w:rPr>
          <w:rStyle w:val="VerbatimChar"/>
          <w:bCs/>
          <w:b/>
        </w:rPr>
        <w:t xml:space="preserve">Entry</w:t>
      </w:r>
      <w:r>
        <w:t xml:space="preserve"> </w:t>
      </w:r>
      <w:r>
        <w:t xml:space="preserve">counts by headword length and the total headword character count for this section are as follows (the total number of</w:t>
      </w:r>
      <w:r>
        <w:t xml:space="preserve"> </w:t>
      </w:r>
      <w:r>
        <w:rPr>
          <w:rStyle w:val="VerbatimChar"/>
          <w:bCs/>
          <w:b/>
        </w:rPr>
        <w:t xml:space="preserve">Entries</w:t>
      </w:r>
      <w:r>
        <w:t xml:space="preserve">, 736, remains unchanged):</w:t>
      </w:r>
    </w:p>
    <w:tbl>
      <w:tblPr>
        <w:tblStyle w:val="Table"/>
        <w:tblW w:type="pct" w:w="5000"/>
        <w:tblLook w:firstRow="1" w:lastRow="0" w:firstColumn="0" w:lastColumn="0" w:noHBand="0" w:noVBand="0" w:val="0020"/>
        <w:jc w:val="start"/>
      </w:tblPr>
      <w:tblGrid>
        <w:gridCol w:w="412"/>
        <w:gridCol w:w="990"/>
        <w:gridCol w:w="660"/>
        <w:gridCol w:w="660"/>
        <w:gridCol w:w="660"/>
        <w:gridCol w:w="660"/>
        <w:gridCol w:w="660"/>
        <w:gridCol w:w="742"/>
        <w:gridCol w:w="1320"/>
        <w:gridCol w:w="1155"/>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059</w:t>
            </w:r>
          </w:p>
        </w:tc>
        <w:tc>
          <w:tcPr/>
          <w:p>
            <w:pPr>
              <w:pStyle w:val="Compact"/>
              <w:jc w:val="left"/>
            </w:pPr>
            <w:r>
              <w:t xml:space="preserve">糸 (Silk)</w:t>
            </w:r>
          </w:p>
        </w:tc>
        <w:tc>
          <w:tcPr/>
          <w:p>
            <w:pPr>
              <w:pStyle w:val="Compact"/>
              <w:jc w:val="right"/>
            </w:pPr>
            <w:r>
              <w:t xml:space="preserve">631</w:t>
            </w:r>
          </w:p>
        </w:tc>
        <w:tc>
          <w:tcPr/>
          <w:p>
            <w:pPr>
              <w:pStyle w:val="Compact"/>
              <w:jc w:val="right"/>
            </w:pPr>
            <w:r>
              <w:t xml:space="preserve">94</w:t>
            </w:r>
          </w:p>
        </w:tc>
        <w:tc>
          <w:tcPr/>
          <w:p>
            <w:pPr>
              <w:pStyle w:val="Compact"/>
              <w:jc w:val="right"/>
            </w:pPr>
            <w:r>
              <w:t xml:space="preserve">8</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736</w:t>
            </w:r>
          </w:p>
        </w:tc>
        <w:tc>
          <w:tcPr/>
          <w:p>
            <w:pPr>
              <w:pStyle w:val="Compact"/>
              <w:jc w:val="right"/>
            </w:pPr>
            <w:r>
              <w:t xml:space="preserve">855</w:t>
            </w:r>
          </w:p>
        </w:tc>
      </w:tr>
    </w:tbl>
    <w:bookmarkEnd w:id="326"/>
    <w:bookmarkStart w:id="383" w:name="X1c9a2d3e8a6f888b9ff7de5e2002da9088110fe"/>
    <w:p>
      <w:pPr>
        <w:pStyle w:val="Heading3"/>
      </w:pPr>
      <w:r>
        <w:rPr>
          <w:rStyle w:val="SectionNumber"/>
        </w:rPr>
        <w:t xml:space="preserve">21.6.9</w:t>
      </w:r>
      <w:r>
        <w:tab/>
      </w:r>
      <w:r>
        <w:rPr>
          <w:iCs/>
          <w:i/>
        </w:rPr>
        <w:t xml:space="preserve">Hōge</w:t>
      </w:r>
      <w:r>
        <w:t xml:space="preserve"> </w:t>
      </w:r>
      <w:r>
        <w:t xml:space="preserve">(法下 – Lower</w:t>
      </w:r>
      <w:r>
        <w:t xml:space="preserve"> </w:t>
      </w:r>
      <w:r>
        <w:t xml:space="preserve">“</w:t>
      </w:r>
      <w:r>
        <w:t xml:space="preserve">Dharma</w:t>
      </w:r>
      <w:r>
        <w:t xml:space="preserve">”</w:t>
      </w:r>
      <w:r>
        <w:t xml:space="preserve"> </w:t>
      </w:r>
      <w:r>
        <w:t xml:space="preserve">Fascicle)</w:t>
      </w:r>
    </w:p>
    <w:p>
      <w:pPr>
        <w:pStyle w:val="FirstParagraph"/>
      </w:pPr>
      <w:r>
        <w:t xml:space="preserve">In the</w:t>
      </w:r>
      <w:r>
        <w:t xml:space="preserve"> </w:t>
      </w:r>
      <w:r>
        <w:rPr>
          <w:iCs/>
          <w:i/>
        </w:rPr>
        <w:t xml:space="preserve">Hōge</w:t>
      </w:r>
      <w:r>
        <w:t xml:space="preserve">, discrepancies in Entry counts between Sakai (1967) and Ikeda et al. (2020) are found for the following four radical sections. The figures presented in the table below are from Ikeda et al. (2020):</w:t>
      </w:r>
    </w:p>
    <w:tbl>
      <w:tblPr>
        <w:tblStyle w:val="Table"/>
        <w:tblW w:type="pct" w:w="5000"/>
        <w:tblLook w:firstRow="1" w:lastRow="0" w:firstColumn="0" w:lastColumn="0" w:noHBand="0" w:noVBand="0" w:val="0020"/>
        <w:jc w:val="start"/>
      </w:tblPr>
      <w:tblGrid>
        <w:gridCol w:w="707"/>
        <w:gridCol w:w="424"/>
        <w:gridCol w:w="990"/>
        <w:gridCol w:w="990"/>
        <w:gridCol w:w="848"/>
        <w:gridCol w:w="707"/>
        <w:gridCol w:w="707"/>
        <w:gridCol w:w="990"/>
        <w:gridCol w:w="990"/>
        <w:gridCol w:w="565"/>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066</w:t>
            </w:r>
          </w:p>
        </w:tc>
        <w:tc>
          <w:tcPr/>
          <w:p>
            <w:pPr>
              <w:pStyle w:val="Compact"/>
              <w:jc w:val="left"/>
            </w:pPr>
            <w:r>
              <w:t xml:space="preserve">勹</w:t>
            </w:r>
          </w:p>
        </w:tc>
        <w:tc>
          <w:tcPr/>
          <w:p>
            <w:pPr>
              <w:pStyle w:val="Compact"/>
              <w:jc w:val="right"/>
            </w:pPr>
            <w:r>
              <w:t xml:space="preserve">29</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33</w:t>
            </w:r>
          </w:p>
        </w:tc>
        <w:tc>
          <w:tcPr/>
          <w:p>
            <w:pPr>
              <w:pStyle w:val="Compact"/>
              <w:jc w:val="right"/>
            </w:pPr>
            <w:r>
              <w:t xml:space="preserve">37</w:t>
            </w:r>
          </w:p>
        </w:tc>
      </w:tr>
      <w:tr>
        <w:tc>
          <w:tcPr/>
          <w:p>
            <w:pPr>
              <w:pStyle w:val="Compact"/>
              <w:jc w:val="left"/>
            </w:pPr>
            <w:r>
              <w:t xml:space="preserve">068</w:t>
            </w:r>
          </w:p>
        </w:tc>
        <w:tc>
          <w:tcPr/>
          <w:p>
            <w:pPr>
              <w:pStyle w:val="Compact"/>
              <w:jc w:val="left"/>
            </w:pPr>
            <w:r>
              <w:t xml:space="preserve">雨</w:t>
            </w:r>
          </w:p>
        </w:tc>
        <w:tc>
          <w:tcPr/>
          <w:p>
            <w:pPr>
              <w:pStyle w:val="Compact"/>
              <w:jc w:val="right"/>
            </w:pPr>
            <w:r>
              <w:t xml:space="preserve">177</w:t>
            </w:r>
          </w:p>
        </w:tc>
        <w:tc>
          <w:tcPr/>
          <w:p>
            <w:pPr>
              <w:pStyle w:val="Compact"/>
              <w:jc w:val="right"/>
            </w:pPr>
            <w:r>
              <w:t xml:space="preserve">43</w:t>
            </w:r>
          </w:p>
        </w:tc>
        <w:tc>
          <w:tcPr/>
          <w:p>
            <w:pPr>
              <w:pStyle w:val="Compact"/>
              <w:jc w:val="right"/>
            </w:pPr>
            <w:r>
              <w:t xml:space="preserve">6</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228</w:t>
            </w:r>
          </w:p>
        </w:tc>
        <w:tc>
          <w:tcPr/>
          <w:p>
            <w:pPr>
              <w:pStyle w:val="Compact"/>
              <w:jc w:val="right"/>
            </w:pPr>
            <w:r>
              <w:t xml:space="preserve">290</w:t>
            </w:r>
          </w:p>
        </w:tc>
      </w:tr>
      <w:tr>
        <w:tc>
          <w:tcPr/>
          <w:p>
            <w:pPr>
              <w:pStyle w:val="Compact"/>
              <w:jc w:val="left"/>
            </w:pPr>
            <w:r>
              <w:t xml:space="preserve">075</w:t>
            </w:r>
          </w:p>
        </w:tc>
        <w:tc>
          <w:tcPr/>
          <w:p>
            <w:pPr>
              <w:pStyle w:val="Compact"/>
              <w:jc w:val="left"/>
            </w:pPr>
            <w:r>
              <w:t xml:space="preserve">疒</w:t>
            </w:r>
          </w:p>
        </w:tc>
        <w:tc>
          <w:tcPr/>
          <w:p>
            <w:pPr>
              <w:pStyle w:val="Compact"/>
              <w:jc w:val="right"/>
            </w:pPr>
            <w:r>
              <w:t xml:space="preserve">234</w:t>
            </w:r>
          </w:p>
        </w:tc>
        <w:tc>
          <w:tcPr/>
          <w:p>
            <w:pPr>
              <w:pStyle w:val="Compact"/>
              <w:jc w:val="right"/>
            </w:pPr>
            <w:r>
              <w:t xml:space="preserve">138</w:t>
            </w:r>
          </w:p>
        </w:tc>
        <w:tc>
          <w:tcPr/>
          <w:p>
            <w:pPr>
              <w:pStyle w:val="Compact"/>
              <w:jc w:val="right"/>
            </w:pPr>
            <w:r>
              <w:t xml:space="preserve">23</w:t>
            </w:r>
          </w:p>
        </w:tc>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c>
          <w:tcPr/>
          <w:p>
            <w:pPr>
              <w:pStyle w:val="Compact"/>
              <w:jc w:val="right"/>
            </w:pPr>
            <w:r>
              <w:t xml:space="preserve">399</w:t>
            </w:r>
          </w:p>
        </w:tc>
        <w:tc>
          <w:tcPr/>
          <w:p>
            <w:pPr>
              <w:pStyle w:val="Compact"/>
              <w:jc w:val="right"/>
            </w:pPr>
            <w:r>
              <w:t xml:space="preserve">603</w:t>
            </w:r>
          </w:p>
        </w:tc>
      </w:tr>
      <w:tr>
        <w:tc>
          <w:tcPr/>
          <w:p>
            <w:pPr>
              <w:pStyle w:val="Compact"/>
              <w:jc w:val="left"/>
            </w:pPr>
            <w:r>
              <w:t xml:space="preserve">080</w:t>
            </w:r>
          </w:p>
        </w:tc>
        <w:tc>
          <w:tcPr/>
          <w:p>
            <w:pPr>
              <w:pStyle w:val="Compact"/>
              <w:jc w:val="left"/>
            </w:pPr>
            <w:r>
              <w:t xml:space="preserve">寸</w:t>
            </w:r>
          </w:p>
        </w:tc>
        <w:tc>
          <w:tcPr/>
          <w:p>
            <w:pPr>
              <w:pStyle w:val="Compact"/>
              <w:jc w:val="right"/>
            </w:pPr>
            <w:r>
              <w:t xml:space="preserve">18</w:t>
            </w:r>
          </w:p>
        </w:tc>
        <w:tc>
          <w:tcPr/>
          <w:p>
            <w:pPr>
              <w:pStyle w:val="Compact"/>
              <w:jc w:val="right"/>
            </w:pPr>
            <w:r>
              <w:t xml:space="preserve">21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39</w:t>
            </w:r>
          </w:p>
        </w:tc>
        <w:tc>
          <w:tcPr/>
          <w:p>
            <w:pPr>
              <w:pStyle w:val="Compact"/>
              <w:jc w:val="right"/>
            </w:pPr>
            <w:r>
              <w:t xml:space="preserve">60</w:t>
            </w:r>
          </w:p>
        </w:tc>
      </w:tr>
    </w:tbl>
    <w:p>
      <w:pPr>
        <w:pStyle w:val="BodyText"/>
      </w:pPr>
      <w:r>
        <w:t xml:space="preserve">For the</w:t>
      </w:r>
      <w:r>
        <w:t xml:space="preserve"> </w:t>
      </w:r>
      <w:r>
        <w:rPr>
          <w:bCs/>
          <w:b/>
        </w:rPr>
        <w:t xml:space="preserve">“</w:t>
      </w:r>
      <w:r>
        <w:rPr>
          <w:bCs/>
          <w:b/>
        </w:rPr>
        <w:t xml:space="preserve">勹</w:t>
      </w:r>
      <w:r>
        <w:rPr>
          <w:bCs/>
          <w:b/>
        </w:rPr>
        <w:t xml:space="preserve">”</w:t>
      </w:r>
      <w:r>
        <w:rPr>
          <w:bCs/>
          <w:b/>
        </w:rPr>
        <w:t xml:space="preserve"> </w:t>
      </w:r>
      <w:r>
        <w:rPr>
          <w:bCs/>
          <w:b/>
        </w:rPr>
        <w:t xml:space="preserve">(Wrap) radical section</w:t>
      </w:r>
      <w:r>
        <w:t xml:space="preserve"> </w:t>
      </w:r>
      <w:r>
        <w:t xml:space="preserve">(勹部,</w:t>
      </w:r>
      <w:r>
        <w:t xml:space="preserve"> </w:t>
      </w:r>
      <w:r>
        <w:rPr>
          <w:iCs/>
          <w:i/>
        </w:rPr>
        <w:t xml:space="preserve">Hōbu</w:t>
      </w:r>
      <w:r>
        <w:t xml:space="preserve">), the following instance is problematic:</w:t>
      </w:r>
    </w:p>
    <w:p>
      <w:pPr>
        <w:numPr>
          <w:ilvl w:val="0"/>
          <w:numId w:val="1212"/>
        </w:numPr>
        <w:pStyle w:val="Compact"/>
      </w:pPr>
      <w:r>
        <w:rPr>
          <w:rStyle w:val="VerbatimChar"/>
        </w:rPr>
        <w:t xml:space="preserve">kazama_location</w:t>
      </w:r>
      <w:r>
        <w:t xml:space="preserve">: K07057620,</w:t>
      </w:r>
      <w:r>
        <w:t xml:space="preserve"> </w:t>
      </w:r>
      <w:r>
        <w:rPr>
          <w:rStyle w:val="VerbatimChar"/>
        </w:rPr>
        <w:t xml:space="preserve">hanzi_entry</w:t>
      </w:r>
      <w:r>
        <w:t xml:space="preserve">: 匑,</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音⿺麦羽　又穹　ー𠤂　謹敬皃,</w:t>
      </w:r>
      <w:r>
        <w:t xml:space="preserve"> </w:t>
      </w:r>
      <w:r>
        <w:rPr>
          <w:rStyle w:val="VerbatimChar"/>
        </w:rPr>
        <w:t xml:space="preserve">remarks</w:t>
      </w:r>
      <w:r>
        <w:t xml:space="preserve"> </w:t>
      </w:r>
      <w:r>
        <w:t xml:space="preserve">(</w:t>
      </w:r>
      <w:r>
        <w:rPr>
          <w:rStyle w:val="VerbatimChar"/>
          <w:bCs/>
          <w:b/>
        </w:rPr>
        <w:t xml:space="preserve">Compiler's Remark</w:t>
      </w:r>
      <w:r>
        <w:t xml:space="preserve">): Ikeda’s note: Although</w:t>
      </w:r>
      <w:r>
        <w:t xml:space="preserve"> </w:t>
      </w:r>
      <w:r>
        <w:t xml:space="preserve">‘</w:t>
      </w:r>
      <w:r>
        <w:t xml:space="preserve">ー𠤂</w:t>
      </w:r>
      <w:r>
        <w:t xml:space="preserve">’</w:t>
      </w:r>
      <w:r>
        <w:t xml:space="preserve"> </w:t>
      </w:r>
      <w:r>
        <w:t xml:space="preserve">is written in a slightly larger size, it is considered part of the</w:t>
      </w:r>
      <w:r>
        <w:t xml:space="preserve"> </w:t>
      </w:r>
      <w:r>
        <w:rPr>
          <w:rStyle w:val="VerbatimChar"/>
          <w:bCs/>
          <w:b/>
        </w:rPr>
        <w:t xml:space="preserve">Original Glosses</w:t>
      </w:r>
      <w:r>
        <w:t xml:space="preserve">.</w:t>
      </w:r>
    </w:p>
    <w:p>
      <w:pPr>
        <w:numPr>
          <w:ilvl w:val="0"/>
          <w:numId w:val="1212"/>
        </w:numPr>
        <w:pStyle w:val="Compact"/>
      </w:pPr>
      <w:r>
        <w:rPr>
          <w:rStyle w:val="VerbatimChar"/>
        </w:rPr>
        <w:t xml:space="preserve">kazama_location</w:t>
      </w:r>
      <w:r>
        <w:t xml:space="preserve">: K07057640,</w:t>
      </w:r>
      <w:r>
        <w:t xml:space="preserve"> </w:t>
      </w:r>
      <w:r>
        <w:rPr>
          <w:rStyle w:val="VerbatimChar"/>
        </w:rPr>
        <w:t xml:space="preserve">hanzi_entry</w:t>
      </w:r>
      <w:r>
        <w:t xml:space="preserve">: 𠤂,</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音躬</w:t>
      </w:r>
    </w:p>
    <w:p>
      <w:pPr>
        <w:pStyle w:val="FirstParagraph"/>
      </w:pPr>
      <w:r>
        <w:t xml:space="preserve">In the</w:t>
      </w:r>
      <w:r>
        <w:t xml:space="preserve"> </w:t>
      </w:r>
      <w:r>
        <w:rPr>
          <w:rStyle w:val="VerbatimChar"/>
          <w:bCs/>
          <w:b/>
        </w:rPr>
        <w:t xml:space="preserve">Original Glosses</w:t>
      </w:r>
      <w:r>
        <w:t xml:space="preserve"> </w:t>
      </w:r>
      <w:r>
        <w:t xml:space="preserve">for</w:t>
      </w:r>
      <w:r>
        <w:t xml:space="preserve"> </w:t>
      </w:r>
      <w:r>
        <w:t xml:space="preserve">‘</w:t>
      </w:r>
      <w:r>
        <w:t xml:space="preserve">匑</w:t>
      </w:r>
      <w:r>
        <w:t xml:space="preserve">’</w:t>
      </w:r>
      <w:r>
        <w:t xml:space="preserve"> </w:t>
      </w:r>
      <w:r>
        <w:t xml:space="preserve">(</w:t>
      </w:r>
      <w:r>
        <w:rPr>
          <w:rStyle w:val="VerbatimChar"/>
        </w:rPr>
        <w:t xml:space="preserve">K07057620</w:t>
      </w:r>
      <w:r>
        <w:t xml:space="preserve">), the</w:t>
      </w:r>
      <w:r>
        <w:t xml:space="preserve"> </w:t>
      </w:r>
      <w:r>
        <w:t xml:space="preserve">‘</w:t>
      </w:r>
      <w:r>
        <w:t xml:space="preserve">ー</w:t>
      </w:r>
      <w:r>
        <w:t xml:space="preserve">’</w:t>
      </w:r>
      <w:r>
        <w:t xml:space="preserve"> </w:t>
      </w:r>
      <w:r>
        <w:t xml:space="preserve">in</w:t>
      </w:r>
      <w:r>
        <w:t xml:space="preserve"> </w:t>
      </w:r>
      <w:r>
        <w:t xml:space="preserve">‘</w:t>
      </w:r>
      <w:r>
        <w:t xml:space="preserve">ー𠤂</w:t>
      </w:r>
      <w:r>
        <w:t xml:space="preserve">’</w:t>
      </w:r>
      <w:r>
        <w:t xml:space="preserve"> </w:t>
      </w:r>
      <w:r>
        <w:t xml:space="preserve">is a</w:t>
      </w:r>
      <w:r>
        <w:t xml:space="preserve"> </w:t>
      </w:r>
      <w:r>
        <w:rPr>
          <w:rStyle w:val="VerbatimChar"/>
          <w:bCs/>
          <w:b/>
        </w:rPr>
        <w:t xml:space="preserve">Substitution Mark</w:t>
      </w:r>
      <w:r>
        <w:t xml:space="preserve">. Thus,</w:t>
      </w:r>
      <w:r>
        <w:t xml:space="preserve"> </w:t>
      </w:r>
      <w:r>
        <w:t xml:space="preserve">‘</w:t>
      </w:r>
      <w:r>
        <w:t xml:space="preserve">ー𠤂</w:t>
      </w:r>
      <w:r>
        <w:t xml:space="preserve">’</w:t>
      </w:r>
      <w:r>
        <w:t xml:space="preserve"> </w:t>
      </w:r>
      <w:r>
        <w:t xml:space="preserve">represents</w:t>
      </w:r>
      <w:r>
        <w:t xml:space="preserve"> </w:t>
      </w:r>
      <w:r>
        <w:t xml:space="preserve">‘</w:t>
      </w:r>
      <w:r>
        <w:t xml:space="preserve">匑𠤂</w:t>
      </w:r>
      <w:r>
        <w:t xml:space="preserve">’</w:t>
      </w:r>
      <w:r>
        <w:t xml:space="preserve">, and its semantic meaning is given as</w:t>
      </w:r>
      <w:r>
        <w:t xml:space="preserve"> </w:t>
      </w:r>
      <w:r>
        <w:t xml:space="preserve">‘</w:t>
      </w:r>
      <w:r>
        <w:t xml:space="preserve">謹敬皃</w:t>
      </w:r>
      <w:r>
        <w:t xml:space="preserve">’</w:t>
      </w:r>
      <w:r>
        <w:t xml:space="preserve"> </w:t>
      </w:r>
      <w:r>
        <w:t xml:space="preserve">(</w:t>
      </w:r>
      <w:r>
        <w:rPr>
          <w:iCs/>
          <w:i/>
        </w:rPr>
        <w:t xml:space="preserve">jǐnjìngmào</w:t>
      </w:r>
      <w:r>
        <w:t xml:space="preserve">;</w:t>
      </w:r>
      <w:r>
        <w:t xml:space="preserve"> </w:t>
      </w:r>
      <w:r>
        <w:t xml:space="preserve">“</w:t>
      </w:r>
      <w:r>
        <w:t xml:space="preserve">appearance of being reverent and respectful</w:t>
      </w:r>
      <w:r>
        <w:t xml:space="preserve">”</w:t>
      </w:r>
      <w:r>
        <w:t xml:space="preserve">).</w:t>
      </w:r>
      <w:r>
        <w:t xml:space="preserve"> </w:t>
      </w:r>
      <w:r>
        <w:rPr>
          <w:bCs/>
          <w:b/>
        </w:rPr>
        <w:t xml:space="preserve">Masamune’s Kanji Index</w:t>
      </w:r>
      <w:r>
        <w:t xml:space="preserve"> </w:t>
      </w:r>
      <w:r>
        <w:t xml:space="preserve">lists</w:t>
      </w:r>
      <w:r>
        <w:t xml:space="preserve"> </w:t>
      </w:r>
      <w:r>
        <w:t xml:space="preserve">‘</w:t>
      </w:r>
      <w:r>
        <w:t xml:space="preserve">ー（匑）𠤂</w:t>
      </w:r>
      <w:r>
        <w:t xml:space="preserve">’</w:t>
      </w:r>
      <w:r>
        <w:t xml:space="preserve"> </w:t>
      </w:r>
      <w:r>
        <w:t xml:space="preserve">as an</w:t>
      </w:r>
      <w:r>
        <w:t xml:space="preserve"> </w:t>
      </w:r>
      <w:r>
        <w:rPr>
          <w:rStyle w:val="VerbatimChar"/>
          <w:bCs/>
          <w:b/>
        </w:rPr>
        <w:t xml:space="preserve">Entry</w:t>
      </w:r>
      <w:r>
        <w:t xml:space="preserve">.</w:t>
      </w:r>
    </w:p>
    <w:p>
      <w:pPr>
        <w:pStyle w:val="BodyText"/>
      </w:pPr>
      <w:r>
        <w:t xml:space="preserve">The character</w:t>
      </w:r>
      <w:r>
        <w:t xml:space="preserve"> </w:t>
      </w:r>
      <w:r>
        <w:t xml:space="preserve">‘</w:t>
      </w:r>
      <w:r>
        <w:t xml:space="preserve">匑</w:t>
      </w:r>
      <w:r>
        <w:t xml:space="preserve">’</w:t>
      </w:r>
      <w:r>
        <w:t xml:space="preserve"> </w:t>
      </w:r>
      <w:r>
        <w:t xml:space="preserve">appears in the</w:t>
      </w:r>
      <w:r>
        <w:t xml:space="preserve"> </w:t>
      </w:r>
      <w:r>
        <w:rPr>
          <w:iCs/>
          <w:i/>
        </w:rPr>
        <w:t xml:space="preserve">Guangyun</w:t>
      </w:r>
      <w:r>
        <w:t xml:space="preserve"> </w:t>
      </w:r>
      <w:r>
        <w:t xml:space="preserve">with the gloss</w:t>
      </w:r>
      <w:r>
        <w:t xml:space="preserve"> </w:t>
      </w:r>
      <w:r>
        <w:t xml:space="preserve">“</w:t>
      </w:r>
      <w:r>
        <w:t xml:space="preserve">謹敬之皃。又音穹。</w:t>
      </w:r>
      <w:r>
        <w:t xml:space="preserve">”</w:t>
      </w:r>
      <w:r>
        <w:t xml:space="preserve"> </w:t>
      </w:r>
      <w:r>
        <w:t xml:space="preserve">(Appearance of being reverent and respectful. Also pronounced</w:t>
      </w:r>
      <w:r>
        <w:t xml:space="preserve"> </w:t>
      </w:r>
      <w:r>
        <w:rPr>
          <w:iCs/>
          <w:i/>
        </w:rPr>
        <w:t xml:space="preserve">qióng</w:t>
      </w:r>
      <w:r>
        <w:t xml:space="preserve"> </w:t>
      </w:r>
      <w:r>
        <w:t xml:space="preserve">[穹]) under the Level tone (平声),</w:t>
      </w:r>
      <w:r>
        <w:t xml:space="preserve"> </w:t>
      </w:r>
      <w:r>
        <w:rPr>
          <w:iCs/>
          <w:i/>
        </w:rPr>
        <w:t xml:space="preserve">Dong</w:t>
      </w:r>
      <w:r>
        <w:t xml:space="preserve"> </w:t>
      </w:r>
      <w:r>
        <w:t xml:space="preserve">(東) rhyme,</w:t>
      </w:r>
      <w:r>
        <w:t xml:space="preserve"> </w:t>
      </w:r>
      <w:r>
        <w:rPr>
          <w:iCs/>
          <w:i/>
        </w:rPr>
        <w:t xml:space="preserve">xiaoyun</w:t>
      </w:r>
      <w:r>
        <w:t xml:space="preserve"> </w:t>
      </w:r>
      <w:r>
        <w:t xml:space="preserve">‘</w:t>
      </w:r>
      <w:r>
        <w:t xml:space="preserve">弓</w:t>
      </w:r>
      <w:r>
        <w:t xml:space="preserve">’</w:t>
      </w:r>
      <w:r>
        <w:t xml:space="preserve"> </w:t>
      </w:r>
      <w:r>
        <w:t xml:space="preserve">(</w:t>
      </w:r>
      <w:r>
        <w:rPr>
          <w:iCs/>
          <w:i/>
        </w:rPr>
        <w:t xml:space="preserve">gōng</w:t>
      </w:r>
      <w:r>
        <w:t xml:space="preserve">):</w:t>
      </w:r>
      <w:r>
        <w:t xml:space="preserve"> </w:t>
      </w:r>
      <w:r>
        <w:rPr>
          <w:iCs/>
          <w:i/>
        </w:rPr>
        <w:t xml:space="preserve">jūróng qiè</w:t>
      </w:r>
      <w:r>
        <w:t xml:space="preserve"> </w:t>
      </w:r>
      <w:r>
        <w:t xml:space="preserve">(居戎切); and also as</w:t>
      </w:r>
      <w:r>
        <w:t xml:space="preserve"> </w:t>
      </w:r>
      <w:r>
        <w:t xml:space="preserve">“</w:t>
      </w:r>
      <w:r>
        <w:t xml:space="preserve">謹敬之皃</w:t>
      </w:r>
      <w:r>
        <w:t xml:space="preserve">”</w:t>
      </w:r>
      <w:r>
        <w:t xml:space="preserve"> </w:t>
      </w:r>
      <w:r>
        <w:t xml:space="preserve">(Appearance of being reverent and respectful) under the Level tone,</w:t>
      </w:r>
      <w:r>
        <w:t xml:space="preserve"> </w:t>
      </w:r>
      <w:r>
        <w:rPr>
          <w:iCs/>
          <w:i/>
        </w:rPr>
        <w:t xml:space="preserve">Dong</w:t>
      </w:r>
      <w:r>
        <w:t xml:space="preserve"> </w:t>
      </w:r>
      <w:r>
        <w:t xml:space="preserve">rhyme,</w:t>
      </w:r>
      <w:r>
        <w:t xml:space="preserve"> </w:t>
      </w:r>
      <w:r>
        <w:rPr>
          <w:iCs/>
          <w:i/>
        </w:rPr>
        <w:t xml:space="preserve">xiaoyun</w:t>
      </w:r>
      <w:r>
        <w:t xml:space="preserve"> </w:t>
      </w:r>
      <w:r>
        <w:t xml:space="preserve">‘</w:t>
      </w:r>
      <w:r>
        <w:t xml:space="preserve">穹</w:t>
      </w:r>
      <w:r>
        <w:t xml:space="preserve">’</w:t>
      </w:r>
      <w:r>
        <w:t xml:space="preserve"> </w:t>
      </w:r>
      <w:r>
        <w:t xml:space="preserve">(</w:t>
      </w:r>
      <w:r>
        <w:rPr>
          <w:iCs/>
          <w:i/>
        </w:rPr>
        <w:t xml:space="preserve">qióng</w:t>
      </w:r>
      <w:r>
        <w:t xml:space="preserve">):</w:t>
      </w:r>
      <w:r>
        <w:t xml:space="preserve"> </w:t>
      </w:r>
      <w:r>
        <w:rPr>
          <w:iCs/>
          <w:i/>
        </w:rPr>
        <w:t xml:space="preserve">qùgōng qiè</w:t>
      </w:r>
      <w:r>
        <w:t xml:space="preserve"> </w:t>
      </w:r>
      <w:r>
        <w:t xml:space="preserve">(去宫切) [Departing tone reading for 穹]. The</w:t>
      </w:r>
      <w:r>
        <w:t xml:space="preserve"> </w:t>
      </w:r>
      <w:r>
        <w:rPr>
          <w:rStyle w:val="VerbatimChar"/>
          <w:bCs/>
          <w:b/>
        </w:rPr>
        <w:t xml:space="preserve">Phonetic Gloss</w:t>
      </w:r>
      <w:r>
        <w:t xml:space="preserve"> </w:t>
      </w:r>
      <w:r>
        <w:t xml:space="preserve">“</w:t>
      </w:r>
      <w:r>
        <w:t xml:space="preserve">音⿺麦羽</w:t>
      </w:r>
      <w:r>
        <w:t xml:space="preserve">”</w:t>
      </w:r>
      <w:r>
        <w:t xml:space="preserve"> </w:t>
      </w:r>
      <w:r>
        <w:t xml:space="preserve">found in the</w:t>
      </w:r>
      <w:r>
        <w:t xml:space="preserve"> </w:t>
      </w:r>
      <w:r>
        <w:rPr>
          <w:iCs/>
          <w:i/>
        </w:rPr>
        <w:t xml:space="preserve">Myōgishō</w:t>
      </w:r>
      <w:r>
        <w:t xml:space="preserve"> </w:t>
      </w:r>
      <w:r>
        <w:t xml:space="preserve">is questionable. However, the accompanying</w:t>
      </w:r>
      <w:r>
        <w:t xml:space="preserve"> </w:t>
      </w:r>
      <w:r>
        <w:t xml:space="preserve">“</w:t>
      </w:r>
      <w:r>
        <w:t xml:space="preserve">又穹</w:t>
      </w:r>
      <w:r>
        <w:t xml:space="preserve">”</w:t>
      </w:r>
      <w:r>
        <w:t xml:space="preserve"> </w:t>
      </w:r>
      <w:r>
        <w:t xml:space="preserve">(also</w:t>
      </w:r>
      <w:r>
        <w:t xml:space="preserve"> </w:t>
      </w:r>
      <w:r>
        <w:rPr>
          <w:iCs/>
          <w:i/>
        </w:rPr>
        <w:t xml:space="preserve">qióng</w:t>
      </w:r>
      <w:r>
        <w:t xml:space="preserve">) can be seen as indicating a pronunciation from the Level tone,</w:t>
      </w:r>
      <w:r>
        <w:t xml:space="preserve"> </w:t>
      </w:r>
      <w:r>
        <w:rPr>
          <w:iCs/>
          <w:i/>
        </w:rPr>
        <w:t xml:space="preserve">Dong</w:t>
      </w:r>
      <w:r>
        <w:t xml:space="preserve"> </w:t>
      </w:r>
      <w:r>
        <w:t xml:space="preserve">rhyme. Furthermore,</w:t>
      </w:r>
      <w:r>
        <w:t xml:space="preserve"> </w:t>
      </w:r>
      <w:r>
        <w:t xml:space="preserve">‘</w:t>
      </w:r>
      <w:r>
        <w:t xml:space="preserve">匑</w:t>
      </w:r>
      <w:r>
        <w:t xml:space="preserve">’</w:t>
      </w:r>
      <w:r>
        <w:t xml:space="preserve"> </w:t>
      </w:r>
      <w:r>
        <w:t xml:space="preserve">is found in the</w:t>
      </w:r>
      <w:r>
        <w:t xml:space="preserve"> </w:t>
      </w:r>
      <w:r>
        <w:rPr>
          <w:iCs/>
          <w:i/>
        </w:rPr>
        <w:t xml:space="preserve">Banshō Meigi</w:t>
      </w:r>
      <w:r>
        <w:t xml:space="preserve"> </w:t>
      </w:r>
      <w:r>
        <w:t xml:space="preserve">(万象名義) with</w:t>
      </w:r>
      <w:r>
        <w:t xml:space="preserve"> </w:t>
      </w:r>
      <w:r>
        <w:t xml:space="preserve">“</w:t>
      </w:r>
      <w:r>
        <w:t xml:space="preserve">丘陸反。謹敬皃</w:t>
      </w:r>
      <w:r>
        <w:t xml:space="preserve">”</w:t>
      </w:r>
      <w:r>
        <w:t xml:space="preserve"> </w:t>
      </w:r>
      <w:r>
        <w:t xml:space="preserve">and in the Song edition of the</w:t>
      </w:r>
      <w:r>
        <w:t xml:space="preserve"> </w:t>
      </w:r>
      <w:r>
        <w:rPr>
          <w:iCs/>
          <w:i/>
        </w:rPr>
        <w:t xml:space="preserve">Yupian</w:t>
      </w:r>
      <w:r>
        <w:t xml:space="preserve"> </w:t>
      </w:r>
      <w:r>
        <w:t xml:space="preserve">(宋本玉篇) with</w:t>
      </w:r>
      <w:r>
        <w:t xml:space="preserve"> </w:t>
      </w:r>
      <w:r>
        <w:t xml:space="preserve">“</w:t>
      </w:r>
      <w:r>
        <w:t xml:space="preserve">丘六切。又丘弓切。匑𠤊謹敬皃</w:t>
      </w:r>
      <w:r>
        <w:t xml:space="preserve">”</w:t>
      </w:r>
      <w:r>
        <w:t xml:space="preserve">. Since</w:t>
      </w:r>
      <w:r>
        <w:t xml:space="preserve"> </w:t>
      </w:r>
      <w:r>
        <w:t xml:space="preserve">‘</w:t>
      </w:r>
      <w:r>
        <w:t xml:space="preserve">丘陸反</w:t>
      </w:r>
      <w:r>
        <w:t xml:space="preserve">’</w:t>
      </w:r>
      <w:r>
        <w:t xml:space="preserve"> </w:t>
      </w:r>
      <w:r>
        <w:t xml:space="preserve">(</w:t>
      </w:r>
      <w:r>
        <w:rPr>
          <w:iCs/>
          <w:i/>
        </w:rPr>
        <w:t xml:space="preserve">qiūlù fǎn</w:t>
      </w:r>
      <w:r>
        <w:t xml:space="preserve">) and</w:t>
      </w:r>
      <w:r>
        <w:t xml:space="preserve"> </w:t>
      </w:r>
      <w:r>
        <w:t xml:space="preserve">‘</w:t>
      </w:r>
      <w:r>
        <w:t xml:space="preserve">丘六切</w:t>
      </w:r>
      <w:r>
        <w:t xml:space="preserve">’</w:t>
      </w:r>
      <w:r>
        <w:t xml:space="preserve"> </w:t>
      </w:r>
      <w:r>
        <w:t xml:space="preserve">(</w:t>
      </w:r>
      <w:r>
        <w:rPr>
          <w:iCs/>
          <w:i/>
        </w:rPr>
        <w:t xml:space="preserve">qiūliù qiè</w:t>
      </w:r>
      <w:r>
        <w:t xml:space="preserve">) correspond to the Entering tone (入声),</w:t>
      </w:r>
      <w:r>
        <w:t xml:space="preserve"> </w:t>
      </w:r>
      <w:r>
        <w:rPr>
          <w:iCs/>
          <w:i/>
        </w:rPr>
        <w:t xml:space="preserve">Wu</w:t>
      </w:r>
      <w:r>
        <w:t xml:space="preserve"> </w:t>
      </w:r>
      <w:r>
        <w:t xml:space="preserve">(屋) rhyme, and</w:t>
      </w:r>
      <w:r>
        <w:t xml:space="preserve"> </w:t>
      </w:r>
      <w:r>
        <w:rPr>
          <w:iCs/>
          <w:i/>
        </w:rPr>
        <w:t xml:space="preserve">Xi</w:t>
      </w:r>
      <w:r>
        <w:t xml:space="preserve"> </w:t>
      </w:r>
      <w:r>
        <w:t xml:space="preserve">(溪) initial, they are likely scribal errors for</w:t>
      </w:r>
      <w:r>
        <w:t xml:space="preserve"> </w:t>
      </w:r>
      <w:r>
        <w:t xml:space="preserve">‘</w:t>
      </w:r>
      <w:r>
        <w:t xml:space="preserve">麴󠄀</w:t>
      </w:r>
      <w:r>
        <w:t xml:space="preserve">’</w:t>
      </w:r>
      <w:r>
        <w:t xml:space="preserve"> </w:t>
      </w:r>
      <w:r>
        <w:t xml:space="preserve">(yeast/leaven), which has the</w:t>
      </w:r>
      <w:r>
        <w:t xml:space="preserve"> </w:t>
      </w:r>
      <w:r>
        <w:rPr>
          <w:iCs/>
          <w:i/>
        </w:rPr>
        <w:t xml:space="preserve">fanqie</w:t>
      </w:r>
      <w:r>
        <w:t xml:space="preserve"> </w:t>
      </w:r>
      <w:r>
        <w:t xml:space="preserve">spelling</w:t>
      </w:r>
      <w:r>
        <w:t xml:space="preserve"> </w:t>
      </w:r>
      <w:r>
        <w:t xml:space="preserve">“</w:t>
      </w:r>
      <w:r>
        <w:t xml:space="preserve">驅匊切</w:t>
      </w:r>
      <w:r>
        <w:t xml:space="preserve">”</w:t>
      </w:r>
      <w:r>
        <w:t xml:space="preserve"> </w:t>
      </w:r>
      <w:r>
        <w:t xml:space="preserve">(</w:t>
      </w:r>
      <w:r>
        <w:rPr>
          <w:iCs/>
          <w:i/>
        </w:rPr>
        <w:t xml:space="preserve">qūdī qiè</w:t>
      </w:r>
      <w:r>
        <w:t xml:space="preserve">) in the</w:t>
      </w:r>
      <w:r>
        <w:t xml:space="preserve"> </w:t>
      </w:r>
      <w:r>
        <w:rPr>
          <w:iCs/>
          <w:i/>
        </w:rPr>
        <w:t xml:space="preserve">Guangyun</w:t>
      </w:r>
      <w:r>
        <w:t xml:space="preserve">.</w:t>
      </w:r>
    </w:p>
    <w:p>
      <w:pPr>
        <w:pStyle w:val="BodyText"/>
      </w:pPr>
      <w:r>
        <w:t xml:space="preserve">The next</w:t>
      </w:r>
      <w:r>
        <w:t xml:space="preserve"> </w:t>
      </w:r>
      <w:r>
        <w:rPr>
          <w:rStyle w:val="VerbatimChar"/>
          <w:bCs/>
          <w:b/>
        </w:rPr>
        <w:t xml:space="preserve">Entry</w:t>
      </w:r>
      <w:r>
        <w:t xml:space="preserve">,</w:t>
      </w:r>
      <w:r>
        <w:t xml:space="preserve"> </w:t>
      </w:r>
      <w:r>
        <w:rPr>
          <w:rStyle w:val="VerbatimChar"/>
        </w:rPr>
        <w:t xml:space="preserve">K07057640</w:t>
      </w:r>
      <w:r>
        <w:t xml:space="preserve"> </w:t>
      </w:r>
      <w:r>
        <w:t xml:space="preserve">for</w:t>
      </w:r>
      <w:r>
        <w:t xml:space="preserve"> </w:t>
      </w:r>
      <w:r>
        <w:t xml:space="preserve">‘</w:t>
      </w:r>
      <w:r>
        <w:t xml:space="preserve">𠤂</w:t>
      </w:r>
      <w:r>
        <w:t xml:space="preserve">’</w:t>
      </w:r>
      <w:r>
        <w:t xml:space="preserve">, has the</w:t>
      </w:r>
      <w:r>
        <w:t xml:space="preserve"> </w:t>
      </w:r>
      <w:r>
        <w:rPr>
          <w:rStyle w:val="VerbatimChar"/>
          <w:bCs/>
          <w:b/>
        </w:rPr>
        <w:t xml:space="preserve">Phonetic Gloss</w:t>
      </w:r>
      <w:r>
        <w:t xml:space="preserve"> </w:t>
      </w:r>
      <w:r>
        <w:t xml:space="preserve">“</w:t>
      </w:r>
      <w:r>
        <w:t xml:space="preserve">音躬</w:t>
      </w:r>
      <w:r>
        <w:t xml:space="preserve">”</w:t>
      </w:r>
      <w:r>
        <w:t xml:space="preserve"> </w:t>
      </w:r>
      <w:r>
        <w:t xml:space="preserve">(pronounced as</w:t>
      </w:r>
      <w:r>
        <w:t xml:space="preserve"> </w:t>
      </w:r>
      <w:r>
        <w:t xml:space="preserve">‘</w:t>
      </w:r>
      <w:r>
        <w:t xml:space="preserve">躬</w:t>
      </w:r>
      <w:r>
        <w:t xml:space="preserve">’</w:t>
      </w:r>
      <w:r>
        <w:t xml:space="preserve">). While</w:t>
      </w:r>
      <w:r>
        <w:t xml:space="preserve"> </w:t>
      </w:r>
      <w:r>
        <w:t xml:space="preserve">‘</w:t>
      </w:r>
      <w:r>
        <w:t xml:space="preserve">𠤂</w:t>
      </w:r>
      <w:r>
        <w:t xml:space="preserve">’</w:t>
      </w:r>
      <w:r>
        <w:t xml:space="preserve"> </w:t>
      </w:r>
      <w:r>
        <w:t xml:space="preserve">is not found in the</w:t>
      </w:r>
      <w:r>
        <w:t xml:space="preserve"> </w:t>
      </w:r>
      <w:r>
        <w:rPr>
          <w:iCs/>
          <w:i/>
        </w:rPr>
        <w:t xml:space="preserve">Guangyun</w:t>
      </w:r>
      <w:r>
        <w:t xml:space="preserve">, the character</w:t>
      </w:r>
      <w:r>
        <w:t xml:space="preserve"> </w:t>
      </w:r>
      <w:r>
        <w:t xml:space="preserve">‘</w:t>
      </w:r>
      <w:r>
        <w:t xml:space="preserve">躬</w:t>
      </w:r>
      <w:r>
        <w:t xml:space="preserve">’</w:t>
      </w:r>
      <w:r>
        <w:t xml:space="preserve"> </w:t>
      </w:r>
      <w:r>
        <w:t xml:space="preserve">(</w:t>
      </w:r>
      <w:r>
        <w:rPr>
          <w:iCs/>
          <w:i/>
        </w:rPr>
        <w:t xml:space="preserve">gōng</w:t>
      </w:r>
      <w:r>
        <w:t xml:space="preserve">) cited in the gloss is listed in the</w:t>
      </w:r>
      <w:r>
        <w:t xml:space="preserve"> </w:t>
      </w:r>
      <w:r>
        <w:rPr>
          <w:iCs/>
          <w:i/>
        </w:rPr>
        <w:t xml:space="preserve">Guangyun</w:t>
      </w:r>
      <w:r>
        <w:t xml:space="preserve"> </w:t>
      </w:r>
      <w:r>
        <w:t xml:space="preserve">with the</w:t>
      </w:r>
      <w:r>
        <w:t xml:space="preserve"> </w:t>
      </w:r>
      <w:r>
        <w:rPr>
          <w:iCs/>
          <w:i/>
        </w:rPr>
        <w:t xml:space="preserve">fanqie</w:t>
      </w:r>
      <w:r>
        <w:t xml:space="preserve"> </w:t>
      </w:r>
      <w:r>
        <w:t xml:space="preserve">“</w:t>
      </w:r>
      <w:r>
        <w:t xml:space="preserve">居戎切</w:t>
      </w:r>
      <w:r>
        <w:t xml:space="preserve">”</w:t>
      </w:r>
      <w:r>
        <w:t xml:space="preserve"> </w:t>
      </w:r>
      <w:r>
        <w:t xml:space="preserve">(</w:t>
      </w:r>
      <w:r>
        <w:rPr>
          <w:iCs/>
          <w:i/>
        </w:rPr>
        <w:t xml:space="preserve">jūróng qiè</w:t>
      </w:r>
      <w:r>
        <w:t xml:space="preserve">; Level tone,</w:t>
      </w:r>
      <w:r>
        <w:t xml:space="preserve"> </w:t>
      </w:r>
      <w:r>
        <w:rPr>
          <w:iCs/>
          <w:i/>
        </w:rPr>
        <w:t xml:space="preserve">Dong</w:t>
      </w:r>
      <w:r>
        <w:t xml:space="preserve"> </w:t>
      </w:r>
      <w:r>
        <w:t xml:space="preserve">rhyme,</w:t>
      </w:r>
      <w:r>
        <w:t xml:space="preserve"> </w:t>
      </w:r>
      <w:r>
        <w:rPr>
          <w:iCs/>
          <w:i/>
        </w:rPr>
        <w:t xml:space="preserve">xiaoyun</w:t>
      </w:r>
      <w:r>
        <w:t xml:space="preserve"> </w:t>
      </w:r>
      <w:r>
        <w:t xml:space="preserve">‘</w:t>
      </w:r>
      <w:r>
        <w:t xml:space="preserve">弓</w:t>
      </w:r>
      <w:r>
        <w:t xml:space="preserve">’</w:t>
      </w:r>
      <w:r>
        <w:t xml:space="preserve">), making it homophonous with</w:t>
      </w:r>
      <w:r>
        <w:t xml:space="preserve"> </w:t>
      </w:r>
      <w:r>
        <w:t xml:space="preserve">‘</w:t>
      </w:r>
      <w:r>
        <w:t xml:space="preserve">匑</w:t>
      </w:r>
      <w:r>
        <w:t xml:space="preserve">’</w:t>
      </w:r>
      <w:r>
        <w:t xml:space="preserve">. Although</w:t>
      </w:r>
      <w:r>
        <w:t xml:space="preserve"> </w:t>
      </w:r>
      <w:r>
        <w:t xml:space="preserve">‘</w:t>
      </w:r>
      <w:r>
        <w:t xml:space="preserve">𠤂</w:t>
      </w:r>
      <w:r>
        <w:t xml:space="preserve">’</w:t>
      </w:r>
      <w:r>
        <w:t xml:space="preserve"> </w:t>
      </w:r>
      <w:r>
        <w:t xml:space="preserve">is not found in the</w:t>
      </w:r>
      <w:r>
        <w:t xml:space="preserve"> </w:t>
      </w:r>
      <w:r>
        <w:rPr>
          <w:iCs/>
          <w:i/>
        </w:rPr>
        <w:t xml:space="preserve">Banshō Meigi</w:t>
      </w:r>
      <w:r>
        <w:t xml:space="preserve">, the Song edition of the</w:t>
      </w:r>
      <w:r>
        <w:t xml:space="preserve"> </w:t>
      </w:r>
      <w:r>
        <w:rPr>
          <w:iCs/>
          <w:i/>
        </w:rPr>
        <w:t xml:space="preserve">Yupian</w:t>
      </w:r>
      <w:r>
        <w:t xml:space="preserve">, or the</w:t>
      </w:r>
      <w:r>
        <w:t xml:space="preserve"> </w:t>
      </w:r>
      <w:r>
        <w:rPr>
          <w:iCs/>
          <w:i/>
        </w:rPr>
        <w:t xml:space="preserve">Guangyun</w:t>
      </w:r>
      <w:r>
        <w:t xml:space="preserve">, it does appear in the</w:t>
      </w:r>
      <w:r>
        <w:t xml:space="preserve"> </w:t>
      </w:r>
      <w:r>
        <w:rPr>
          <w:iCs/>
          <w:i/>
        </w:rPr>
        <w:t xml:space="preserve">Jiyun</w:t>
      </w:r>
      <w:r>
        <w:t xml:space="preserve"> </w:t>
      </w:r>
      <w:r>
        <w:t xml:space="preserve">(集韻) under the entry for</w:t>
      </w:r>
      <w:r>
        <w:t xml:space="preserve"> </w:t>
      </w:r>
      <w:r>
        <w:t xml:space="preserve">“</w:t>
      </w:r>
      <w:r>
        <w:t xml:space="preserve">𠤂匔</w:t>
      </w:r>
      <w:r>
        <w:t xml:space="preserve">”</w:t>
      </w:r>
      <w:r>
        <w:t xml:space="preserve"> </w:t>
      </w:r>
      <w:r>
        <w:t xml:space="preserve">with the gloss</w:t>
      </w:r>
      <w:r>
        <w:t xml:space="preserve"> </w:t>
      </w:r>
      <w:r>
        <w:t xml:space="preserve">“</w:t>
      </w:r>
      <w:r>
        <w:t xml:space="preserve">謹敬也或作匔</w:t>
      </w:r>
      <w:r>
        <w:t xml:space="preserve">”</w:t>
      </w:r>
      <w:r>
        <w:t xml:space="preserve"> </w:t>
      </w:r>
      <w:r>
        <w:t xml:space="preserve">(Reverent and respectful; also written as 匔) under the Level tone,</w:t>
      </w:r>
      <w:r>
        <w:t xml:space="preserve"> </w:t>
      </w:r>
      <w:r>
        <w:rPr>
          <w:iCs/>
          <w:i/>
        </w:rPr>
        <w:t xml:space="preserve">Dong</w:t>
      </w:r>
      <w:r>
        <w:t xml:space="preserve"> </w:t>
      </w:r>
      <w:r>
        <w:t xml:space="preserve">rhyme,</w:t>
      </w:r>
      <w:r>
        <w:t xml:space="preserve"> </w:t>
      </w:r>
      <w:r>
        <w:rPr>
          <w:iCs/>
          <w:i/>
        </w:rPr>
        <w:t xml:space="preserve">xiaoyun</w:t>
      </w:r>
      <w:r>
        <w:t xml:space="preserve"> </w:t>
      </w:r>
      <w:r>
        <w:t xml:space="preserve">‘</w:t>
      </w:r>
      <w:r>
        <w:t xml:space="preserve">窮</w:t>
      </w:r>
      <w:r>
        <w:t xml:space="preserve">’</w:t>
      </w:r>
      <w:r>
        <w:t xml:space="preserve"> </w:t>
      </w:r>
      <w:r>
        <w:t xml:space="preserve">(</w:t>
      </w:r>
      <w:r>
        <w:rPr>
          <w:iCs/>
          <w:i/>
        </w:rPr>
        <w:t xml:space="preserve">qióng</w:t>
      </w:r>
      <w:r>
        <w:t xml:space="preserve">):</w:t>
      </w:r>
      <w:r>
        <w:t xml:space="preserve"> </w:t>
      </w:r>
      <w:r>
        <w:rPr>
          <w:iCs/>
          <w:i/>
        </w:rPr>
        <w:t xml:space="preserve">qúgōng qiè</w:t>
      </w:r>
      <w:r>
        <w:t xml:space="preserve"> </w:t>
      </w:r>
      <w:r>
        <w:t xml:space="preserve">(渠弓切).</w:t>
      </w:r>
    </w:p>
    <w:p>
      <w:pPr>
        <w:pStyle w:val="BodyText"/>
      </w:pPr>
      <w:r>
        <w:t xml:space="preserve">Based on the above, it is difficult to consider</w:t>
      </w:r>
      <w:r>
        <w:t xml:space="preserve"> </w:t>
      </w:r>
      <w:r>
        <w:t xml:space="preserve">‘</w:t>
      </w:r>
      <w:r>
        <w:t xml:space="preserve">ー（匑）𠤂</w:t>
      </w:r>
      <w:r>
        <w:t xml:space="preserve">’</w:t>
      </w:r>
      <w:r>
        <w:t xml:space="preserve"> </w:t>
      </w:r>
      <w:r>
        <w:t xml:space="preserve">in the Kanchi-in manuscript as a compound word; it is more likely a co-listing of</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w:t>
      </w:r>
    </w:p>
    <w:p>
      <w:pPr>
        <w:pStyle w:val="BodyText"/>
      </w:pPr>
      <w:r>
        <w:t xml:space="preserve">The original text for this section can be referred to on the left side of the</w:t>
      </w:r>
      <w:r>
        <w:t xml:space="preserve"> </w:t>
      </w:r>
      <w:hyperlink r:id="rId327">
        <w:r>
          <w:rPr>
            <w:rStyle w:val="Hyperlink"/>
          </w:rPr>
          <w:t xml:space="preserve">corresponding page</w:t>
        </w:r>
      </w:hyperlink>
      <w:r>
        <w:t xml:space="preserve"> </w:t>
      </w:r>
      <w:r>
        <w:t xml:space="preserve">in the National Diet Library Digital Collections.</w:t>
      </w:r>
    </w:p>
    <w:p>
      <w:pPr>
        <w:pStyle w:val="BodyText"/>
      </w:pPr>
      <w:r>
        <w:t xml:space="preserve">For the</w:t>
      </w:r>
      <w:r>
        <w:t xml:space="preserve"> </w:t>
      </w:r>
      <w:r>
        <w:rPr>
          <w:bCs/>
          <w:b/>
        </w:rPr>
        <w:t xml:space="preserve">“</w:t>
      </w:r>
      <w:r>
        <w:rPr>
          <w:bCs/>
          <w:b/>
        </w:rPr>
        <w:t xml:space="preserve">雨</w:t>
      </w:r>
      <w:r>
        <w:rPr>
          <w:bCs/>
          <w:b/>
        </w:rPr>
        <w:t xml:space="preserve">”</w:t>
      </w:r>
      <w:r>
        <w:rPr>
          <w:bCs/>
          <w:b/>
        </w:rPr>
        <w:t xml:space="preserve"> </w:t>
      </w:r>
      <w:r>
        <w:rPr>
          <w:bCs/>
          <w:b/>
        </w:rPr>
        <w:t xml:space="preserve">(Rain) radical section</w:t>
      </w:r>
      <w:r>
        <w:t xml:space="preserve"> </w:t>
      </w:r>
      <w:r>
        <w:t xml:space="preserve">(雨部,</w:t>
      </w:r>
      <w:r>
        <w:t xml:space="preserve"> </w:t>
      </w:r>
      <w:r>
        <w:rPr>
          <w:iCs/>
          <w:i/>
        </w:rPr>
        <w:t xml:space="preserve">Ubu</w:t>
      </w:r>
      <w:r>
        <w:t xml:space="preserve">), Sakai (1967) counts 226</w:t>
      </w:r>
      <w:r>
        <w:t xml:space="preserve"> </w:t>
      </w:r>
      <w:r>
        <w:rPr>
          <w:rStyle w:val="VerbatimChar"/>
          <w:bCs/>
          <w:b/>
        </w:rPr>
        <w:t xml:space="preserve">Entries</w:t>
      </w:r>
      <w:r>
        <w:t xml:space="preserve">, while Ikeda et al. (2020) count 228</w:t>
      </w:r>
      <w:r>
        <w:t xml:space="preserve"> </w:t>
      </w:r>
      <w:r>
        <w:rPr>
          <w:rStyle w:val="VerbatimChar"/>
          <w:bCs/>
          <w:b/>
        </w:rPr>
        <w:t xml:space="preserve">Entries</w:t>
      </w:r>
      <w:r>
        <w:t xml:space="preserve">, a difference of two</w:t>
      </w:r>
      <w:r>
        <w:t xml:space="preserve"> </w:t>
      </w:r>
      <w:r>
        <w:rPr>
          <w:rStyle w:val="VerbatimChar"/>
          <w:bCs/>
          <w:b/>
        </w:rPr>
        <w:t xml:space="preserve">Entries</w:t>
      </w:r>
      <w:r>
        <w:t xml:space="preserve">. The following example illustrates an instance where the identification of</w:t>
      </w:r>
      <w:r>
        <w:t xml:space="preserve"> </w:t>
      </w:r>
      <w:r>
        <w:rPr>
          <w:rStyle w:val="VerbatimChar"/>
          <w:bCs/>
          <w:b/>
        </w:rPr>
        <w:t xml:space="preserve">Entries</w:t>
      </w:r>
      <w:r>
        <w:t xml:space="preserve"> </w:t>
      </w:r>
      <w:r>
        <w:t xml:space="preserve">is problematic:</w:t>
      </w:r>
    </w:p>
    <w:p>
      <w:pPr>
        <w:numPr>
          <w:ilvl w:val="0"/>
          <w:numId w:val="1213"/>
        </w:numPr>
        <w:pStyle w:val="Compact"/>
      </w:pPr>
      <w:r>
        <w:rPr>
          <w:rStyle w:val="VerbatimChar"/>
        </w:rPr>
        <w:t xml:space="preserve">kazama_location</w:t>
      </w:r>
      <w:r>
        <w:t xml:space="preserve">: K07067330,</w:t>
      </w:r>
      <w:r>
        <w:t xml:space="preserve"> </w:t>
      </w:r>
      <w:r>
        <w:rPr>
          <w:rStyle w:val="VerbatimChar"/>
        </w:rPr>
        <w:t xml:space="preserve">hanzi_entry</w:t>
      </w:r>
      <w:r>
        <w:t xml:space="preserve">: 霆,</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定（R）亭（L）挺（H）三音　霹靂　イナヒカリ（__LVHL）　イカツチ（H_HV_）,</w:t>
      </w:r>
      <w:r>
        <w:t xml:space="preserve"> </w:t>
      </w:r>
      <w:r>
        <w:rPr>
          <w:rStyle w:val="VerbatimChar"/>
        </w:rPr>
        <w:t xml:space="preserve">remarks</w:t>
      </w:r>
      <w:r>
        <w:t xml:space="preserve"> </w:t>
      </w:r>
      <w:r>
        <w:t xml:space="preserve">(</w:t>
      </w:r>
      <w:r>
        <w:rPr>
          <w:rStyle w:val="VerbatimChar"/>
          <w:bCs/>
          <w:b/>
        </w:rPr>
        <w:t xml:space="preserve">Compiler's Remark</w:t>
      </w:r>
      <w:r>
        <w:t xml:space="preserve">): Ikeda’s note:</w:t>
      </w:r>
      <w:r>
        <w:t xml:space="preserve"> </w:t>
      </w:r>
      <w:r>
        <w:t xml:space="preserve">‘</w:t>
      </w:r>
      <w:r>
        <w:t xml:space="preserve">霹靂</w:t>
      </w:r>
      <w:r>
        <w:t xml:space="preserve">’</w:t>
      </w:r>
      <w:r>
        <w:t xml:space="preserve"> </w:t>
      </w:r>
      <w:r>
        <w:t xml:space="preserve">is a</w:t>
      </w:r>
      <w:r>
        <w:t xml:space="preserve"> </w:t>
      </w:r>
      <w:r>
        <w:rPr>
          <w:rStyle w:val="VerbatimChar"/>
          <w:bCs/>
          <w:b/>
        </w:rPr>
        <w:t xml:space="preserve">Semantic Gloss in Chinese</w:t>
      </w:r>
      <w:r>
        <w:t xml:space="preserve">.</w:t>
      </w:r>
    </w:p>
    <w:p>
      <w:pPr>
        <w:pStyle w:val="FirstParagraph"/>
      </w:pPr>
      <w:r>
        <w:t xml:space="preserve">The characters</w:t>
      </w:r>
      <w:r>
        <w:t xml:space="preserve"> </w:t>
      </w:r>
      <w:r>
        <w:t xml:space="preserve">‘</w:t>
      </w:r>
      <w:r>
        <w:t xml:space="preserve">霹靂</w:t>
      </w:r>
      <w:r>
        <w:t xml:space="preserve">’</w:t>
      </w:r>
      <w:r>
        <w:t xml:space="preserve"> </w:t>
      </w:r>
      <w:r>
        <w:t xml:space="preserve">(</w:t>
      </w:r>
      <w:r>
        <w:rPr>
          <w:iCs/>
          <w:i/>
        </w:rPr>
        <w:t xml:space="preserve">Hekireki</w:t>
      </w:r>
      <w:r>
        <w:t xml:space="preserve">; thunderclap) are written in a slightly larger size. Furthermore, while this</w:t>
      </w:r>
      <w:r>
        <w:t xml:space="preserve"> </w:t>
      </w:r>
      <w:r>
        <w:rPr>
          <w:rStyle w:val="VerbatimChar"/>
          <w:bCs/>
          <w:b/>
        </w:rPr>
        <w:t xml:space="preserve">Entry</w:t>
      </w:r>
      <w:r>
        <w:t xml:space="preserve"> </w:t>
      </w:r>
      <w:r>
        <w:t xml:space="preserve">for</w:t>
      </w:r>
      <w:r>
        <w:t xml:space="preserve"> </w:t>
      </w:r>
      <w:r>
        <w:t xml:space="preserve">‘</w:t>
      </w:r>
      <w:r>
        <w:t xml:space="preserve">霆</w:t>
      </w:r>
      <w:r>
        <w:t xml:space="preserve">’</w:t>
      </w:r>
      <w:r>
        <w:t xml:space="preserve"> </w:t>
      </w:r>
      <w:r>
        <w:t xml:space="preserve">occupies the space of two cells (or blocks; 2格,</w:t>
      </w:r>
      <w:r>
        <w:t xml:space="preserve"> </w:t>
      </w:r>
      <w:r>
        <w:rPr>
          <w:iCs/>
          <w:i/>
        </w:rPr>
        <w:t xml:space="preserve">nikaku</w:t>
      </w:r>
      <w:r>
        <w:t xml:space="preserve">), the segment</w:t>
      </w:r>
      <w:r>
        <w:t xml:space="preserve"> </w:t>
      </w:r>
      <w:r>
        <w:t xml:space="preserve">‘</w:t>
      </w:r>
      <w:r>
        <w:t xml:space="preserve">霹靂　イナヒカリ（__LVHL）</w:t>
      </w:r>
      <w:r>
        <w:t xml:space="preserve">’</w:t>
      </w:r>
      <w:r>
        <w:t xml:space="preserve"> </w:t>
      </w:r>
      <w:r>
        <w:t xml:space="preserve">is written in the second cell, suggesting it could potentially have been a separate</w:t>
      </w:r>
      <w:r>
        <w:t xml:space="preserve"> </w:t>
      </w:r>
      <w:r>
        <w:rPr>
          <w:rStyle w:val="VerbatimChar"/>
          <w:bCs/>
          <w:b/>
        </w:rPr>
        <w:t xml:space="preserve">Headword</w:t>
      </w:r>
      <w:r>
        <w:t xml:space="preserve"> </w:t>
      </w:r>
      <w:r>
        <w:t xml:space="preserve">(and thus a distinct</w:t>
      </w:r>
      <w:r>
        <w:t xml:space="preserve"> </w:t>
      </w:r>
      <w:r>
        <w:rPr>
          <w:rStyle w:val="VerbatimChar"/>
          <w:bCs/>
          <w:b/>
        </w:rPr>
        <w:t xml:space="preserve">Entry</w:t>
      </w:r>
      <w:r>
        <w:t xml:space="preserve">). However, since</w:t>
      </w:r>
      <w:r>
        <w:t xml:space="preserve"> </w:t>
      </w:r>
      <w:r>
        <w:t xml:space="preserve">‘</w:t>
      </w:r>
      <w:r>
        <w:t xml:space="preserve">霹靂</w:t>
      </w:r>
      <w:r>
        <w:t xml:space="preserve">’</w:t>
      </w:r>
      <w:r>
        <w:t xml:space="preserve"> </w:t>
      </w:r>
      <w:r>
        <w:t xml:space="preserve">is listed as a</w:t>
      </w:r>
      <w:r>
        <w:t xml:space="preserve"> </w:t>
      </w:r>
      <w:r>
        <w:rPr>
          <w:rStyle w:val="VerbatimChar"/>
          <w:bCs/>
          <w:b/>
        </w:rPr>
        <w:t xml:space="preserve">Headword</w:t>
      </w:r>
      <w:r>
        <w:t xml:space="preserve"> </w:t>
      </w:r>
      <w:r>
        <w:t xml:space="preserve">elsewhere in the</w:t>
      </w:r>
      <w:r>
        <w:t xml:space="preserve"> </w:t>
      </w:r>
      <w:r>
        <w:rPr>
          <w:iCs/>
          <w:i/>
        </w:rPr>
        <w:t xml:space="preserve">Myōgishō</w:t>
      </w:r>
      <w:r>
        <w:t xml:space="preserve">, and considering its content in this instance, it was judged appropriate to treat it as a phrase within the</w:t>
      </w:r>
      <w:r>
        <w:t xml:space="preserve"> </w:t>
      </w:r>
      <w:r>
        <w:rPr>
          <w:rStyle w:val="VerbatimChar"/>
          <w:bCs/>
          <w:b/>
        </w:rPr>
        <w:t xml:space="preserve">Original Glosses</w:t>
      </w:r>
      <w:r>
        <w:t xml:space="preserve"> </w:t>
      </w:r>
      <w:r>
        <w:t xml:space="preserve">for</w:t>
      </w:r>
      <w:r>
        <w:t xml:space="preserve"> </w:t>
      </w:r>
      <w:r>
        <w:t xml:space="preserve">‘</w:t>
      </w:r>
      <w:r>
        <w:t xml:space="preserve">霆</w:t>
      </w:r>
      <w:r>
        <w:t xml:space="preserve">’</w:t>
      </w:r>
      <w:r>
        <w:t xml:space="preserve">.</w:t>
      </w:r>
    </w:p>
    <w:p>
      <w:pPr>
        <w:pStyle w:val="BodyText"/>
      </w:pPr>
      <w:r>
        <w:t xml:space="preserve">The original text for this section can be referred to on the left side of the</w:t>
      </w:r>
      <w:r>
        <w:t xml:space="preserve"> </w:t>
      </w:r>
      <w:hyperlink r:id="rId328">
        <w:r>
          <w:rPr>
            <w:rStyle w:val="Hyperlink"/>
          </w:rPr>
          <w:t xml:space="preserve">corresponding page</w:t>
        </w:r>
      </w:hyperlink>
      <w:r>
        <w:t xml:space="preserve"> </w:t>
      </w:r>
      <w:r>
        <w:t xml:space="preserve">in the National Diet Library Digital Collections.</w:t>
      </w:r>
    </w:p>
    <w:p>
      <w:pPr>
        <w:pStyle w:val="BodyText"/>
      </w:pPr>
      <w:r>
        <w:t xml:space="preserve">Another problematic instance is the following example. Related preceding and succeeding</w:t>
      </w:r>
      <w:r>
        <w:t xml:space="preserve"> </w:t>
      </w:r>
      <w:r>
        <w:rPr>
          <w:rStyle w:val="VerbatimChar"/>
          <w:bCs/>
          <w:b/>
        </w:rPr>
        <w:t xml:space="preserve">Entries</w:t>
      </w:r>
      <w:r>
        <w:t xml:space="preserve"> </w:t>
      </w:r>
      <w:r>
        <w:t xml:space="preserve">are also shown for context:</w:t>
      </w:r>
    </w:p>
    <w:p>
      <w:pPr>
        <w:numPr>
          <w:ilvl w:val="0"/>
          <w:numId w:val="1214"/>
        </w:numPr>
        <w:pStyle w:val="Compact"/>
      </w:pPr>
      <w:r>
        <w:rPr>
          <w:rStyle w:val="VerbatimChar"/>
        </w:rPr>
        <w:t xml:space="preserve">kazama_location</w:t>
      </w:r>
      <w:r>
        <w:t xml:space="preserve">: K07068530,</w:t>
      </w:r>
      <w:r>
        <w:t xml:space="preserve"> </w:t>
      </w:r>
      <w:r>
        <w:rPr>
          <w:rStyle w:val="VerbatimChar"/>
        </w:rPr>
        <w:t xml:space="preserve">hanzi_entry</w:t>
      </w:r>
      <w:r>
        <w:t xml:space="preserve">: 雹,</w:t>
      </w:r>
      <w:r>
        <w:t xml:space="preserve"> </w:t>
      </w:r>
      <w:r>
        <w:rPr>
          <w:rStyle w:val="VerbatimChar"/>
        </w:rPr>
        <w:t xml:space="preserve">definition</w:t>
      </w:r>
      <w:r>
        <w:t xml:space="preserve">: 歩角反　アラレ（HHH）　和ハク　ハウ</w:t>
      </w:r>
    </w:p>
    <w:p>
      <w:pPr>
        <w:numPr>
          <w:ilvl w:val="0"/>
          <w:numId w:val="1214"/>
        </w:numPr>
        <w:pStyle w:val="Compact"/>
      </w:pPr>
      <w:r>
        <w:rPr>
          <w:rStyle w:val="VerbatimChar"/>
        </w:rPr>
        <w:t xml:space="preserve">kazama_location</w:t>
      </w:r>
      <w:r>
        <w:t xml:space="preserve">: K07068541,</w:t>
      </w:r>
      <w:r>
        <w:t xml:space="preserve"> </w:t>
      </w:r>
      <w:r>
        <w:rPr>
          <w:rStyle w:val="VerbatimChar"/>
        </w:rPr>
        <w:t xml:space="preserve">hanzi_entry</w:t>
      </w:r>
      <w:r>
        <w:t xml:space="preserve">: 𩅟,</w:t>
      </w:r>
      <w:r>
        <w:t xml:space="preserve"> </w:t>
      </w:r>
      <w:r>
        <w:rPr>
          <w:rStyle w:val="VerbatimChar"/>
        </w:rPr>
        <w:t xml:space="preserve">definition</w:t>
      </w:r>
      <w:r>
        <w:t xml:space="preserve">: 或</w:t>
      </w:r>
    </w:p>
    <w:p>
      <w:pPr>
        <w:numPr>
          <w:ilvl w:val="0"/>
          <w:numId w:val="1214"/>
        </w:numPr>
        <w:pStyle w:val="Compact"/>
      </w:pPr>
      <w:r>
        <w:rPr>
          <w:rStyle w:val="VerbatimChar"/>
        </w:rPr>
        <w:t xml:space="preserve">kazama_location</w:t>
      </w:r>
      <w:r>
        <w:t xml:space="preserve">: K07068542,</w:t>
      </w:r>
      <w:r>
        <w:t xml:space="preserve"> </w:t>
      </w:r>
      <w:r>
        <w:rPr>
          <w:rStyle w:val="VerbatimChar"/>
        </w:rPr>
        <w:t xml:space="preserve">hanzi_entry</w:t>
      </w:r>
      <w:r>
        <w:t xml:space="preserve">: 雹,</w:t>
      </w:r>
      <w:r>
        <w:t xml:space="preserve"> </w:t>
      </w:r>
      <w:r>
        <w:rPr>
          <w:rStyle w:val="VerbatimChar"/>
        </w:rPr>
        <w:t xml:space="preserve">definition</w:t>
      </w:r>
      <w:r>
        <w:t xml:space="preserve">: (Unannotated)</w:t>
      </w:r>
    </w:p>
    <w:p>
      <w:pPr>
        <w:numPr>
          <w:ilvl w:val="0"/>
          <w:numId w:val="1214"/>
        </w:numPr>
        <w:pStyle w:val="Compact"/>
      </w:pPr>
      <w:r>
        <w:rPr>
          <w:rStyle w:val="VerbatimChar"/>
        </w:rPr>
        <w:t xml:space="preserve">kazama_location</w:t>
      </w:r>
      <w:r>
        <w:t xml:space="preserve">: K07068611,</w:t>
      </w:r>
      <w:r>
        <w:t xml:space="preserve"> </w:t>
      </w:r>
      <w:r>
        <w:rPr>
          <w:rStyle w:val="VerbatimChar"/>
        </w:rPr>
        <w:t xml:space="preserve">hanzi_entry</w:t>
      </w:r>
      <w:r>
        <w:t xml:space="preserve">: 𩂁／䨔／⿱𩅒田,</w:t>
      </w:r>
      <w:r>
        <w:t xml:space="preserve"> </w:t>
      </w:r>
      <w:r>
        <w:rPr>
          <w:rStyle w:val="VerbatimChar"/>
        </w:rPr>
        <w:t xml:space="preserve">definition</w:t>
      </w:r>
      <w:r>
        <w:t xml:space="preserve">: 俗</w:t>
      </w:r>
    </w:p>
    <w:p>
      <w:pPr>
        <w:pStyle w:val="FirstParagraph"/>
      </w:pPr>
      <w:r>
        <w:t xml:space="preserve">The third</w:t>
      </w:r>
      <w:r>
        <w:t xml:space="preserve"> </w:t>
      </w:r>
      <w:r>
        <w:rPr>
          <w:rStyle w:val="VerbatimChar"/>
          <w:bCs/>
          <w:b/>
        </w:rPr>
        <w:t xml:space="preserve">Entry</w:t>
      </w:r>
      <w:r>
        <w:t xml:space="preserve">,</w:t>
      </w:r>
      <w:r>
        <w:t xml:space="preserve"> </w:t>
      </w:r>
      <w:r>
        <w:rPr>
          <w:rStyle w:val="VerbatimChar"/>
        </w:rPr>
        <w:t xml:space="preserve">K07068542</w:t>
      </w:r>
      <w:r>
        <w:t xml:space="preserve"> </w:t>
      </w:r>
      <w:r>
        <w:t xml:space="preserve">with</w:t>
      </w:r>
      <w:r>
        <w:t xml:space="preserve"> </w:t>
      </w:r>
      <w:r>
        <w:rPr>
          <w:rStyle w:val="VerbatimChar"/>
          <w:bCs/>
          <w:b/>
        </w:rPr>
        <w:t xml:space="preserve">Headword</w:t>
      </w:r>
      <w:r>
        <w:t xml:space="preserve"> </w:t>
      </w:r>
      <w:r>
        <w:t xml:space="preserve">‘</w:t>
      </w:r>
      <w:r>
        <w:t xml:space="preserve">雹</w:t>
      </w:r>
      <w:r>
        <w:t xml:space="preserve">’</w:t>
      </w:r>
      <w:r>
        <w:t xml:space="preserve">, appears at the end of its line and might seem continuous with the next</w:t>
      </w:r>
      <w:r>
        <w:t xml:space="preserve"> </w:t>
      </w:r>
      <w:r>
        <w:rPr>
          <w:rStyle w:val="VerbatimChar"/>
          <w:bCs/>
          <w:b/>
        </w:rPr>
        <w:t xml:space="preserve">Entry</w:t>
      </w:r>
      <w:r>
        <w:t xml:space="preserve"> </w:t>
      </w:r>
      <w:r>
        <w:t xml:space="preserve">on the following line,</w:t>
      </w:r>
      <w:r>
        <w:t xml:space="preserve"> </w:t>
      </w:r>
      <w:r>
        <w:rPr>
          <w:rStyle w:val="VerbatimChar"/>
        </w:rPr>
        <w:t xml:space="preserve">K07068611</w:t>
      </w:r>
      <w:r>
        <w:t xml:space="preserve"> </w:t>
      </w:r>
      <w:r>
        <w:t xml:space="preserve">with</w:t>
      </w:r>
      <w:r>
        <w:t xml:space="preserve"> </w:t>
      </w:r>
      <w:r>
        <w:rPr>
          <w:rStyle w:val="VerbatimChar"/>
          <w:bCs/>
          <w:b/>
        </w:rPr>
        <w:t xml:space="preserve">Headword</w:t>
      </w:r>
      <w:r>
        <w:t xml:space="preserve"> </w:t>
      </w:r>
      <w:r>
        <w:t xml:space="preserve">‘</w:t>
      </w:r>
      <w:r>
        <w:t xml:space="preserve">𩂁／䨔／⿱𩅒田</w:t>
      </w:r>
      <w:r>
        <w:t xml:space="preserve">’</w:t>
      </w:r>
      <w:r>
        <w:t xml:space="preserve">. There is a slight blank space below</w:t>
      </w:r>
      <w:r>
        <w:t xml:space="preserve"> </w:t>
      </w:r>
      <w:r>
        <w:t xml:space="preserve">‘</w:t>
      </w:r>
      <w:r>
        <w:t xml:space="preserve">雹</w:t>
      </w:r>
      <w:r>
        <w:t xml:space="preserve">’</w:t>
      </w:r>
      <w:r>
        <w:t xml:space="preserve"> </w:t>
      </w:r>
      <w:r>
        <w:t xml:space="preserve">(</w:t>
      </w:r>
      <w:r>
        <w:rPr>
          <w:rStyle w:val="VerbatimChar"/>
        </w:rPr>
        <w:t xml:space="preserve">K07068542</w:t>
      </w:r>
      <w:r>
        <w:t xml:space="preserve">). Furthermore, although the</w:t>
      </w:r>
      <w:r>
        <w:t xml:space="preserve"> </w:t>
      </w:r>
      <w:r>
        <w:rPr>
          <w:rStyle w:val="VerbatimChar"/>
          <w:bCs/>
          <w:b/>
        </w:rPr>
        <w:t xml:space="preserve">Headwords</w:t>
      </w:r>
      <w:r>
        <w:t xml:space="preserve"> </w:t>
      </w:r>
      <w:r>
        <w:t xml:space="preserve">of the first</w:t>
      </w:r>
      <w:r>
        <w:t xml:space="preserve"> </w:t>
      </w:r>
      <w:r>
        <w:rPr>
          <w:rStyle w:val="VerbatimChar"/>
          <w:bCs/>
          <w:b/>
        </w:rPr>
        <w:t xml:space="preserve">Entry</w:t>
      </w:r>
      <w:r>
        <w:t xml:space="preserve"> </w:t>
      </w:r>
      <w:r>
        <w:t xml:space="preserve">(</w:t>
      </w:r>
      <w:r>
        <w:rPr>
          <w:rStyle w:val="VerbatimChar"/>
        </w:rPr>
        <w:t xml:space="preserve">K07068530</w:t>
      </w:r>
      <w:r>
        <w:t xml:space="preserve">) and the third</w:t>
      </w:r>
      <w:r>
        <w:t xml:space="preserve"> </w:t>
      </w:r>
      <w:r>
        <w:rPr>
          <w:rStyle w:val="VerbatimChar"/>
          <w:bCs/>
          <w:b/>
        </w:rPr>
        <w:t xml:space="preserve">Entry</w:t>
      </w:r>
      <w:r>
        <w:t xml:space="preserve"> </w:t>
      </w:r>
      <w:r>
        <w:t xml:space="preserve">(</w:t>
      </w:r>
      <w:r>
        <w:rPr>
          <w:rStyle w:val="VerbatimChar"/>
        </w:rPr>
        <w:t xml:space="preserve">K07068542</w:t>
      </w:r>
      <w:r>
        <w:t xml:space="preserve">) are both transcribed as</w:t>
      </w:r>
      <w:r>
        <w:t xml:space="preserve"> </w:t>
      </w:r>
      <w:r>
        <w:t xml:space="preserve">‘</w:t>
      </w:r>
      <w:r>
        <w:t xml:space="preserve">雹</w:t>
      </w:r>
      <w:r>
        <w:t xml:space="preserve">’</w:t>
      </w:r>
      <w:r>
        <w:t xml:space="preserve">, in the original manuscript, the lower part of the latter (</w:t>
      </w:r>
      <w:r>
        <w:t xml:space="preserve">‘</w:t>
      </w:r>
      <w:r>
        <w:t xml:space="preserve">雹</w:t>
      </w:r>
      <w:r>
        <w:t xml:space="preserve">’</w:t>
      </w:r>
      <w:r>
        <w:t xml:space="preserve"> </w:t>
      </w:r>
      <w:r>
        <w:t xml:space="preserve">in</w:t>
      </w:r>
      <w:r>
        <w:t xml:space="preserve"> </w:t>
      </w:r>
      <w:r>
        <w:rPr>
          <w:rStyle w:val="VerbatimChar"/>
        </w:rPr>
        <w:t xml:space="preserve">K07068542</w:t>
      </w:r>
      <w:r>
        <w:t xml:space="preserve">) is written in a form resembling</w:t>
      </w:r>
      <w:r>
        <w:t xml:space="preserve"> </w:t>
      </w:r>
      <w:r>
        <w:t xml:space="preserve">‘</w:t>
      </w:r>
      <w:r>
        <w:t xml:space="preserve">⿱冖巳</w:t>
      </w:r>
      <w:r>
        <w:t xml:space="preserve">’</w:t>
      </w:r>
      <w:r>
        <w:t xml:space="preserve">. It is thought that a blank space was intentionally left below it to accommodate some form of</w:t>
      </w:r>
      <w:r>
        <w:t xml:space="preserve"> </w:t>
      </w:r>
      <w:r>
        <w:rPr>
          <w:rStyle w:val="VerbatimChar"/>
          <w:bCs/>
          <w:b/>
        </w:rPr>
        <w:t xml:space="preserve">Note on Character Form</w:t>
      </w:r>
      <w:r>
        <w:t xml:space="preserve">.</w:t>
      </w:r>
    </w:p>
    <w:p>
      <w:pPr>
        <w:pStyle w:val="BodyText"/>
      </w:pPr>
      <w:r>
        <w:t xml:space="preserve">However, the</w:t>
      </w:r>
      <w:r>
        <w:t xml:space="preserve"> </w:t>
      </w:r>
      <w:r>
        <w:rPr>
          <w:rStyle w:val="VerbatimChar"/>
          <w:bCs/>
          <w:b/>
        </w:rPr>
        <w:t xml:space="preserve">Headword</w:t>
      </w:r>
      <w:r>
        <w:t xml:space="preserve"> </w:t>
      </w:r>
      <w:r>
        <w:t xml:space="preserve">of the last listed</w:t>
      </w:r>
      <w:r>
        <w:t xml:space="preserve"> </w:t>
      </w:r>
      <w:r>
        <w:rPr>
          <w:rStyle w:val="VerbatimChar"/>
          <w:bCs/>
          <w:b/>
        </w:rPr>
        <w:t xml:space="preserve">Entry</w:t>
      </w:r>
      <w:r>
        <w:t xml:space="preserve">,</w:t>
      </w:r>
      <w:r>
        <w:t xml:space="preserve"> </w:t>
      </w:r>
      <w:r>
        <w:t xml:space="preserve">‘</w:t>
      </w:r>
      <w:r>
        <w:t xml:space="preserve">𩂁／䨔／⿱𩅒田</w:t>
      </w:r>
      <w:r>
        <w:t xml:space="preserve">’</w:t>
      </w:r>
      <w:r>
        <w:t xml:space="preserve"> </w:t>
      </w:r>
      <w:r>
        <w:t xml:space="preserve">(</w:t>
      </w:r>
      <w:r>
        <w:rPr>
          <w:rStyle w:val="VerbatimChar"/>
        </w:rPr>
        <w:t xml:space="preserve">K07068611</w:t>
      </w:r>
      <w:r>
        <w:t xml:space="preserve">), consists of</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of</w:t>
      </w:r>
      <w:r>
        <w:t xml:space="preserve"> </w:t>
      </w:r>
      <w:r>
        <w:t xml:space="preserve">‘</w:t>
      </w:r>
      <w:r>
        <w:t xml:space="preserve">雹</w:t>
      </w:r>
      <w:r>
        <w:t xml:space="preserve">’</w:t>
      </w:r>
      <w:r>
        <w:t xml:space="preserve">, as can be seen in the following examples from Volume 2 of the</w:t>
      </w:r>
      <w:r>
        <w:t xml:space="preserve"> </w:t>
      </w:r>
      <w:r>
        <w:rPr>
          <w:iCs/>
          <w:i/>
        </w:rPr>
        <w:t xml:space="preserve">Longkan Shoujian/Shoujing</w:t>
      </w:r>
      <w:r>
        <w:t xml:space="preserve"> </w:t>
      </w:r>
      <w:r>
        <w:t xml:space="preserve">(龍龕手鑑), under the</w:t>
      </w:r>
      <w:r>
        <w:t xml:space="preserve"> </w:t>
      </w:r>
      <w:r>
        <w:t xml:space="preserve">“</w:t>
      </w:r>
      <w:r>
        <w:t xml:space="preserve">雨</w:t>
      </w:r>
      <w:r>
        <w:t xml:space="preserve">”</w:t>
      </w:r>
      <w:r>
        <w:t xml:space="preserve"> </w:t>
      </w:r>
      <w:r>
        <w:t xml:space="preserve">(Rain) radical. Therefore, it is also conceivable that</w:t>
      </w:r>
      <w:r>
        <w:t xml:space="preserve"> </w:t>
      </w:r>
      <w:r>
        <w:t xml:space="preserve">‘</w:t>
      </w:r>
      <w:r>
        <w:t xml:space="preserve">雹</w:t>
      </w:r>
      <w:r>
        <w:t xml:space="preserve">’</w:t>
      </w:r>
      <w:r>
        <w:t xml:space="preserve"> </w:t>
      </w:r>
      <w:r>
        <w:t xml:space="preserve">(</w:t>
      </w:r>
      <w:r>
        <w:rPr>
          <w:rStyle w:val="VerbatimChar"/>
        </w:rPr>
        <w:t xml:space="preserve">K07068542</w:t>
      </w:r>
      <w:r>
        <w:t xml:space="preserve">) and</w:t>
      </w:r>
      <w:r>
        <w:t xml:space="preserve"> </w:t>
      </w:r>
      <w:r>
        <w:t xml:space="preserve">‘</w:t>
      </w:r>
      <w:r>
        <w:t xml:space="preserve">𩂁／䨔／⿱𩅒田</w:t>
      </w:r>
      <w:r>
        <w:t xml:space="preserve">’</w:t>
      </w:r>
      <w:r>
        <w:t xml:space="preserve"> </w:t>
      </w:r>
      <w:r>
        <w:t xml:space="preserve">(</w:t>
      </w:r>
      <w:r>
        <w:rPr>
          <w:rStyle w:val="VerbatimChar"/>
        </w:rPr>
        <w:t xml:space="preserve">K07068611</w:t>
      </w:r>
      <w:r>
        <w:t xml:space="preserve">) originally constituted a single</w:t>
      </w:r>
      <w:r>
        <w:t xml:space="preserve"> </w:t>
      </w:r>
      <w:r>
        <w:rPr>
          <w:rStyle w:val="VerbatimChar"/>
          <w:bCs/>
          <w:b/>
        </w:rPr>
        <w:t xml:space="preserve">Entry</w:t>
      </w:r>
      <w:r>
        <w:t xml:space="preserve">.</w:t>
      </w:r>
    </w:p>
    <w:p>
      <w:pPr>
        <w:numPr>
          <w:ilvl w:val="0"/>
          <w:numId w:val="1215"/>
        </w:numPr>
        <w:pStyle w:val="Compact"/>
      </w:pPr>
      <w:r>
        <w:rPr>
          <w:rStyle w:val="VerbatimChar"/>
        </w:rPr>
        <w:t xml:space="preserve">location</w:t>
      </w:r>
      <w:r>
        <w:t xml:space="preserve">: Ls52b0802,</w:t>
      </w:r>
      <w:r>
        <w:t xml:space="preserve"> </w:t>
      </w:r>
      <w:r>
        <w:rPr>
          <w:rStyle w:val="VerbatimChar"/>
        </w:rPr>
        <w:t xml:space="preserve">hanzi_entry</w:t>
      </w:r>
      <w:r>
        <w:t xml:space="preserve">: 䨔𩂁𩅒,</w:t>
      </w:r>
      <w:r>
        <w:t xml:space="preserve"> </w:t>
      </w:r>
      <w:r>
        <w:rPr>
          <w:rStyle w:val="VerbatimChar"/>
        </w:rPr>
        <w:t xml:space="preserve">definition</w:t>
      </w:r>
      <w:r>
        <w:t xml:space="preserve">: 三俗。 (Three popular forms.)</w:t>
      </w:r>
    </w:p>
    <w:p>
      <w:pPr>
        <w:numPr>
          <w:ilvl w:val="0"/>
          <w:numId w:val="1215"/>
        </w:numPr>
        <w:pStyle w:val="Compact"/>
      </w:pPr>
      <w:r>
        <w:rPr>
          <w:rStyle w:val="VerbatimChar"/>
        </w:rPr>
        <w:t xml:space="preserve">location</w:t>
      </w:r>
      <w:r>
        <w:t xml:space="preserve">: Ls52b0805,</w:t>
      </w:r>
      <w:r>
        <w:t xml:space="preserve"> </w:t>
      </w:r>
      <w:r>
        <w:rPr>
          <w:rStyle w:val="VerbatimChar"/>
        </w:rPr>
        <w:t xml:space="preserve">hanzi_entry</w:t>
      </w:r>
      <w:r>
        <w:t xml:space="preserve">: 𩄉𩅟𩇌,</w:t>
      </w:r>
      <w:r>
        <w:t xml:space="preserve"> </w:t>
      </w:r>
      <w:r>
        <w:rPr>
          <w:rStyle w:val="VerbatimChar"/>
        </w:rPr>
        <w:t xml:space="preserve">definition</w:t>
      </w:r>
      <w:r>
        <w:t xml:space="preserve">: 三古。 (Three old forms.)</w:t>
      </w:r>
    </w:p>
    <w:p>
      <w:pPr>
        <w:numPr>
          <w:ilvl w:val="0"/>
          <w:numId w:val="1215"/>
        </w:numPr>
        <w:pStyle w:val="Compact"/>
      </w:pPr>
      <w:r>
        <w:rPr>
          <w:rStyle w:val="VerbatimChar"/>
        </w:rPr>
        <w:t xml:space="preserve">location</w:t>
      </w:r>
      <w:r>
        <w:t xml:space="preserve">: Ls52b0808,</w:t>
      </w:r>
      <w:r>
        <w:t xml:space="preserve"> </w:t>
      </w:r>
      <w:r>
        <w:rPr>
          <w:rStyle w:val="VerbatimChar"/>
        </w:rPr>
        <w:t xml:space="preserve">hanzi_entry</w:t>
      </w:r>
      <w:r>
        <w:t xml:space="preserve">: 雹,</w:t>
      </w:r>
      <w:r>
        <w:t xml:space="preserve"> </w:t>
      </w:r>
      <w:r>
        <w:rPr>
          <w:rStyle w:val="VerbatimChar"/>
        </w:rPr>
        <w:t xml:space="preserve">definition</w:t>
      </w:r>
      <w:r>
        <w:t xml:space="preserve">: 正。蒲各反。雨冰也。七。 (Standard form.</w:t>
      </w:r>
      <w:r>
        <w:t xml:space="preserve"> </w:t>
      </w:r>
      <w:r>
        <w:rPr>
          <w:iCs/>
          <w:i/>
        </w:rPr>
        <w:t xml:space="preserve">Fanqie</w:t>
      </w:r>
      <w:r>
        <w:t xml:space="preserve">: 蒲各反 (</w:t>
      </w:r>
      <w:r>
        <w:rPr>
          <w:iCs/>
          <w:i/>
        </w:rPr>
        <w:t xml:space="preserve">pú gè fǎn</w:t>
      </w:r>
      <w:r>
        <w:t xml:space="preserve">). Means</w:t>
      </w:r>
      <w:r>
        <w:t xml:space="preserve"> </w:t>
      </w:r>
      <w:r>
        <w:t xml:space="preserve">‘</w:t>
      </w:r>
      <w:r>
        <w:t xml:space="preserve">rain and ice</w:t>
      </w:r>
      <w:r>
        <w:t xml:space="preserve">’</w:t>
      </w:r>
      <w:r>
        <w:t xml:space="preserve"> </w:t>
      </w:r>
      <w:r>
        <w:t xml:space="preserve">(hail). Seven (notes/entries).)</w:t>
      </w:r>
    </w:p>
    <w:p>
      <w:pPr>
        <w:pStyle w:val="FirstParagraph"/>
      </w:pPr>
      <w:r>
        <w:t xml:space="preserve">A comparison of the</w:t>
      </w:r>
      <w:r>
        <w:t xml:space="preserve"> </w:t>
      </w:r>
      <w:r>
        <w:rPr>
          <w:rStyle w:val="VerbatimChar"/>
          <w:bCs/>
          <w:b/>
        </w:rPr>
        <w:t xml:space="preserve">Headword</w:t>
      </w:r>
      <w:r>
        <w:t xml:space="preserve"> </w:t>
      </w:r>
      <w:r>
        <w:t xml:space="preserve">characters from the Kanchi-in manuscript and the</w:t>
      </w:r>
      <w:r>
        <w:t xml:space="preserve"> </w:t>
      </w:r>
      <w:r>
        <w:rPr>
          <w:iCs/>
          <w:i/>
        </w:rPr>
        <w:t xml:space="preserve">Longkan Shoujian/Shoujing</w:t>
      </w:r>
      <w:r>
        <w:t xml:space="preserve"> </w:t>
      </w:r>
      <w:r>
        <w:t xml:space="preserve">is shown below. Only</w:t>
      </w:r>
      <w:r>
        <w:t xml:space="preserve"> </w:t>
      </w:r>
      <w:r>
        <w:rPr>
          <w:rStyle w:val="VerbatimChar"/>
          <w:bCs/>
          <w:b/>
        </w:rPr>
        <w:t xml:space="preserve">Notes on Character Form</w:t>
      </w:r>
      <w:r>
        <w:t xml:space="preserve"> </w:t>
      </w:r>
      <w:r>
        <w:t xml:space="preserve">(字体注,</w:t>
      </w:r>
      <w:r>
        <w:t xml:space="preserve"> </w:t>
      </w:r>
      <w:r>
        <w:rPr>
          <w:iCs/>
          <w:i/>
        </w:rPr>
        <w:t xml:space="preserve">jitaichū</w:t>
      </w:r>
      <w:r>
        <w:t xml:space="preserve">) are indicated;</w:t>
      </w:r>
      <w:r>
        <w:t xml:space="preserve"> </w:t>
      </w:r>
      <w:r>
        <w:rPr>
          <w:rStyle w:val="VerbatimChar"/>
          <w:bCs/>
          <w:b/>
        </w:rPr>
        <w:t xml:space="preserve">Phonetic Glosses</w:t>
      </w:r>
      <w:r>
        <w:t xml:space="preserve"> </w:t>
      </w:r>
      <w:r>
        <w:t xml:space="preserve">and</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are omitted. A slash</w:t>
      </w:r>
      <w:r>
        <w:t xml:space="preserve"> </w:t>
      </w:r>
      <w:r>
        <w:t xml:space="preserve">‘</w:t>
      </w:r>
      <w:r>
        <w:t xml:space="preserve">/</w:t>
      </w:r>
      <w:r>
        <w:t xml:space="preserve">’</w:t>
      </w:r>
      <w:r>
        <w:t xml:space="preserve"> </w:t>
      </w:r>
      <w:r>
        <w:t xml:space="preserve">indicates a conceptual line break (for aligning the Kanchi-in sequence). Arabic numerals represent the order of appearance in the Kanchi-in manuscript;</w:t>
      </w:r>
      <w:r>
        <w:t xml:space="preserve"> </w:t>
      </w:r>
      <w:r>
        <w:t xml:space="preserve">‘</w:t>
      </w:r>
      <w:r>
        <w:t xml:space="preserve">x</w:t>
      </w:r>
      <w:r>
        <w:t xml:space="preserve">’</w:t>
      </w:r>
      <w:r>
        <w:t xml:space="preserve"> </w:t>
      </w:r>
      <w:r>
        <w:t xml:space="preserve">marks characters from the</w:t>
      </w:r>
      <w:r>
        <w:t xml:space="preserve"> </w:t>
      </w:r>
      <w:r>
        <w:rPr>
          <w:iCs/>
          <w:i/>
        </w:rPr>
        <w:t xml:space="preserve">Longkan Shoujian/Shoujing</w:t>
      </w:r>
      <w:r>
        <w:t xml:space="preserve"> </w:t>
      </w:r>
      <w:r>
        <w:t xml:space="preserve">list not found in the Kanchi-in manuscript’s corresponding sequence, and parentheses () are used for characters that are similar but not identical.</w:t>
      </w:r>
    </w:p>
    <w:p>
      <w:pPr>
        <w:pStyle w:val="BodyText"/>
      </w:pPr>
      <w:r>
        <w:t xml:space="preserve">(Kanchi-in Manuscript)</w:t>
      </w:r>
      <w:r>
        <w:t xml:space="preserve"> </w:t>
      </w:r>
      <w:r>
        <w:t xml:space="preserve">1</w:t>
      </w:r>
      <w:r>
        <w:drawing>
          <wp:inline>
            <wp:extent cx="476250" cy="476250"/>
            <wp:effectExtent b="0" l="0" r="0" t="0"/>
            <wp:docPr descr="雹" title="" id="330" name="Picture"/>
            <a:graphic>
              <a:graphicData uri="http://schemas.openxmlformats.org/drawingml/2006/picture">
                <pic:pic>
                  <pic:nvPicPr>
                    <pic:cNvPr descr="https://glyphwiki.org/glyph/hdic-tanki10_hkrm-07068530.50px.png" id="331" name="Picture"/>
                    <pic:cNvPicPr>
                      <a:picLocks noChangeArrowheads="1" noChangeAspect="1"/>
                    </pic:cNvPicPr>
                  </pic:nvPicPr>
                  <pic:blipFill>
                    <a:blip r:embed="rId329"/>
                    <a:stretch>
                      <a:fillRect/>
                    </a:stretch>
                  </pic:blipFill>
                  <pic:spPr bwMode="auto">
                    <a:xfrm>
                      <a:off x="0" y="0"/>
                      <a:ext cx="476250" cy="476250"/>
                    </a:xfrm>
                    <a:prstGeom prst="rect">
                      <a:avLst/>
                    </a:prstGeom>
                    <a:noFill/>
                    <a:ln w="9525">
                      <a:noFill/>
                      <a:headEnd/>
                      <a:tailEnd/>
                    </a:ln>
                  </pic:spPr>
                </pic:pic>
              </a:graphicData>
            </a:graphic>
          </wp:inline>
        </w:drawing>
      </w:r>
      <w:r>
        <w:t xml:space="preserve">……</w:t>
      </w:r>
      <w:r>
        <w:t xml:space="preserve"> </w:t>
      </w:r>
      <w:r>
        <w:t xml:space="preserve">2</w:t>
      </w:r>
      <w:r>
        <w:drawing>
          <wp:inline>
            <wp:extent cx="476250" cy="476250"/>
            <wp:effectExtent b="0" l="0" r="0" t="0"/>
            <wp:docPr descr="𩅟" title="" id="333" name="Picture"/>
            <a:graphic>
              <a:graphicData uri="http://schemas.openxmlformats.org/drawingml/2006/picture">
                <pic:pic>
                  <pic:nvPicPr>
                    <pic:cNvPr descr="https://glyphwiki.org/glyph/hdic-tanki10_hkrm-07068541.50px.png" id="334" name="Picture"/>
                    <pic:cNvPicPr>
                      <a:picLocks noChangeArrowheads="1" noChangeAspect="1"/>
                    </pic:cNvPicPr>
                  </pic:nvPicPr>
                  <pic:blipFill>
                    <a:blip r:embed="rId332"/>
                    <a:stretch>
                      <a:fillRect/>
                    </a:stretch>
                  </pic:blipFill>
                  <pic:spPr bwMode="auto">
                    <a:xfrm>
                      <a:off x="0" y="0"/>
                      <a:ext cx="476250" cy="476250"/>
                    </a:xfrm>
                    <a:prstGeom prst="rect">
                      <a:avLst/>
                    </a:prstGeom>
                    <a:noFill/>
                    <a:ln w="9525">
                      <a:noFill/>
                      <a:headEnd/>
                      <a:tailEnd/>
                    </a:ln>
                  </pic:spPr>
                </pic:pic>
              </a:graphicData>
            </a:graphic>
          </wp:inline>
        </w:drawing>
      </w:r>
      <w:r>
        <w:t xml:space="preserve">或</w:t>
      </w:r>
      <w:r>
        <w:t xml:space="preserve"> </w:t>
      </w:r>
      <w:r>
        <w:t xml:space="preserve">3</w:t>
      </w:r>
      <w:r>
        <w:drawing>
          <wp:inline>
            <wp:extent cx="476250" cy="476250"/>
            <wp:effectExtent b="0" l="0" r="0" t="0"/>
            <wp:docPr descr="雹" title="" id="336" name="Picture"/>
            <a:graphic>
              <a:graphicData uri="http://schemas.openxmlformats.org/drawingml/2006/picture">
                <pic:pic>
                  <pic:nvPicPr>
                    <pic:cNvPr descr="https://glyphwiki.org/glyph/hdic-tanki10_hkrm-07068542.50px.png" id="337" name="Picture"/>
                    <pic:cNvPicPr>
                      <a:picLocks noChangeArrowheads="1" noChangeAspect="1"/>
                    </pic:cNvPicPr>
                  </pic:nvPicPr>
                  <pic:blipFill>
                    <a:blip r:embed="rId335"/>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　/</w:t>
      </w:r>
      <w:r>
        <w:t xml:space="preserve"> </w:t>
      </w:r>
      <w:r>
        <w:t xml:space="preserve">4</w:t>
      </w:r>
      <w:r>
        <w:drawing>
          <wp:inline>
            <wp:extent cx="476250" cy="476250"/>
            <wp:effectExtent b="0" l="0" r="0" t="0"/>
            <wp:docPr descr="𩂁" title="" id="339" name="Picture"/>
            <a:graphic>
              <a:graphicData uri="http://schemas.openxmlformats.org/drawingml/2006/picture">
                <pic:pic>
                  <pic:nvPicPr>
                    <pic:cNvPr descr="https://glyphwiki.org/glyph/hdic-tanki10_hkrm-07068611.50px.png" id="340" name="Picture"/>
                    <pic:cNvPicPr>
                      <a:picLocks noChangeArrowheads="1" noChangeAspect="1"/>
                    </pic:cNvPicPr>
                  </pic:nvPicPr>
                  <pic:blipFill>
                    <a:blip r:embed="rId338"/>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5</w:t>
      </w:r>
      <w:r>
        <w:drawing>
          <wp:inline>
            <wp:extent cx="476250" cy="476250"/>
            <wp:effectExtent b="0" l="0" r="0" t="0"/>
            <wp:docPr descr="䨔" title="" id="342" name="Picture"/>
            <a:graphic>
              <a:graphicData uri="http://schemas.openxmlformats.org/drawingml/2006/picture">
                <pic:pic>
                  <pic:nvPicPr>
                    <pic:cNvPr descr="https://glyphwiki.org/glyph/hdic-tanki10_hkrm-07068612.50px.png" id="343" name="Picture"/>
                    <pic:cNvPicPr>
                      <a:picLocks noChangeArrowheads="1" noChangeAspect="1"/>
                    </pic:cNvPicPr>
                  </pic:nvPicPr>
                  <pic:blipFill>
                    <a:blip r:embed="rId341"/>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6</w:t>
      </w:r>
      <w:r>
        <w:drawing>
          <wp:inline>
            <wp:extent cx="476250" cy="476250"/>
            <wp:effectExtent b="0" l="0" r="0" t="0"/>
            <wp:docPr descr="⿱𩅒田" title="" id="345" name="Picture"/>
            <a:graphic>
              <a:graphicData uri="http://schemas.openxmlformats.org/drawingml/2006/picture">
                <pic:pic>
                  <pic:nvPicPr>
                    <pic:cNvPr descr="https://glyphwiki.org/glyph/hdic-tanki10_hkrm-07068613.50px.png" id="346" name="Picture"/>
                    <pic:cNvPicPr>
                      <a:picLocks noChangeArrowheads="1" noChangeAspect="1"/>
                    </pic:cNvPicPr>
                  </pic:nvPicPr>
                  <pic:blipFill>
                    <a:blip r:embed="rId344"/>
                    <a:stretch>
                      <a:fillRect/>
                    </a:stretch>
                  </pic:blipFill>
                  <pic:spPr bwMode="auto">
                    <a:xfrm>
                      <a:off x="0" y="0"/>
                      <a:ext cx="476250" cy="476250"/>
                    </a:xfrm>
                    <a:prstGeom prst="rect">
                      <a:avLst/>
                    </a:prstGeom>
                    <a:noFill/>
                    <a:ln w="9525">
                      <a:noFill/>
                      <a:headEnd/>
                      <a:tailEnd/>
                    </a:ln>
                  </pic:spPr>
                </pic:pic>
              </a:graphicData>
            </a:graphic>
          </wp:inline>
        </w:drawing>
      </w:r>
      <w:r>
        <w:t xml:space="preserve">俗</w:t>
      </w:r>
    </w:p>
    <w:p>
      <w:pPr>
        <w:pStyle w:val="BodyText"/>
      </w:pPr>
      <w:r>
        <w:t xml:space="preserve">(</w:t>
      </w:r>
      <w:r>
        <w:rPr>
          <w:iCs/>
          <w:i/>
        </w:rPr>
        <w:t xml:space="preserve">Longkan Shoujian/Shoujing</w:t>
      </w:r>
      <w:r>
        <w:t xml:space="preserve">)</w:t>
      </w:r>
      <w:r>
        <w:t xml:space="preserve"> </w:t>
      </w:r>
      <w:r>
        <w:t xml:space="preserve">5</w:t>
      </w:r>
      <w:r>
        <w:drawing>
          <wp:inline>
            <wp:extent cx="476250" cy="476250"/>
            <wp:effectExtent b="0" l="0" r="0" t="0"/>
            <wp:docPr descr="䨔" title="" id="348" name="Picture"/>
            <a:graphic>
              <a:graphicData uri="http://schemas.openxmlformats.org/drawingml/2006/picture">
                <pic:pic>
                  <pic:nvPicPr>
                    <pic:cNvPr descr="https://glyphwiki.org/glyph/u4a14.50px.png" id="349" name="Picture"/>
                    <pic:cNvPicPr>
                      <a:picLocks noChangeArrowheads="1" noChangeAspect="1"/>
                    </pic:cNvPicPr>
                  </pic:nvPicPr>
                  <pic:blipFill>
                    <a:blip r:embed="rId347"/>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4</w:t>
      </w:r>
      <w:r>
        <w:drawing>
          <wp:inline>
            <wp:extent cx="476250" cy="476250"/>
            <wp:effectExtent b="0" l="0" r="0" t="0"/>
            <wp:docPr descr="𩂁" title="" id="351" name="Picture"/>
            <a:graphic>
              <a:graphicData uri="http://schemas.openxmlformats.org/drawingml/2006/picture">
                <pic:pic>
                  <pic:nvPicPr>
                    <pic:cNvPr descr="https://glyphwiki.org/glyph/u29081.50px.png" id="352" name="Picture"/>
                    <pic:cNvPicPr>
                      <a:picLocks noChangeArrowheads="1" noChangeAspect="1"/>
                    </pic:cNvPicPr>
                  </pic:nvPicPr>
                  <pic:blipFill>
                    <a:blip r:embed="rId350"/>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(6)</w:t>
      </w:r>
      <w:r>
        <w:drawing>
          <wp:inline>
            <wp:extent cx="476250" cy="476250"/>
            <wp:effectExtent b="0" l="0" r="0" t="0"/>
            <wp:docPr descr="𩅒" title="" id="354" name="Picture"/>
            <a:graphic>
              <a:graphicData uri="http://schemas.openxmlformats.org/drawingml/2006/picture">
                <pic:pic>
                  <pic:nvPicPr>
                    <pic:cNvPr descr="https://glyphwiki.org/glyph/u29152.50px.png" id="355" name="Picture"/>
                    <pic:cNvPicPr>
                      <a:picLocks noChangeArrowheads="1" noChangeAspect="1"/>
                    </pic:cNvPicPr>
                  </pic:nvPicPr>
                  <pic:blipFill>
                    <a:blip r:embed="rId353"/>
                    <a:stretch>
                      <a:fillRect/>
                    </a:stretch>
                  </pic:blipFill>
                  <pic:spPr bwMode="auto">
                    <a:xfrm>
                      <a:off x="0" y="0"/>
                      <a:ext cx="476250" cy="476250"/>
                    </a:xfrm>
                    <a:prstGeom prst="rect">
                      <a:avLst/>
                    </a:prstGeom>
                    <a:noFill/>
                    <a:ln w="9525">
                      <a:noFill/>
                      <a:headEnd/>
                      <a:tailEnd/>
                    </a:ln>
                  </pic:spPr>
                </pic:pic>
              </a:graphicData>
            </a:graphic>
          </wp:inline>
        </w:drawing>
      </w:r>
      <w:r>
        <w:t xml:space="preserve">三俗</w:t>
      </w:r>
      <w:r>
        <w:t xml:space="preserve"> </w:t>
      </w:r>
      <w:r>
        <w:t xml:space="preserve">x</w:t>
      </w:r>
      <w:r>
        <w:drawing>
          <wp:inline>
            <wp:extent cx="635000" cy="635000"/>
            <wp:effectExtent b="0" l="0" r="0" t="0"/>
            <wp:docPr descr="𩄉" title="" id="357" name="Picture"/>
            <a:graphic>
              <a:graphicData uri="http://schemas.openxmlformats.org/drawingml/2006/picture">
                <pic:pic>
                  <pic:nvPicPr>
                    <pic:cNvPr descr="https://glyphwiki.org/glyph/u29109.50px.png" id="358" name="Picture"/>
                    <pic:cNvPicPr>
                      <a:picLocks noChangeArrowheads="1" noChangeAspect="1"/>
                    </pic:cNvPicPr>
                  </pic:nvPicPr>
                  <pic:blipFill>
                    <a:blip r:embed="rId356"/>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2</w:t>
      </w:r>
      <w:r>
        <w:drawing>
          <wp:inline>
            <wp:extent cx="635000" cy="635000"/>
            <wp:effectExtent b="0" l="0" r="0" t="0"/>
            <wp:docPr descr="𩅟" title="" id="360" name="Picture"/>
            <a:graphic>
              <a:graphicData uri="http://schemas.openxmlformats.org/drawingml/2006/picture">
                <pic:pic>
                  <pic:nvPicPr>
                    <pic:cNvPr descr="https://glyphwiki.org/glyph/u2915f.50px.png" id="361" name="Picture"/>
                    <pic:cNvPicPr>
                      <a:picLocks noChangeArrowheads="1" noChangeAspect="1"/>
                    </pic:cNvPicPr>
                  </pic:nvPicPr>
                  <pic:blipFill>
                    <a:blip r:embed="rId359"/>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x</w:t>
      </w:r>
      <w:r>
        <w:drawing>
          <wp:inline>
            <wp:extent cx="476250" cy="476250"/>
            <wp:effectExtent b="0" l="0" r="0" t="0"/>
            <wp:docPr descr="𩇌" title="" id="363" name="Picture"/>
            <a:graphic>
              <a:graphicData uri="http://schemas.openxmlformats.org/drawingml/2006/picture">
                <pic:pic>
                  <pic:nvPicPr>
                    <pic:cNvPr descr="https://glyphwiki.org/glyph/u291cc.50px.png" id="364" name="Picture"/>
                    <pic:cNvPicPr>
                      <a:picLocks noChangeArrowheads="1" noChangeAspect="1"/>
                    </pic:cNvPicPr>
                  </pic:nvPicPr>
                  <pic:blipFill>
                    <a:blip r:embed="rId362"/>
                    <a:stretch>
                      <a:fillRect/>
                    </a:stretch>
                  </pic:blipFill>
                  <pic:spPr bwMode="auto">
                    <a:xfrm>
                      <a:off x="0" y="0"/>
                      <a:ext cx="476250" cy="476250"/>
                    </a:xfrm>
                    <a:prstGeom prst="rect">
                      <a:avLst/>
                    </a:prstGeom>
                    <a:noFill/>
                    <a:ln w="9525">
                      <a:noFill/>
                      <a:headEnd/>
                      <a:tailEnd/>
                    </a:ln>
                  </pic:spPr>
                </pic:pic>
              </a:graphicData>
            </a:graphic>
          </wp:inline>
        </w:drawing>
      </w:r>
      <w:r>
        <w:t xml:space="preserve">三古</w:t>
      </w:r>
      <w:r>
        <w:t xml:space="preserve"> </w:t>
      </w:r>
      <w:r>
        <w:t xml:space="preserve">1</w:t>
      </w:r>
      <w:r>
        <w:drawing>
          <wp:inline>
            <wp:extent cx="476250" cy="476250"/>
            <wp:effectExtent b="0" l="0" r="0" t="0"/>
            <wp:docPr descr="雹" title="" id="366" name="Picture"/>
            <a:graphic>
              <a:graphicData uri="http://schemas.openxmlformats.org/drawingml/2006/picture">
                <pic:pic>
                  <pic:nvPicPr>
                    <pic:cNvPr descr="https://glyphwiki.org/glyph/u96f9.50px.png" id="367" name="Picture"/>
                    <pic:cNvPicPr>
                      <a:picLocks noChangeArrowheads="1" noChangeAspect="1"/>
                    </pic:cNvPicPr>
                  </pic:nvPicPr>
                  <pic:blipFill>
                    <a:blip r:embed="rId365"/>
                    <a:stretch>
                      <a:fillRect/>
                    </a:stretch>
                  </pic:blipFill>
                  <pic:spPr bwMode="auto">
                    <a:xfrm>
                      <a:off x="0" y="0"/>
                      <a:ext cx="476250" cy="476250"/>
                    </a:xfrm>
                    <a:prstGeom prst="rect">
                      <a:avLst/>
                    </a:prstGeom>
                    <a:noFill/>
                    <a:ln w="9525">
                      <a:noFill/>
                      <a:headEnd/>
                      <a:tailEnd/>
                    </a:ln>
                  </pic:spPr>
                </pic:pic>
              </a:graphicData>
            </a:graphic>
          </wp:inline>
        </w:drawing>
      </w:r>
      <w:r>
        <w:t xml:space="preserve">正　…</w:t>
      </w:r>
    </w:p>
    <w:p>
      <w:pPr>
        <w:pStyle w:val="BodyText"/>
      </w:pPr>
      <w:r>
        <w:t xml:space="preserve">The Kanchi-in manuscript sequence involves 6 character forms (or groups), while the</w:t>
      </w:r>
      <w:r>
        <w:t xml:space="preserve"> </w:t>
      </w:r>
      <w:r>
        <w:rPr>
          <w:iCs/>
          <w:i/>
        </w:rPr>
        <w:t xml:space="preserve">Longkan Shoujian/Shoujing</w:t>
      </w:r>
      <w:r>
        <w:t xml:space="preserve"> </w:t>
      </w:r>
      <w:r>
        <w:t xml:space="preserve">list shows 7 relevant character forms here. Their order of description does not directly match.</w:t>
      </w:r>
      <w:r>
        <w:t xml:space="preserve"> </w:t>
      </w:r>
      <w:r>
        <w:t xml:space="preserve">The characters marked with</w:t>
      </w:r>
      <w:r>
        <w:t xml:space="preserve"> </w:t>
      </w:r>
      <w:r>
        <w:t xml:space="preserve">‘</w:t>
      </w:r>
      <w:r>
        <w:t xml:space="preserve">x</w:t>
      </w:r>
      <w:r>
        <w:t xml:space="preserve">’</w:t>
      </w:r>
      <w:r>
        <w:t xml:space="preserve">, namely</w:t>
      </w:r>
      <w:r>
        <w:t xml:space="preserve"> </w:t>
      </w:r>
      <w:r>
        <w:drawing>
          <wp:inline>
            <wp:extent cx="635000" cy="635000"/>
            <wp:effectExtent b="0" l="0" r="0" t="0"/>
            <wp:docPr descr="𩄉" title="" id="368" name="Picture"/>
            <a:graphic>
              <a:graphicData uri="http://schemas.openxmlformats.org/drawingml/2006/picture">
                <pic:pic>
                  <pic:nvPicPr>
                    <pic:cNvPr descr="https://glyphwiki.org/glyph/u29109.50px.png" id="369" name="Picture"/>
                    <pic:cNvPicPr>
                      <a:picLocks noChangeArrowheads="1" noChangeAspect="1"/>
                    </pic:cNvPicPr>
                  </pic:nvPicPr>
                  <pic:blipFill>
                    <a:blip r:embed="rId356"/>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and</w:t>
      </w:r>
      <w:r>
        <w:t xml:space="preserve"> </w:t>
      </w:r>
      <w:r>
        <w:drawing>
          <wp:inline>
            <wp:extent cx="476250" cy="476250"/>
            <wp:effectExtent b="0" l="0" r="0" t="0"/>
            <wp:docPr descr="𩇌" title="" id="370" name="Picture"/>
            <a:graphic>
              <a:graphicData uri="http://schemas.openxmlformats.org/drawingml/2006/picture">
                <pic:pic>
                  <pic:nvPicPr>
                    <pic:cNvPr descr="https://glyphwiki.org/glyph/u291cc.50px.png" id="371" name="Picture"/>
                    <pic:cNvPicPr>
                      <a:picLocks noChangeArrowheads="1" noChangeAspect="1"/>
                    </pic:cNvPicPr>
                  </pic:nvPicPr>
                  <pic:blipFill>
                    <a:blip r:embed="rId362"/>
                    <a:stretch>
                      <a:fillRect/>
                    </a:stretch>
                  </pic:blipFill>
                  <pic:spPr bwMode="auto">
                    <a:xfrm>
                      <a:off x="0" y="0"/>
                      <a:ext cx="476250" cy="476250"/>
                    </a:xfrm>
                    <a:prstGeom prst="rect">
                      <a:avLst/>
                    </a:prstGeom>
                    <a:noFill/>
                    <a:ln w="9525">
                      <a:noFill/>
                      <a:headEnd/>
                      <a:tailEnd/>
                    </a:ln>
                  </pic:spPr>
                </pic:pic>
              </a:graphicData>
            </a:graphic>
          </wp:inline>
        </w:drawing>
      </w:r>
      <w:r>
        <w:t xml:space="preserve">, from the</w:t>
      </w:r>
      <w:r>
        <w:t xml:space="preserve"> </w:t>
      </w:r>
      <w:r>
        <w:rPr>
          <w:iCs/>
          <w:i/>
        </w:rPr>
        <w:t xml:space="preserve">Longkan Shoujian/Shoujing</w:t>
      </w:r>
      <w:r>
        <w:t xml:space="preserve"> </w:t>
      </w:r>
      <w:r>
        <w:t xml:space="preserve">list are not found in the corresponding Kanchi-in manuscript sequence.</w:t>
      </w:r>
      <w:r>
        <w:t xml:space="preserve"> </w:t>
      </w:r>
      <w:r>
        <w:t xml:space="preserve">Character 3 ,</w:t>
      </w:r>
      <w:r>
        <w:t xml:space="preserve"> </w:t>
      </w:r>
      <w:r>
        <w:drawing>
          <wp:inline>
            <wp:extent cx="476250" cy="476250"/>
            <wp:effectExtent b="0" l="0" r="0" t="0"/>
            <wp:docPr descr="雹" title="" id="372" name="Picture"/>
            <a:graphic>
              <a:graphicData uri="http://schemas.openxmlformats.org/drawingml/2006/picture">
                <pic:pic>
                  <pic:nvPicPr>
                    <pic:cNvPr descr="https://glyphwiki.org/glyph/hdic-tanki10_hkrm-07068542.50px.png" id="373" name="Picture"/>
                    <pic:cNvPicPr>
                      <a:picLocks noChangeArrowheads="1" noChangeAspect="1"/>
                    </pic:cNvPicPr>
                  </pic:nvPicPr>
                  <pic:blipFill>
                    <a:blip r:embed="rId335"/>
                    <a:stretch>
                      <a:fillRect/>
                    </a:stretch>
                  </pic:blipFill>
                  <pic:spPr bwMode="auto">
                    <a:xfrm>
                      <a:off x="0" y="0"/>
                      <a:ext cx="476250" cy="476250"/>
                    </a:xfrm>
                    <a:prstGeom prst="rect">
                      <a:avLst/>
                    </a:prstGeom>
                    <a:noFill/>
                    <a:ln w="9525">
                      <a:noFill/>
                      <a:headEnd/>
                      <a:tailEnd/>
                    </a:ln>
                  </pic:spPr>
                </pic:pic>
              </a:graphicData>
            </a:graphic>
          </wp:inline>
        </w:drawing>
      </w:r>
      <w:r>
        <w:t xml:space="preserve">, and character 6,</w:t>
      </w:r>
      <w:r>
        <w:t xml:space="preserve"> </w:t>
      </w:r>
      <w:r>
        <w:drawing>
          <wp:inline>
            <wp:extent cx="476250" cy="476250"/>
            <wp:effectExtent b="0" l="0" r="0" t="0"/>
            <wp:docPr descr="⿱𩅒田" title="" id="374" name="Picture"/>
            <a:graphic>
              <a:graphicData uri="http://schemas.openxmlformats.org/drawingml/2006/picture">
                <pic:pic>
                  <pic:nvPicPr>
                    <pic:cNvPr descr="https://glyphwiki.org/glyph/hdic-tanki10_hkrm-07068613.50px.png" id="375" name="Picture"/>
                    <pic:cNvPicPr>
                      <a:picLocks noChangeArrowheads="1" noChangeAspect="1"/>
                    </pic:cNvPicPr>
                  </pic:nvPicPr>
                  <pic:blipFill>
                    <a:blip r:embed="rId344"/>
                    <a:stretch>
                      <a:fillRect/>
                    </a:stretch>
                  </pic:blipFill>
                  <pic:spPr bwMode="auto">
                    <a:xfrm>
                      <a:off x="0" y="0"/>
                      <a:ext cx="476250" cy="476250"/>
                    </a:xfrm>
                    <a:prstGeom prst="rect">
                      <a:avLst/>
                    </a:prstGeom>
                    <a:noFill/>
                    <a:ln w="9525">
                      <a:noFill/>
                      <a:headEnd/>
                      <a:tailEnd/>
                    </a:ln>
                  </pic:spPr>
                </pic:pic>
              </a:graphicData>
            </a:graphic>
          </wp:inline>
        </w:drawing>
      </w:r>
      <w:r>
        <w:t xml:space="preserve">, from the Kanchi-in manuscript do not have direct identical counterparts in this</w:t>
      </w:r>
      <w:r>
        <w:t xml:space="preserve"> </w:t>
      </w:r>
      <w:r>
        <w:rPr>
          <w:iCs/>
          <w:i/>
        </w:rPr>
        <w:t xml:space="preserve">Longkan Shoujian/Shoujing</w:t>
      </w:r>
      <w:r>
        <w:t xml:space="preserve"> </w:t>
      </w:r>
      <w:r>
        <w:t xml:space="preserve">list.</w:t>
      </w:r>
      <w:r>
        <w:t xml:space="preserve"> </w:t>
      </w:r>
      <w:r>
        <w:t xml:space="preserve">However, character 6 from the Kanchi-in manuscript,</w:t>
      </w:r>
      <w:r>
        <w:t xml:space="preserve"> </w:t>
      </w:r>
      <w:r>
        <w:drawing>
          <wp:inline>
            <wp:extent cx="476250" cy="476250"/>
            <wp:effectExtent b="0" l="0" r="0" t="0"/>
            <wp:docPr descr="⿱𩅒田" title="" id="376" name="Picture"/>
            <a:graphic>
              <a:graphicData uri="http://schemas.openxmlformats.org/drawingml/2006/picture">
                <pic:pic>
                  <pic:nvPicPr>
                    <pic:cNvPr descr="https://glyphwiki.org/glyph/hdic-tanki10_hkrm-07068613.50px.png" id="377" name="Picture"/>
                    <pic:cNvPicPr>
                      <a:picLocks noChangeArrowheads="1" noChangeAspect="1"/>
                    </pic:cNvPicPr>
                  </pic:nvPicPr>
                  <pic:blipFill>
                    <a:blip r:embed="rId344"/>
                    <a:stretch>
                      <a:fillRect/>
                    </a:stretch>
                  </pic:blipFill>
                  <pic:spPr bwMode="auto">
                    <a:xfrm>
                      <a:off x="0" y="0"/>
                      <a:ext cx="476250" cy="476250"/>
                    </a:xfrm>
                    <a:prstGeom prst="rect">
                      <a:avLst/>
                    </a:prstGeom>
                    <a:noFill/>
                    <a:ln w="9525">
                      <a:noFill/>
                      <a:headEnd/>
                      <a:tailEnd/>
                    </a:ln>
                  </pic:spPr>
                </pic:pic>
              </a:graphicData>
            </a:graphic>
          </wp:inline>
        </w:drawing>
      </w:r>
      <w:r>
        <w:t xml:space="preserve">, is similar to character (6),</w:t>
      </w:r>
      <w:r>
        <w:t xml:space="preserve"> </w:t>
      </w:r>
      <w:r>
        <w:drawing>
          <wp:inline>
            <wp:extent cx="476250" cy="476250"/>
            <wp:effectExtent b="0" l="0" r="0" t="0"/>
            <wp:docPr descr="𩅒" title="" id="378" name="Picture"/>
            <a:graphic>
              <a:graphicData uri="http://schemas.openxmlformats.org/drawingml/2006/picture">
                <pic:pic>
                  <pic:nvPicPr>
                    <pic:cNvPr descr="https://glyphwiki.org/glyph/u29152.50px.png" id="379" name="Picture"/>
                    <pic:cNvPicPr>
                      <a:picLocks noChangeArrowheads="1" noChangeAspect="1"/>
                    </pic:cNvPicPr>
                  </pic:nvPicPr>
                  <pic:blipFill>
                    <a:blip r:embed="rId353"/>
                    <a:stretch>
                      <a:fillRect/>
                    </a:stretch>
                  </pic:blipFill>
                  <pic:spPr bwMode="auto">
                    <a:xfrm>
                      <a:off x="0" y="0"/>
                      <a:ext cx="476250" cy="476250"/>
                    </a:xfrm>
                    <a:prstGeom prst="rect">
                      <a:avLst/>
                    </a:prstGeom>
                    <a:noFill/>
                    <a:ln w="9525">
                      <a:noFill/>
                      <a:headEnd/>
                      <a:tailEnd/>
                    </a:ln>
                  </pic:spPr>
                </pic:pic>
              </a:graphicData>
            </a:graphic>
          </wp:inline>
        </w:drawing>
      </w:r>
      <w:r>
        <w:t xml:space="preserve">, from the</w:t>
      </w:r>
      <w:r>
        <w:t xml:space="preserve"> </w:t>
      </w:r>
      <w:r>
        <w:rPr>
          <w:iCs/>
          <w:i/>
        </w:rPr>
        <w:t xml:space="preserve">Longkan Shoujian/Shoujing</w:t>
      </w:r>
      <w:r>
        <w:t xml:space="preserve">.</w:t>
      </w:r>
    </w:p>
    <w:p>
      <w:pPr>
        <w:pStyle w:val="BodyText"/>
      </w:pPr>
      <w:r>
        <w:t xml:space="preserve">It is presumed that the exemplar of a dictionary like the</w:t>
      </w:r>
      <w:r>
        <w:t xml:space="preserve"> </w:t>
      </w:r>
      <w:r>
        <w:rPr>
          <w:iCs/>
          <w:i/>
        </w:rPr>
        <w:t xml:space="preserve">Longkan Shoujian/Shoujing</w:t>
      </w:r>
      <w:r>
        <w:t xml:space="preserve"> </w:t>
      </w:r>
      <w:r>
        <w:t xml:space="preserve">that was consulted by the compiler(s) of the revised Kanchi-in manuscript of the</w:t>
      </w:r>
      <w:r>
        <w:t xml:space="preserve"> </w:t>
      </w:r>
      <w:r>
        <w:rPr>
          <w:iCs/>
          <w:i/>
        </w:rPr>
        <w:t xml:space="preserve">Ruiju Myōgishō</w:t>
      </w:r>
      <w:r>
        <w:t xml:space="preserve"> </w:t>
      </w:r>
      <w:r>
        <w:t xml:space="preserve">may have had questionable points or textual corruptions.</w:t>
      </w:r>
    </w:p>
    <w:p>
      <w:pPr>
        <w:pStyle w:val="BodyText"/>
      </w:pPr>
      <w:r>
        <w:t xml:space="preserve">The original text for this section in the Kanchi-in manuscript can be referred to on the right side of the</w:t>
      </w:r>
      <w:r>
        <w:t xml:space="preserve"> </w:t>
      </w:r>
      <w:hyperlink r:id="rId380">
        <w:r>
          <w:rPr>
            <w:rStyle w:val="Hyperlink"/>
          </w:rPr>
          <w:t xml:space="preserve">corresponding page</w:t>
        </w:r>
      </w:hyperlink>
      <w:r>
        <w:t xml:space="preserve"> </w:t>
      </w:r>
      <w:r>
        <w:t xml:space="preserve">in the National Diet Library Digital Collections.</w:t>
      </w:r>
    </w:p>
    <w:p>
      <w:pPr>
        <w:pStyle w:val="BodyText"/>
      </w:pPr>
      <w:r>
        <w:t xml:space="preserve">The original text for the relevant section in the</w:t>
      </w:r>
      <w:r>
        <w:t xml:space="preserve"> </w:t>
      </w:r>
      <w:r>
        <w:rPr>
          <w:iCs/>
          <w:i/>
        </w:rPr>
        <w:t xml:space="preserve">Longkan Shoujian/Shoujing</w:t>
      </w:r>
      <w:r>
        <w:t xml:space="preserve"> </w:t>
      </w:r>
      <w:r>
        <w:t xml:space="preserve">can be referred to on the right side of the</w:t>
      </w:r>
      <w:r>
        <w:t xml:space="preserve"> </w:t>
      </w:r>
      <w:hyperlink r:id="rId381">
        <w:r>
          <w:rPr>
            <w:rStyle w:val="Hyperlink"/>
          </w:rPr>
          <w:t xml:space="preserve">corresponding page</w:t>
        </w:r>
      </w:hyperlink>
      <w:r>
        <w:t xml:space="preserve"> </w:t>
      </w:r>
      <w:r>
        <w:t xml:space="preserve">in the National Diet Library Digital Collections.</w:t>
      </w:r>
    </w:p>
    <w:p>
      <w:pPr>
        <w:pStyle w:val="BodyText"/>
      </w:pPr>
      <w:r>
        <w:t xml:space="preserve">For the</w:t>
      </w:r>
      <w:r>
        <w:t xml:space="preserve"> </w:t>
      </w:r>
      <w:r>
        <w:rPr>
          <w:bCs/>
          <w:b/>
        </w:rPr>
        <w:t xml:space="preserve">“</w:t>
      </w:r>
      <w:r>
        <w:rPr>
          <w:bCs/>
          <w:b/>
        </w:rPr>
        <w:t xml:space="preserve">疒</w:t>
      </w:r>
      <w:r>
        <w:rPr>
          <w:bCs/>
          <w:b/>
        </w:rPr>
        <w:t xml:space="preserve">”</w:t>
      </w:r>
      <w:r>
        <w:rPr>
          <w:bCs/>
          <w:b/>
        </w:rPr>
        <w:t xml:space="preserve"> </w:t>
      </w:r>
      <w:r>
        <w:rPr>
          <w:bCs/>
          <w:b/>
        </w:rPr>
        <w:t xml:space="preserve">(Sickness) radical section</w:t>
      </w:r>
      <w:r>
        <w:t xml:space="preserve"> </w:t>
      </w:r>
      <w:r>
        <w:t xml:space="preserve">(疒部,</w:t>
      </w:r>
      <w:r>
        <w:t xml:space="preserve"> </w:t>
      </w:r>
      <w:r>
        <w:rPr>
          <w:iCs/>
          <w:i/>
        </w:rPr>
        <w:t xml:space="preserve">Daibu</w:t>
      </w:r>
      <w:r>
        <w:t xml:space="preserve">), Sakai (1967) counts 400</w:t>
      </w:r>
      <w:r>
        <w:t xml:space="preserve"> </w:t>
      </w:r>
      <w:r>
        <w:rPr>
          <w:rStyle w:val="VerbatimChar"/>
          <w:bCs/>
          <w:b/>
        </w:rPr>
        <w:t xml:space="preserve">Entries</w:t>
      </w:r>
      <w:r>
        <w:t xml:space="preserve">, while Ikeda et al. (2020) count 399</w:t>
      </w:r>
      <w:r>
        <w:t xml:space="preserve"> </w:t>
      </w:r>
      <w:r>
        <w:rPr>
          <w:rStyle w:val="VerbatimChar"/>
          <w:bCs/>
          <w:b/>
        </w:rPr>
        <w:t xml:space="preserve">Entries</w:t>
      </w:r>
      <w:r>
        <w:t xml:space="preserve">, a difference of one</w:t>
      </w:r>
      <w:r>
        <w:t xml:space="preserve"> </w:t>
      </w:r>
      <w:r>
        <w:rPr>
          <w:rStyle w:val="VerbatimChar"/>
          <w:bCs/>
          <w:b/>
        </w:rPr>
        <w:t xml:space="preserve">Entry</w:t>
      </w:r>
      <w:r>
        <w:t xml:space="preserve">. The identification of</w:t>
      </w:r>
      <w:r>
        <w:t xml:space="preserve"> </w:t>
      </w:r>
      <w:r>
        <w:rPr>
          <w:rStyle w:val="VerbatimChar"/>
          <w:bCs/>
          <w:b/>
        </w:rPr>
        <w:t xml:space="preserve">Entries</w:t>
      </w:r>
      <w:r>
        <w:t xml:space="preserve"> </w:t>
      </w:r>
      <w:r>
        <w:t xml:space="preserve">is problematic in the following instance:</w:t>
      </w:r>
    </w:p>
    <w:p>
      <w:pPr>
        <w:numPr>
          <w:ilvl w:val="0"/>
          <w:numId w:val="1216"/>
        </w:numPr>
        <w:pStyle w:val="Compact"/>
      </w:pPr>
      <w:r>
        <w:rPr>
          <w:rStyle w:val="VerbatimChar"/>
        </w:rPr>
        <w:t xml:space="preserve">kazama_location</w:t>
      </w:r>
      <w:r>
        <w:t xml:space="preserve">: K07125841,</w:t>
      </w:r>
      <w:r>
        <w:t xml:space="preserve"> </w:t>
      </w:r>
      <w:r>
        <w:rPr>
          <w:rStyle w:val="VerbatimChar"/>
        </w:rPr>
        <w:t xml:space="preserve">hanzi_entry</w:t>
      </w:r>
      <w:r>
        <w:t xml:space="preserve">: 𤻿／⿸疒既,</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俗通　古界反　⿱⿰白旡月　正䐴　𦝫,</w:t>
      </w:r>
      <w:r>
        <w:t xml:space="preserve"> </w:t>
      </w:r>
      <w:r>
        <w:rPr>
          <w:rStyle w:val="VerbatimChar"/>
        </w:rPr>
        <w:t xml:space="preserve">remarks</w:t>
      </w:r>
      <w:r>
        <w:t xml:space="preserve"> </w:t>
      </w:r>
      <w:r>
        <w:t xml:space="preserve">(</w:t>
      </w:r>
      <w:r>
        <w:rPr>
          <w:rStyle w:val="VerbatimChar"/>
          <w:bCs/>
          <w:b/>
        </w:rPr>
        <w:t xml:space="preserve">Compiler's Remark</w:t>
      </w:r>
      <w:r>
        <w:t xml:space="preserve">): Ikeda’s note: The string</w:t>
      </w:r>
      <w:r>
        <w:t xml:space="preserve"> </w:t>
      </w:r>
      <w:r>
        <w:t xml:space="preserve">‘</w:t>
      </w:r>
      <w:r>
        <w:t xml:space="preserve">⿱⿰白旡月</w:t>
      </w:r>
      <w:r>
        <w:t xml:space="preserve">’</w:t>
      </w:r>
      <w:r>
        <w:t xml:space="preserve"> </w:t>
      </w:r>
      <w:r>
        <w:t xml:space="preserve">is an example of characters from the</w:t>
      </w:r>
      <w:r>
        <w:t xml:space="preserve"> </w:t>
      </w:r>
      <w:r>
        <w:rPr>
          <w:rStyle w:val="VerbatimChar"/>
          <w:bCs/>
          <w:b/>
        </w:rPr>
        <w:t xml:space="preserve">Original Glosses</w:t>
      </w:r>
      <w:r>
        <w:t xml:space="preserve"> </w:t>
      </w:r>
      <w:r>
        <w:t xml:space="preserve">being written in a large size.</w:t>
      </w:r>
    </w:p>
    <w:p>
      <w:pPr>
        <w:pStyle w:val="FirstParagraph"/>
      </w:pPr>
      <w:r>
        <w:t xml:space="preserve">Although the string</w:t>
      </w:r>
      <w:r>
        <w:t xml:space="preserve"> </w:t>
      </w:r>
      <w:r>
        <w:t xml:space="preserve">‘</w:t>
      </w:r>
      <w:r>
        <w:t xml:space="preserve">⿱⿰白旡月</w:t>
      </w:r>
      <w:r>
        <w:t xml:space="preserve">’</w:t>
      </w:r>
      <w:r>
        <w:t xml:space="preserve"> </w:t>
      </w:r>
      <w:r>
        <w:t xml:space="preserve">is written in a large size and might appear to be a</w:t>
      </w:r>
      <w:r>
        <w:t xml:space="preserve"> </w:t>
      </w:r>
      <w:r>
        <w:rPr>
          <w:rStyle w:val="VerbatimChar"/>
          <w:bCs/>
          <w:b/>
        </w:rPr>
        <w:t xml:space="preserve">Headword</w:t>
      </w:r>
      <w:r>
        <w:t xml:space="preserve">, it does not contain the</w:t>
      </w:r>
      <w:r>
        <w:t xml:space="preserve"> </w:t>
      </w:r>
      <w:r>
        <w:t xml:space="preserve">‘</w:t>
      </w:r>
      <w:r>
        <w:t xml:space="preserve">疒</w:t>
      </w:r>
      <w:r>
        <w:t xml:space="preserve">’</w:t>
      </w:r>
      <w:r>
        <w:t xml:space="preserve"> </w:t>
      </w:r>
      <w:r>
        <w:t xml:space="preserve">radical component. Therefore, it is not appropriate to classify it as a</w:t>
      </w:r>
      <w:r>
        <w:t xml:space="preserve"> </w:t>
      </w:r>
      <w:r>
        <w:rPr>
          <w:rStyle w:val="VerbatimChar"/>
          <w:bCs/>
          <w:b/>
        </w:rPr>
        <w:t xml:space="preserve">Headword</w:t>
      </w:r>
      <w:r>
        <w:t xml:space="preserve"> </w:t>
      </w:r>
      <w:r>
        <w:t xml:space="preserve">belonging to the</w:t>
      </w:r>
      <w:r>
        <w:t xml:space="preserve"> </w:t>
      </w:r>
      <w:r>
        <w:t xml:space="preserve">“</w:t>
      </w:r>
      <w:r>
        <w:t xml:space="preserve">疒</w:t>
      </w:r>
      <w:r>
        <w:t xml:space="preserve">”</w:t>
      </w:r>
      <w:r>
        <w:t xml:space="preserve"> </w:t>
      </w:r>
      <w:r>
        <w:t xml:space="preserve">(Sickness) radical section.</w:t>
      </w:r>
    </w:p>
    <w:p>
      <w:pPr>
        <w:pStyle w:val="BodyText"/>
      </w:pPr>
      <w:r>
        <w:t xml:space="preserve">The original text for this section in the Kanchi-in manuscript can be referred to on the upper right of the</w:t>
      </w:r>
      <w:r>
        <w:t xml:space="preserve"> </w:t>
      </w:r>
      <w:hyperlink r:id="rId382">
        <w:r>
          <w:rPr>
            <w:rStyle w:val="Hyperlink"/>
          </w:rPr>
          <w:t xml:space="preserve">corresponding page</w:t>
        </w:r>
      </w:hyperlink>
      <w:r>
        <w:t xml:space="preserve"> </w:t>
      </w:r>
      <w:r>
        <w:t xml:space="preserve">in the National Diet Library Digital Collections.</w:t>
      </w:r>
    </w:p>
    <w:p>
      <w:pPr>
        <w:pStyle w:val="BodyText"/>
      </w:pPr>
      <w:r>
        <w:t xml:space="preserve">For the</w:t>
      </w:r>
      <w:r>
        <w:t xml:space="preserve"> </w:t>
      </w:r>
      <w:r>
        <w:rPr>
          <w:bCs/>
          <w:b/>
        </w:rPr>
        <w:t xml:space="preserve">“</w:t>
      </w:r>
      <w:r>
        <w:rPr>
          <w:bCs/>
          <w:b/>
        </w:rPr>
        <w:t xml:space="preserve">寸</w:t>
      </w:r>
      <w:r>
        <w:rPr>
          <w:bCs/>
          <w:b/>
        </w:rPr>
        <w:t xml:space="preserve">”</w:t>
      </w:r>
      <w:r>
        <w:rPr>
          <w:bCs/>
          <w:b/>
        </w:rPr>
        <w:t xml:space="preserve"> </w:t>
      </w:r>
      <w:r>
        <w:rPr>
          <w:bCs/>
          <w:b/>
        </w:rPr>
        <w:t xml:space="preserve">(Inch) radical section</w:t>
      </w:r>
      <w:r>
        <w:t xml:space="preserve"> </w:t>
      </w:r>
      <w:r>
        <w:t xml:space="preserve">(寸部,</w:t>
      </w:r>
      <w:r>
        <w:t xml:space="preserve"> </w:t>
      </w:r>
      <w:r>
        <w:rPr>
          <w:iCs/>
          <w:i/>
        </w:rPr>
        <w:t xml:space="preserve">Sunbu</w:t>
      </w:r>
      <w:r>
        <w:t xml:space="preserve">), Sakai (1967) counts 41</w:t>
      </w:r>
      <w:r>
        <w:t xml:space="preserve"> </w:t>
      </w:r>
      <w:r>
        <w:rPr>
          <w:rStyle w:val="VerbatimChar"/>
          <w:bCs/>
          <w:b/>
        </w:rPr>
        <w:t xml:space="preserve">Entries</w:t>
      </w:r>
      <w:r>
        <w:t xml:space="preserve">, while Ikeda et al. (2020) count 39</w:t>
      </w:r>
      <w:r>
        <w:t xml:space="preserve"> </w:t>
      </w:r>
      <w:r>
        <w:rPr>
          <w:rStyle w:val="VerbatimChar"/>
          <w:bCs/>
          <w:b/>
        </w:rPr>
        <w:t xml:space="preserve">Entries</w:t>
      </w:r>
      <w:r>
        <w:t xml:space="preserve">, a difference of two</w:t>
      </w:r>
      <w:r>
        <w:t xml:space="preserve"> </w:t>
      </w:r>
      <w:r>
        <w:rPr>
          <w:rStyle w:val="VerbatimChar"/>
          <w:bCs/>
          <w:b/>
        </w:rPr>
        <w:t xml:space="preserve">Entries</w:t>
      </w:r>
      <w:r>
        <w:t xml:space="preserve">. This discrepancy is thought to be related to the following instance:</w:t>
      </w:r>
    </w:p>
    <w:p>
      <w:pPr>
        <w:numPr>
          <w:ilvl w:val="0"/>
          <w:numId w:val="1217"/>
        </w:numPr>
        <w:pStyle w:val="Compact"/>
      </w:pPr>
      <w:r>
        <w:rPr>
          <w:rStyle w:val="VerbatimChar"/>
        </w:rPr>
        <w:t xml:space="preserve">kazama_location</w:t>
      </w:r>
      <w:r>
        <w:t xml:space="preserve">: K07143741,</w:t>
      </w:r>
      <w:r>
        <w:t xml:space="preserve"> </w:t>
      </w:r>
      <w:r>
        <w:rPr>
          <w:rStyle w:val="VerbatimChar"/>
        </w:rPr>
        <w:t xml:space="preserve">hanzi_entry</w:t>
      </w:r>
      <w:r>
        <w:t xml:space="preserve">: 戈／ー（射）,</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イツル　六ー　ムツマシ　賭ー　ノリユミ</w:t>
      </w:r>
    </w:p>
    <w:p>
      <w:pPr>
        <w:pStyle w:val="FirstParagraph"/>
      </w:pPr>
      <w:r>
        <w:t xml:space="preserve">The strings</w:t>
      </w:r>
      <w:r>
        <w:t xml:space="preserve"> </w:t>
      </w:r>
      <w:r>
        <w:t xml:space="preserve">‘</w:t>
      </w:r>
      <w:r>
        <w:t xml:space="preserve">六ー（射）</w:t>
      </w:r>
      <w:r>
        <w:t xml:space="preserve">’</w:t>
      </w:r>
      <w:r>
        <w:t xml:space="preserve"> </w:t>
      </w:r>
      <w:r>
        <w:t xml:space="preserve">and</w:t>
      </w:r>
      <w:r>
        <w:t xml:space="preserve"> </w:t>
      </w:r>
      <w:r>
        <w:t xml:space="preserve">‘</w:t>
      </w:r>
      <w:r>
        <w:t xml:space="preserve">賭ー（射）</w:t>
      </w:r>
      <w:r>
        <w:t xml:space="preserve">’</w:t>
      </w:r>
      <w:r>
        <w:t xml:space="preserve"> </w:t>
      </w:r>
      <w:r>
        <w:t xml:space="preserve">appearing in the</w:t>
      </w:r>
      <w:r>
        <w:t xml:space="preserve"> </w:t>
      </w:r>
      <w:r>
        <w:rPr>
          <w:rStyle w:val="VerbatimChar"/>
          <w:bCs/>
          <w:b/>
        </w:rPr>
        <w:t xml:space="preserve">Original Glosses</w:t>
      </w:r>
      <w:r>
        <w:t xml:space="preserve"> </w:t>
      </w:r>
      <w:r>
        <w:t xml:space="preserve">are written in a somewhat larger size. It is considered appropriate to treat each of these, along with their subsequent</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as independent</w:t>
      </w:r>
      <w:r>
        <w:t xml:space="preserve"> </w:t>
      </w:r>
      <w:r>
        <w:rPr>
          <w:rStyle w:val="VerbatimChar"/>
          <w:bCs/>
          <w:b/>
        </w:rPr>
        <w:t xml:space="preserve">Entries</w:t>
      </w:r>
      <w:r>
        <w:t xml:space="preserve">. These are considered</w:t>
      </w:r>
      <w:r>
        <w:t xml:space="preserve"> </w:t>
      </w:r>
      <w:r>
        <w:rPr>
          <w:rStyle w:val="VerbatimChar"/>
          <w:bCs/>
          <w:b/>
        </w:rPr>
        <w:t xml:space="preserve">Embedded Items</w:t>
      </w:r>
      <w:r>
        <w:rPr>
          <w:bCs/>
          <w:b/>
        </w:rPr>
        <w:t xml:space="preserve"> </w:t>
      </w:r>
      <w:r>
        <w:rPr>
          <w:bCs/>
          <w:b/>
        </w:rPr>
        <w:t xml:space="preserve">(</w:t>
      </w:r>
      <w:r>
        <w:rPr>
          <w:iCs/>
          <w:i/>
          <w:bCs/>
          <w:b/>
        </w:rPr>
        <w:t xml:space="preserve">umeji</w:t>
      </w:r>
      <w:r>
        <w:rPr>
          <w:bCs/>
          <w:b/>
        </w:rPr>
        <w:t xml:space="preserve">)</w:t>
      </w:r>
      <w:r>
        <w:t xml:space="preserve">, or compounds presented in the</w:t>
      </w:r>
      <w:r>
        <w:t xml:space="preserve"> </w:t>
      </w:r>
      <w:r>
        <w:rPr>
          <w:rStyle w:val="VerbatimChar"/>
          <w:bCs/>
          <w:b/>
        </w:rPr>
        <w:t xml:space="preserve">Divided-Annotation Style</w:t>
      </w:r>
      <w:r>
        <w:rPr>
          <w:bCs/>
          <w:b/>
        </w:rPr>
        <w:t xml:space="preserve"> </w:t>
      </w:r>
      <w:r>
        <w:rPr>
          <w:bCs/>
          <w:b/>
        </w:rPr>
        <w:t xml:space="preserve">(</w:t>
      </w:r>
      <w:r>
        <w:rPr>
          <w:iCs/>
          <w:i/>
          <w:bCs/>
          <w:b/>
        </w:rPr>
        <w:t xml:space="preserve">Bunchūshiki</w:t>
      </w:r>
      <w:r>
        <w:rPr>
          <w:bCs/>
          <w:b/>
        </w:rPr>
        <w:t xml:space="preserve">)</w:t>
      </w:r>
      <w:r>
        <w:t xml:space="preserve">. If treated this way, this instance is corrected as follows:</w:t>
      </w:r>
    </w:p>
    <w:p>
      <w:pPr>
        <w:numPr>
          <w:ilvl w:val="0"/>
          <w:numId w:val="1218"/>
        </w:numPr>
        <w:pStyle w:val="Compact"/>
      </w:pPr>
      <w:r>
        <w:rPr>
          <w:rStyle w:val="VerbatimChar"/>
        </w:rPr>
        <w:t xml:space="preserve">kazama_location</w:t>
      </w:r>
      <w:r>
        <w:t xml:space="preserve">: K07143741,</w:t>
      </w:r>
      <w:r>
        <w:t xml:space="preserve"> </w:t>
      </w:r>
      <w:r>
        <w:rPr>
          <w:rStyle w:val="VerbatimChar"/>
        </w:rPr>
        <w:t xml:space="preserve">hanzi_entry</w:t>
      </w:r>
      <w:r>
        <w:t xml:space="preserve">: 戈／ー（射）,</w:t>
      </w:r>
      <w:r>
        <w:t xml:space="preserve"> </w:t>
      </w:r>
      <w:r>
        <w:rPr>
          <w:rStyle w:val="VerbatimChar"/>
        </w:rPr>
        <w:t xml:space="preserve">definition</w:t>
      </w:r>
      <w:r>
        <w:t xml:space="preserve">: イツル,</w:t>
      </w:r>
      <w:r>
        <w:t xml:space="preserve"> </w:t>
      </w:r>
      <w:r>
        <w:rPr>
          <w:rStyle w:val="VerbatimChar"/>
        </w:rPr>
        <w:t xml:space="preserve">remarks</w:t>
      </w:r>
      <w:r>
        <w:t xml:space="preserve"> </w:t>
      </w:r>
      <w:r>
        <w:t xml:space="preserve">(</w:t>
      </w:r>
      <w:r>
        <w:rPr>
          <w:rStyle w:val="VerbatimChar"/>
          <w:bCs/>
          <w:b/>
        </w:rPr>
        <w:t xml:space="preserve">Compiler's Remark</w:t>
      </w:r>
      <w:r>
        <w:t xml:space="preserve">): Ikeda’s note: The segment</w:t>
      </w:r>
      <w:r>
        <w:t xml:space="preserve"> </w:t>
      </w:r>
      <w:r>
        <w:t xml:space="preserve">‘</w:t>
      </w:r>
      <w:r>
        <w:t xml:space="preserve">六ー　ムツマシ　賭ー　ノリユミ</w:t>
      </w:r>
      <w:r>
        <w:t xml:space="preserve">’</w:t>
      </w:r>
      <w:r>
        <w:t xml:space="preserve"> </w:t>
      </w:r>
      <w:r>
        <w:t xml:space="preserve">(originally part of this entry’s gloss) is likely an</w:t>
      </w:r>
      <w:r>
        <w:t xml:space="preserve"> </w:t>
      </w:r>
      <w:r>
        <w:rPr>
          <w:rStyle w:val="VerbatimChar"/>
          <w:bCs/>
          <w:b/>
        </w:rPr>
        <w:t xml:space="preserve">Embedded Item (*umeji*)</w:t>
      </w:r>
      <w:r>
        <w:t xml:space="preserve"> </w:t>
      </w:r>
      <w:r>
        <w:t xml:space="preserve">(or items that should be separate entries).</w:t>
      </w:r>
    </w:p>
    <w:p>
      <w:pPr>
        <w:numPr>
          <w:ilvl w:val="0"/>
          <w:numId w:val="1218"/>
        </w:numPr>
        <w:pStyle w:val="Compact"/>
      </w:pPr>
      <w:r>
        <w:rPr>
          <w:rStyle w:val="VerbatimChar"/>
        </w:rPr>
        <w:t xml:space="preserve">kazama_location</w:t>
      </w:r>
      <w:r>
        <w:t xml:space="preserve">: K07143743,</w:t>
      </w:r>
      <w:r>
        <w:t xml:space="preserve"> </w:t>
      </w:r>
      <w:r>
        <w:rPr>
          <w:rStyle w:val="VerbatimChar"/>
        </w:rPr>
        <w:t xml:space="preserve">hanzi_entry</w:t>
      </w:r>
      <w:r>
        <w:t xml:space="preserve">: 六／ー（射）,</w:t>
      </w:r>
      <w:r>
        <w:t xml:space="preserve"> </w:t>
      </w:r>
      <w:r>
        <w:rPr>
          <w:rStyle w:val="VerbatimChar"/>
        </w:rPr>
        <w:t xml:space="preserve">definition</w:t>
      </w:r>
      <w:r>
        <w:t xml:space="preserve">: ムツマシ</w:t>
      </w:r>
    </w:p>
    <w:p>
      <w:pPr>
        <w:numPr>
          <w:ilvl w:val="0"/>
          <w:numId w:val="1218"/>
        </w:numPr>
        <w:pStyle w:val="Compact"/>
      </w:pPr>
      <w:r>
        <w:rPr>
          <w:rStyle w:val="VerbatimChar"/>
        </w:rPr>
        <w:t xml:space="preserve">kazama_location</w:t>
      </w:r>
      <w:r>
        <w:t xml:space="preserve">: K07143745,</w:t>
      </w:r>
      <w:r>
        <w:t xml:space="preserve"> </w:t>
      </w:r>
      <w:r>
        <w:rPr>
          <w:rStyle w:val="VerbatimChar"/>
        </w:rPr>
        <w:t xml:space="preserve">hanzi_entry</w:t>
      </w:r>
      <w:r>
        <w:t xml:space="preserve">: 賭／ー（射）,</w:t>
      </w:r>
      <w:r>
        <w:t xml:space="preserve"> </w:t>
      </w:r>
      <w:r>
        <w:rPr>
          <w:rStyle w:val="VerbatimChar"/>
        </w:rPr>
        <w:t xml:space="preserve">definition</w:t>
      </w:r>
      <w:r>
        <w:t xml:space="preserve">: ノリユミ</w:t>
      </w:r>
    </w:p>
    <w:p>
      <w:pPr>
        <w:pStyle w:val="FirstParagraph"/>
      </w:pPr>
      <w:r>
        <w:t xml:space="preserve">The figures for the</w:t>
      </w:r>
      <w:r>
        <w:t xml:space="preserve"> </w:t>
      </w:r>
      <w:r>
        <w:t xml:space="preserve">“</w:t>
      </w:r>
      <w:r>
        <w:t xml:space="preserve">寸</w:t>
      </w:r>
      <w:r>
        <w:t xml:space="preserve">”</w:t>
      </w:r>
      <w:r>
        <w:t xml:space="preserve"> </w:t>
      </w:r>
      <w:r>
        <w:t xml:space="preserve">(Inch) radical section in Ikeda et al. (2020) need to be corrected for the number of</w:t>
      </w:r>
      <w:r>
        <w:t xml:space="preserve"> </w:t>
      </w:r>
      <w:r>
        <w:rPr>
          <w:rStyle w:val="VerbatimChar"/>
          <w:bCs/>
          <w:b/>
        </w:rPr>
        <w:t xml:space="preserve">Entries</w:t>
      </w:r>
      <w:r>
        <w:t xml:space="preserve"> </w:t>
      </w:r>
      <w:r>
        <w:t xml:space="preserve">as follows. The corrected figures are shown in</w:t>
      </w:r>
      <w:r>
        <w:t xml:space="preserve"> </w:t>
      </w:r>
      <w:r>
        <w:rPr>
          <w:bCs/>
          <w:b/>
        </w:rPr>
        <w:t xml:space="preserve">bold</w:t>
      </w:r>
      <w:r>
        <w:t xml:space="preserve">:</w:t>
      </w:r>
    </w:p>
    <w:tbl>
      <w:tblPr>
        <w:tblStyle w:val="Table"/>
        <w:tblW w:type="pct" w:w="5000"/>
        <w:tblLook w:firstRow="1" w:lastRow="0" w:firstColumn="0" w:lastColumn="0" w:noHBand="0" w:noVBand="0" w:val="0020"/>
        <w:jc w:val="start"/>
      </w:tblPr>
      <w:tblGrid>
        <w:gridCol w:w="408"/>
        <w:gridCol w:w="979"/>
        <w:gridCol w:w="653"/>
        <w:gridCol w:w="734"/>
        <w:gridCol w:w="653"/>
        <w:gridCol w:w="653"/>
        <w:gridCol w:w="653"/>
        <w:gridCol w:w="734"/>
        <w:gridCol w:w="1306"/>
        <w:gridCol w:w="1143"/>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080</w:t>
            </w:r>
          </w:p>
        </w:tc>
        <w:tc>
          <w:tcPr/>
          <w:p>
            <w:pPr>
              <w:pStyle w:val="Compact"/>
              <w:jc w:val="left"/>
            </w:pPr>
            <w:r>
              <w:t xml:space="preserve">寸 (Inch)</w:t>
            </w:r>
          </w:p>
        </w:tc>
        <w:tc>
          <w:tcPr/>
          <w:p>
            <w:pPr>
              <w:pStyle w:val="Compact"/>
              <w:jc w:val="right"/>
            </w:pPr>
            <w:r>
              <w:t xml:space="preserve">18</w:t>
            </w:r>
          </w:p>
        </w:tc>
        <w:tc>
          <w:tcPr/>
          <w:p>
            <w:pPr>
              <w:pStyle w:val="Compact"/>
              <w:jc w:val="right"/>
            </w:pPr>
            <w:r>
              <w:rPr>
                <w:bCs/>
                <w:b/>
              </w:rPr>
              <w:t xml:space="preserve">23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rPr>
                <w:bCs/>
                <w:b/>
              </w:rPr>
              <w:t xml:space="preserve">41</w:t>
            </w:r>
          </w:p>
        </w:tc>
        <w:tc>
          <w:tcPr/>
          <w:p>
            <w:pPr>
              <w:pStyle w:val="Compact"/>
              <w:jc w:val="right"/>
            </w:pPr>
            <w:r>
              <w:rPr>
                <w:bCs/>
                <w:b/>
              </w:rPr>
              <w:t xml:space="preserve">64</w:t>
            </w:r>
          </w:p>
        </w:tc>
      </w:tr>
    </w:tbl>
    <w:p>
      <w:pPr>
        <w:pStyle w:val="BodyText"/>
      </w:pPr>
      <w:r>
        <w:t xml:space="preserve">For the</w:t>
      </w:r>
      <w:r>
        <w:t xml:space="preserve"> </w:t>
      </w:r>
      <w:r>
        <w:rPr>
          <w:bCs/>
          <w:b/>
        </w:rPr>
        <w:t xml:space="preserve">“</w:t>
      </w:r>
      <w:r>
        <w:rPr>
          <w:bCs/>
          <w:b/>
        </w:rPr>
        <w:t xml:space="preserve">示</w:t>
      </w:r>
      <w:r>
        <w:rPr>
          <w:bCs/>
          <w:b/>
        </w:rPr>
        <w:t xml:space="preserve">”</w:t>
      </w:r>
      <w:r>
        <w:rPr>
          <w:bCs/>
          <w:b/>
        </w:rPr>
        <w:t xml:space="preserve"> </w:t>
      </w:r>
      <w:r>
        <w:rPr>
          <w:bCs/>
          <w:b/>
        </w:rPr>
        <w:t xml:space="preserve">(Altar/Display) radical section</w:t>
      </w:r>
      <w:r>
        <w:t xml:space="preserve"> </w:t>
      </w:r>
      <w:r>
        <w:t xml:space="preserve">(示部,</w:t>
      </w:r>
      <w:r>
        <w:t xml:space="preserve"> </w:t>
      </w:r>
      <w:r>
        <w:rPr>
          <w:iCs/>
          <w:i/>
        </w:rPr>
        <w:t xml:space="preserve">Shibu</w:t>
      </w:r>
      <w:r>
        <w:t xml:space="preserve">), there is no difference in the number of</w:t>
      </w:r>
      <w:r>
        <w:t xml:space="preserve"> </w:t>
      </w:r>
      <w:r>
        <w:rPr>
          <w:rStyle w:val="VerbatimChar"/>
          <w:bCs/>
          <w:b/>
        </w:rPr>
        <w:t xml:space="preserve">Entries</w:t>
      </w:r>
      <w:r>
        <w:t xml:space="preserve"> </w:t>
      </w:r>
      <w:r>
        <w:t xml:space="preserve">between Sakai (1967) and Ikeda et al. (2020). However, an</w:t>
      </w:r>
      <w:r>
        <w:t xml:space="preserve"> </w:t>
      </w:r>
      <w:r>
        <w:rPr>
          <w:rStyle w:val="VerbatimChar"/>
          <w:bCs/>
          <w:b/>
        </w:rPr>
        <w:t xml:space="preserve">Omitted Character</w:t>
      </w:r>
      <w:r>
        <w:t xml:space="preserve"> </w:t>
      </w:r>
      <w:r>
        <w:t xml:space="preserve">is recognized in the</w:t>
      </w:r>
      <w:r>
        <w:t xml:space="preserve"> </w:t>
      </w:r>
      <w:r>
        <w:rPr>
          <w:rStyle w:val="VerbatimChar"/>
          <w:bCs/>
          <w:b/>
        </w:rPr>
        <w:t xml:space="preserve">Headword</w:t>
      </w:r>
      <w:r>
        <w:t xml:space="preserve"> </w:t>
      </w:r>
      <w:r>
        <w:t xml:space="preserve">of the following</w:t>
      </w:r>
      <w:r>
        <w:t xml:space="preserve"> </w:t>
      </w:r>
      <w:r>
        <w:rPr>
          <w:rStyle w:val="VerbatimChar"/>
          <w:bCs/>
          <w:b/>
        </w:rPr>
        <w:t xml:space="preserve">Entry</w:t>
      </w:r>
      <w:r>
        <w:t xml:space="preserve">:</w:t>
      </w:r>
    </w:p>
    <w:p>
      <w:pPr>
        <w:numPr>
          <w:ilvl w:val="0"/>
          <w:numId w:val="1219"/>
        </w:numPr>
        <w:pStyle w:val="Compact"/>
      </w:pPr>
      <w:r>
        <w:rPr>
          <w:rStyle w:val="VerbatimChar"/>
        </w:rPr>
        <w:t xml:space="preserve">kazama_location</w:t>
      </w:r>
      <w:r>
        <w:t xml:space="preserve">: K0700183,</w:t>
      </w:r>
      <w:r>
        <w:t xml:space="preserve"> </w:t>
      </w:r>
      <w:r>
        <w:rPr>
          <w:rStyle w:val="VerbatimChar"/>
        </w:rPr>
        <w:t xml:space="preserve">hanzi_entry</w:t>
      </w:r>
      <w:r>
        <w:t xml:space="preserve">: 樹／［神］,</w:t>
      </w:r>
      <w:r>
        <w:t xml:space="preserve"> </w:t>
      </w:r>
      <w:r>
        <w:rPr>
          <w:rStyle w:val="VerbatimChar"/>
        </w:rPr>
        <w:t xml:space="preserve">definition</w:t>
      </w:r>
      <w:r>
        <w:t xml:space="preserve">: コタマ（LHL）</w:t>
      </w:r>
    </w:p>
    <w:p>
      <w:pPr>
        <w:pStyle w:val="FirstParagraph"/>
      </w:pPr>
      <w:r>
        <w:t xml:space="preserve">As a result of supplying this omitted character, the breakdown of</w:t>
      </w:r>
      <w:r>
        <w:t xml:space="preserve"> </w:t>
      </w:r>
      <w:r>
        <w:rPr>
          <w:rStyle w:val="VerbatimChar"/>
          <w:bCs/>
          <w:b/>
        </w:rPr>
        <w:t xml:space="preserve">Entry</w:t>
      </w:r>
      <w:r>
        <w:t xml:space="preserve"> </w:t>
      </w:r>
      <w:r>
        <w:t xml:space="preserve">counts by headword length and the total headword character count for this section are presented as follows (the total number of</w:t>
      </w:r>
      <w:r>
        <w:t xml:space="preserve"> </w:t>
      </w:r>
      <w:r>
        <w:rPr>
          <w:rStyle w:val="VerbatimChar"/>
          <w:bCs/>
          <w:b/>
        </w:rPr>
        <w:t xml:space="preserve">Entries</w:t>
      </w:r>
      <w:r>
        <w:t xml:space="preserve">, 232, remains unchanged):</w:t>
      </w:r>
    </w:p>
    <w:tbl>
      <w:tblPr>
        <w:tblStyle w:val="Table"/>
        <w:tblW w:type="pct" w:w="5000"/>
        <w:tblLook w:firstRow="1" w:lastRow="0" w:firstColumn="0" w:lastColumn="0" w:noHBand="0" w:noVBand="0" w:val="0020"/>
        <w:jc w:val="start"/>
      </w:tblPr>
      <w:tblGrid>
        <w:gridCol w:w="388"/>
        <w:gridCol w:w="1397"/>
        <w:gridCol w:w="621"/>
        <w:gridCol w:w="621"/>
        <w:gridCol w:w="621"/>
        <w:gridCol w:w="621"/>
        <w:gridCol w:w="621"/>
        <w:gridCol w:w="698"/>
        <w:gridCol w:w="1242"/>
        <w:gridCol w:w="1087"/>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061</w:t>
            </w:r>
          </w:p>
        </w:tc>
        <w:tc>
          <w:tcPr/>
          <w:p>
            <w:pPr>
              <w:pStyle w:val="Compact"/>
              <w:jc w:val="left"/>
            </w:pPr>
            <w:r>
              <w:t xml:space="preserve">示 (Altar/Display)</w:t>
            </w:r>
          </w:p>
        </w:tc>
        <w:tc>
          <w:tcPr/>
          <w:p>
            <w:pPr>
              <w:pStyle w:val="Compact"/>
              <w:jc w:val="right"/>
            </w:pPr>
            <w:r>
              <w:t xml:space="preserve">198</w:t>
            </w:r>
          </w:p>
        </w:tc>
        <w:tc>
          <w:tcPr/>
          <w:p>
            <w:pPr>
              <w:pStyle w:val="Compact"/>
              <w:jc w:val="right"/>
            </w:pPr>
            <w:r>
              <w:t xml:space="preserve">27</w:t>
            </w:r>
          </w:p>
        </w:tc>
        <w:tc>
          <w:tcPr/>
          <w:p>
            <w:pPr>
              <w:pStyle w:val="Compact"/>
              <w:jc w:val="right"/>
            </w:pPr>
            <w:r>
              <w:t xml:space="preserve">6</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232</w:t>
            </w:r>
          </w:p>
        </w:tc>
        <w:tc>
          <w:tcPr/>
          <w:p>
            <w:pPr>
              <w:pStyle w:val="Compact"/>
              <w:jc w:val="right"/>
            </w:pPr>
            <w:r>
              <w:t xml:space="preserve">275</w:t>
            </w:r>
          </w:p>
        </w:tc>
      </w:tr>
    </w:tbl>
    <w:bookmarkEnd w:id="383"/>
    <w:bookmarkStart w:id="449" w:name="Xdb1b2e742c025db3d9ca3b16ca65d2f81e60a93"/>
    <w:p>
      <w:pPr>
        <w:pStyle w:val="Heading3"/>
      </w:pPr>
      <w:r>
        <w:rPr>
          <w:rStyle w:val="SectionNumber"/>
        </w:rPr>
        <w:t xml:space="preserve">21.6.10</w:t>
      </w:r>
      <w:r>
        <w:tab/>
      </w:r>
      <w:r>
        <w:rPr>
          <w:iCs/>
          <w:i/>
        </w:rPr>
        <w:t xml:space="preserve">Sōjō</w:t>
      </w:r>
      <w:r>
        <w:t xml:space="preserve"> </w:t>
      </w:r>
      <w:r>
        <w:t xml:space="preserve">(僧上 – Upper</w:t>
      </w:r>
      <w:r>
        <w:t xml:space="preserve"> </w:t>
      </w:r>
      <w:r>
        <w:t xml:space="preserve">“</w:t>
      </w:r>
      <w:r>
        <w:t xml:space="preserve">Sangha</w:t>
      </w:r>
      <w:r>
        <w:t xml:space="preserve">”</w:t>
      </w:r>
      <w:r>
        <w:t xml:space="preserve"> </w:t>
      </w:r>
      <w:r>
        <w:t xml:space="preserve">Fascicle)</w:t>
      </w:r>
    </w:p>
    <w:p>
      <w:pPr>
        <w:pStyle w:val="FirstParagraph"/>
      </w:pPr>
      <w:r>
        <w:t xml:space="preserve">In the</w:t>
      </w:r>
      <w:r>
        <w:t xml:space="preserve"> </w:t>
      </w:r>
      <w:r>
        <w:rPr>
          <w:iCs/>
          <w:i/>
          <w:bCs/>
          <w:b/>
        </w:rPr>
        <w:t xml:space="preserve">Sōjō</w:t>
      </w:r>
      <w:r>
        <w:t xml:space="preserve"> </w:t>
      </w:r>
      <w:r>
        <w:t xml:space="preserve">section, discrepancies in</w:t>
      </w:r>
      <w:r>
        <w:t xml:space="preserve"> </w:t>
      </w:r>
      <w:r>
        <w:rPr>
          <w:rStyle w:val="VerbatimChar"/>
          <w:bCs/>
          <w:b/>
        </w:rPr>
        <w:t xml:space="preserve">Entry</w:t>
      </w:r>
      <w:r>
        <w:t xml:space="preserve"> </w:t>
      </w:r>
      <w:r>
        <w:t xml:space="preserve">counts between Sakai (1967) and Ikeda et al. (2020) are found for the following two radical sections. The figures presented in the table below are from Ikeda et al. (2020):</w:t>
      </w:r>
    </w:p>
    <w:tbl>
      <w:tblPr>
        <w:tblStyle w:val="Table"/>
        <w:tblW w:type="pct" w:w="5000"/>
        <w:tblLook w:firstRow="1" w:lastRow="0" w:firstColumn="0" w:lastColumn="0" w:noHBand="0" w:noVBand="0" w:val="0020"/>
        <w:jc w:val="start"/>
      </w:tblPr>
      <w:tblGrid>
        <w:gridCol w:w="412"/>
        <w:gridCol w:w="990"/>
        <w:gridCol w:w="660"/>
        <w:gridCol w:w="660"/>
        <w:gridCol w:w="660"/>
        <w:gridCol w:w="660"/>
        <w:gridCol w:w="660"/>
        <w:gridCol w:w="742"/>
        <w:gridCol w:w="1320"/>
        <w:gridCol w:w="1155"/>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086</w:t>
            </w:r>
          </w:p>
        </w:tc>
        <w:tc>
          <w:tcPr/>
          <w:p>
            <w:pPr>
              <w:pStyle w:val="Compact"/>
              <w:jc w:val="left"/>
            </w:pPr>
            <w:r>
              <w:t xml:space="preserve">毛 (Fur)</w:t>
            </w:r>
          </w:p>
        </w:tc>
        <w:tc>
          <w:tcPr/>
          <w:p>
            <w:pPr>
              <w:pStyle w:val="Compact"/>
              <w:jc w:val="right"/>
            </w:pPr>
            <w:r>
              <w:t xml:space="preserve">60</w:t>
            </w:r>
          </w:p>
        </w:tc>
        <w:tc>
          <w:tcPr/>
          <w:p>
            <w:pPr>
              <w:pStyle w:val="Compact"/>
              <w:jc w:val="right"/>
            </w:pPr>
            <w:r>
              <w:t xml:space="preserve">30</w:t>
            </w:r>
          </w:p>
        </w:tc>
        <w:tc>
          <w:tcPr/>
          <w:p>
            <w:pPr>
              <w:pStyle w:val="Compact"/>
              <w:jc w:val="right"/>
            </w:pPr>
            <w:r>
              <w:t xml:space="preserve">9</w:t>
            </w:r>
          </w:p>
        </w:tc>
        <w:tc>
          <w:tcPr/>
          <w:p>
            <w:pPr>
              <w:pStyle w:val="Compact"/>
              <w:jc w:val="right"/>
            </w:pPr>
            <w:r>
              <w:t xml:space="preserve">3</w:t>
            </w:r>
          </w:p>
        </w:tc>
        <w:tc>
          <w:tcPr/>
          <w:p>
            <w:pPr>
              <w:pStyle w:val="Compact"/>
              <w:jc w:val="right"/>
            </w:pPr>
            <w:r>
              <w:t xml:space="preserve">0</w:t>
            </w:r>
          </w:p>
        </w:tc>
        <w:tc>
          <w:tcPr/>
          <w:p>
            <w:pPr>
              <w:pStyle w:val="Compact"/>
              <w:jc w:val="right"/>
            </w:pPr>
            <w:r>
              <w:t xml:space="preserve">2</w:t>
            </w:r>
          </w:p>
        </w:tc>
        <w:tc>
          <w:tcPr/>
          <w:p>
            <w:pPr>
              <w:pStyle w:val="Compact"/>
              <w:jc w:val="right"/>
            </w:pPr>
            <w:r>
              <w:t xml:space="preserve">104</w:t>
            </w:r>
          </w:p>
        </w:tc>
        <w:tc>
          <w:tcPr/>
          <w:p>
            <w:pPr>
              <w:pStyle w:val="Compact"/>
              <w:jc w:val="right"/>
            </w:pPr>
            <w:r>
              <w:t xml:space="preserve">173</w:t>
            </w:r>
          </w:p>
        </w:tc>
      </w:tr>
      <w:tr>
        <w:tc>
          <w:tcPr/>
          <w:p>
            <w:pPr>
              <w:pStyle w:val="Compact"/>
              <w:jc w:val="left"/>
            </w:pPr>
            <w:r>
              <w:t xml:space="preserve">087</w:t>
            </w:r>
          </w:p>
        </w:tc>
        <w:tc>
          <w:tcPr/>
          <w:p>
            <w:pPr>
              <w:pStyle w:val="Compact"/>
              <w:jc w:val="left"/>
            </w:pPr>
            <w:r>
              <w:t xml:space="preserve">食 (Eat)</w:t>
            </w:r>
          </w:p>
        </w:tc>
        <w:tc>
          <w:tcPr/>
          <w:p>
            <w:pPr>
              <w:pStyle w:val="Compact"/>
              <w:jc w:val="right"/>
            </w:pPr>
            <w:r>
              <w:t xml:space="preserve">120</w:t>
            </w:r>
          </w:p>
        </w:tc>
        <w:tc>
          <w:tcPr/>
          <w:p>
            <w:pPr>
              <w:pStyle w:val="Compact"/>
              <w:jc w:val="right"/>
            </w:pPr>
            <w:r>
              <w:t xml:space="preserve">73</w:t>
            </w:r>
          </w:p>
        </w:tc>
        <w:tc>
          <w:tcPr/>
          <w:p>
            <w:pPr>
              <w:pStyle w:val="Compact"/>
              <w:jc w:val="right"/>
            </w:pPr>
            <w:r>
              <w:t xml:space="preserve">17</w:t>
            </w:r>
          </w:p>
        </w:tc>
        <w:tc>
          <w:tcPr/>
          <w:p>
            <w:pPr>
              <w:pStyle w:val="Compact"/>
              <w:jc w:val="right"/>
            </w:pPr>
            <w:r>
              <w:t xml:space="preserve">1</w:t>
            </w:r>
          </w:p>
        </w:tc>
        <w:tc>
          <w:tcPr/>
          <w:p>
            <w:pPr>
              <w:pStyle w:val="Compact"/>
              <w:jc w:val="right"/>
            </w:pPr>
            <w:r>
              <w:t xml:space="preserve">0</w:t>
            </w:r>
          </w:p>
        </w:tc>
        <w:tc>
          <w:tcPr/>
          <w:p>
            <w:pPr>
              <w:pStyle w:val="Compact"/>
              <w:jc w:val="right"/>
            </w:pPr>
            <w:r>
              <w:t xml:space="preserve">2</w:t>
            </w:r>
          </w:p>
        </w:tc>
        <w:tc>
          <w:tcPr/>
          <w:p>
            <w:pPr>
              <w:pStyle w:val="Compact"/>
              <w:jc w:val="right"/>
            </w:pPr>
            <w:r>
              <w:t xml:space="preserve">213</w:t>
            </w:r>
          </w:p>
        </w:tc>
        <w:tc>
          <w:tcPr/>
          <w:p>
            <w:pPr>
              <w:pStyle w:val="Compact"/>
              <w:jc w:val="right"/>
            </w:pPr>
            <w:r>
              <w:t xml:space="preserve">333</w:t>
            </w:r>
          </w:p>
        </w:tc>
      </w:tr>
    </w:tbl>
    <w:p>
      <w:pPr>
        <w:pStyle w:val="BodyText"/>
      </w:pPr>
      <w:r>
        <w:t xml:space="preserve">For the</w:t>
      </w:r>
      <w:r>
        <w:t xml:space="preserve"> </w:t>
      </w:r>
      <w:r>
        <w:rPr>
          <w:bCs/>
          <w:b/>
        </w:rPr>
        <w:t xml:space="preserve">“</w:t>
      </w:r>
      <w:r>
        <w:rPr>
          <w:bCs/>
          <w:b/>
        </w:rPr>
        <w:t xml:space="preserve">毛</w:t>
      </w:r>
      <w:r>
        <w:rPr>
          <w:bCs/>
          <w:b/>
        </w:rPr>
        <w:t xml:space="preserve">”</w:t>
      </w:r>
      <w:r>
        <w:rPr>
          <w:bCs/>
          <w:b/>
        </w:rPr>
        <w:t xml:space="preserve"> </w:t>
      </w:r>
      <w:r>
        <w:rPr>
          <w:bCs/>
          <w:b/>
        </w:rPr>
        <w:t xml:space="preserve">(Fur) radical section</w:t>
      </w:r>
      <w:r>
        <w:t xml:space="preserve"> </w:t>
      </w:r>
      <w:r>
        <w:t xml:space="preserve">(毛部,</w:t>
      </w:r>
      <w:r>
        <w:t xml:space="preserve"> </w:t>
      </w:r>
      <w:r>
        <w:rPr>
          <w:iCs/>
          <w:i/>
        </w:rPr>
        <w:t xml:space="preserve">Mōbu</w:t>
      </w:r>
      <w:r>
        <w:t xml:space="preserve">), Sakai (1967) counts 104</w:t>
      </w:r>
      <w:r>
        <w:t xml:space="preserve"> </w:t>
      </w:r>
      <w:r>
        <w:rPr>
          <w:rStyle w:val="VerbatimChar"/>
          <w:bCs/>
          <w:b/>
        </w:rPr>
        <w:t xml:space="preserve">Entries</w:t>
      </w:r>
      <w:r>
        <w:t xml:space="preserve">, while Ikeda et al. (2020) count 103</w:t>
      </w:r>
      <w:r>
        <w:t xml:space="preserve"> </w:t>
      </w:r>
      <w:r>
        <w:rPr>
          <w:rStyle w:val="VerbatimChar"/>
          <w:bCs/>
          <w:b/>
        </w:rPr>
        <w:t xml:space="preserve">Entries</w:t>
      </w:r>
      <w:r>
        <w:t xml:space="preserve">, a difference of one</w:t>
      </w:r>
      <w:r>
        <w:t xml:space="preserve"> </w:t>
      </w:r>
      <w:r>
        <w:rPr>
          <w:rStyle w:val="VerbatimChar"/>
          <w:bCs/>
          <w:b/>
        </w:rPr>
        <w:t xml:space="preserve">Entry</w:t>
      </w:r>
      <w:r>
        <w:t xml:space="preserve">. This discrepancy is thought to be related to the following instance:</w:t>
      </w:r>
    </w:p>
    <w:p>
      <w:pPr>
        <w:numPr>
          <w:ilvl w:val="0"/>
          <w:numId w:val="1220"/>
        </w:numPr>
        <w:pStyle w:val="Compact"/>
      </w:pPr>
      <w:r>
        <w:rPr>
          <w:rStyle w:val="VerbatimChar"/>
        </w:rPr>
        <w:t xml:space="preserve">kazama_location</w:t>
      </w:r>
      <w:r>
        <w:t xml:space="preserve">: K08100641,</w:t>
      </w:r>
      <w:r>
        <w:t xml:space="preserve"> </w:t>
      </w:r>
      <w:r>
        <w:rPr>
          <w:rStyle w:val="VerbatimChar"/>
        </w:rPr>
        <w:t xml:space="preserve">hanzi_entry</w:t>
      </w:r>
      <w:r>
        <w:t xml:space="preserve">: ⿱三毛／⿱介毳／毳／𣯝,</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マコケ（HHLV）　カモ（HH）　音脆（R）「セイ」,</w:t>
      </w:r>
      <w:r>
        <w:t xml:space="preserve"> </w:t>
      </w:r>
      <w:r>
        <w:rPr>
          <w:rStyle w:val="VerbatimChar"/>
        </w:rPr>
        <w:t xml:space="preserve">remarks</w:t>
      </w:r>
      <w:r>
        <w:t xml:space="preserve"> </w:t>
      </w:r>
      <w:r>
        <w:t xml:space="preserve">(</w:t>
      </w:r>
      <w:r>
        <w:rPr>
          <w:rStyle w:val="VerbatimChar"/>
          <w:bCs/>
          <w:b/>
        </w:rPr>
        <w:t xml:space="preserve">Compiler's Remark</w:t>
      </w:r>
      <w:r>
        <w:t xml:space="preserve">): The</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are written as if they are side-line</w:t>
      </w:r>
      <w:r>
        <w:t xml:space="preserve"> </w:t>
      </w:r>
      <w:r>
        <w:rPr>
          <w:iCs/>
          <w:i/>
        </w:rPr>
        <w:t xml:space="preserve">kun</w:t>
      </w:r>
      <w:r>
        <w:t xml:space="preserve"> </w:t>
      </w:r>
      <w:r>
        <w:t xml:space="preserve">readings for</w:t>
      </w:r>
      <w:r>
        <w:t xml:space="preserve"> </w:t>
      </w:r>
      <w:r>
        <w:t xml:space="preserve">‘</w:t>
      </w:r>
      <w:r>
        <w:t xml:space="preserve">毳</w:t>
      </w:r>
      <w:r>
        <w:t xml:space="preserve">’</w:t>
      </w:r>
      <w:r>
        <w:t xml:space="preserve">. Corrected to treat</w:t>
      </w:r>
      <w:r>
        <w:t xml:space="preserve"> </w:t>
      </w:r>
      <w:r>
        <w:t xml:space="preserve">‘</w:t>
      </w:r>
      <w:r>
        <w:t xml:space="preserve">⿱三毛／⿱介毳／毳／𣯝</w:t>
      </w:r>
      <w:r>
        <w:t xml:space="preserve">’</w:t>
      </w:r>
      <w:r>
        <w:t xml:space="preserve"> </w:t>
      </w:r>
      <w:r>
        <w:t xml:space="preserve">as a single</w:t>
      </w:r>
      <w:r>
        <w:t xml:space="preserve"> </w:t>
      </w:r>
      <w:r>
        <w:rPr>
          <w:rStyle w:val="VerbatimChar"/>
          <w:bCs/>
          <w:b/>
        </w:rPr>
        <w:t xml:space="preserve">Entry</w:t>
      </w:r>
      <w:r>
        <w:t xml:space="preserve">.</w:t>
      </w:r>
    </w:p>
    <w:p>
      <w:pPr>
        <w:pStyle w:val="FirstParagraph"/>
      </w:pPr>
      <w:r>
        <w:t xml:space="preserve">As noted in the</w:t>
      </w:r>
      <w:r>
        <w:t xml:space="preserve"> </w:t>
      </w:r>
      <w:r>
        <w:rPr>
          <w:rStyle w:val="VerbatimChar"/>
        </w:rPr>
        <w:t xml:space="preserve">remarks</w:t>
      </w:r>
      <w:r>
        <w:t xml:space="preserve"> </w:t>
      </w:r>
      <w:r>
        <w:t xml:space="preserve">(the</w:t>
      </w:r>
      <w:r>
        <w:t xml:space="preserve"> </w:t>
      </w:r>
      <w:r>
        <w:rPr>
          <w:rStyle w:val="VerbatimChar"/>
          <w:bCs/>
          <w:b/>
        </w:rPr>
        <w:t xml:space="preserve">Compiler's Remark</w:t>
      </w:r>
      <w:r>
        <w:t xml:space="preserve">), the two</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are written as if they are side-line</w:t>
      </w:r>
      <w:r>
        <w:t xml:space="preserve"> </w:t>
      </w:r>
      <w:r>
        <w:rPr>
          <w:iCs/>
          <w:i/>
        </w:rPr>
        <w:t xml:space="preserve">kun</w:t>
      </w:r>
      <w:r>
        <w:t xml:space="preserve"> </w:t>
      </w:r>
      <w:r>
        <w:t xml:space="preserve">readings for the character</w:t>
      </w:r>
      <w:r>
        <w:t xml:space="preserve"> </w:t>
      </w:r>
      <w:r>
        <w:t xml:space="preserve">‘</w:t>
      </w:r>
      <w:r>
        <w:t xml:space="preserve">毳</w:t>
      </w:r>
      <w:r>
        <w:t xml:space="preserve">’</w:t>
      </w:r>
      <w:r>
        <w:t xml:space="preserve">. Furthermore, in the original manuscript layout, there is a line break after</w:t>
      </w:r>
      <w:r>
        <w:t xml:space="preserve"> </w:t>
      </w:r>
      <w:r>
        <w:t xml:space="preserve">‘</w:t>
      </w:r>
      <w:r>
        <w:t xml:space="preserve">毳</w:t>
      </w:r>
      <w:r>
        <w:t xml:space="preserve">’</w:t>
      </w:r>
      <w:r>
        <w:t xml:space="preserve">, and</w:t>
      </w:r>
      <w:r>
        <w:t xml:space="preserve"> </w:t>
      </w:r>
      <w:r>
        <w:t xml:space="preserve">‘</w:t>
      </w:r>
      <w:r>
        <w:t xml:space="preserve">𣯝</w:t>
      </w:r>
      <w:r>
        <w:t xml:space="preserve">’</w:t>
      </w:r>
      <w:r>
        <w:t xml:space="preserve"> </w:t>
      </w:r>
      <w:r>
        <w:t xml:space="preserve">appears as a</w:t>
      </w:r>
      <w:r>
        <w:t xml:space="preserve"> </w:t>
      </w:r>
      <w:r>
        <w:rPr>
          <w:rStyle w:val="VerbatimChar"/>
          <w:bCs/>
          <w:b/>
        </w:rPr>
        <w:t xml:space="preserve">Headword</w:t>
      </w:r>
      <w:r>
        <w:t xml:space="preserve"> </w:t>
      </w:r>
      <w:r>
        <w:t xml:space="preserve">at the beginning of the next line.</w:t>
      </w:r>
    </w:p>
    <w:p>
      <w:pPr>
        <w:pStyle w:val="BodyText"/>
      </w:pPr>
      <w:r>
        <w:t xml:space="preserve">Since the character</w:t>
      </w:r>
      <w:r>
        <w:t xml:space="preserve"> </w:t>
      </w:r>
      <w:r>
        <w:t xml:space="preserve">‘</w:t>
      </w:r>
      <w:r>
        <w:t xml:space="preserve">𣯝</w:t>
      </w:r>
      <w:r>
        <w:t xml:space="preserve">’</w:t>
      </w:r>
      <w:r>
        <w:t xml:space="preserve"> </w:t>
      </w:r>
      <w:r>
        <w:t xml:space="preserve">may not display correctly in all environments, the</w:t>
      </w:r>
      <w:r>
        <w:t xml:space="preserve"> </w:t>
      </w:r>
      <w:r>
        <w:rPr>
          <w:rStyle w:val="VerbatimChar"/>
          <w:bCs/>
          <w:b/>
        </w:rPr>
        <w:t xml:space="preserve">Headword</w:t>
      </w:r>
      <w:r>
        <w:t xml:space="preserve"> </w:t>
      </w:r>
      <w:r>
        <w:t xml:space="preserve">in question, along with its associated readings from the</w:t>
      </w:r>
      <w:r>
        <w:t xml:space="preserve"> </w:t>
      </w:r>
      <w:r>
        <w:rPr>
          <w:rStyle w:val="VerbatimChar"/>
          <w:bCs/>
          <w:b/>
        </w:rPr>
        <w:t xml:space="preserve">Original Glosses</w:t>
      </w:r>
      <w:r>
        <w:t xml:space="preserve">, is shown using GlyphWiki images as follows. A slash</w:t>
      </w:r>
      <w:r>
        <w:t xml:space="preserve"> </w:t>
      </w:r>
      <w:r>
        <w:t xml:space="preserve">‘</w:t>
      </w:r>
      <w:r>
        <w:t xml:space="preserve">/</w:t>
      </w:r>
      <w:r>
        <w:t xml:space="preserve">’</w:t>
      </w:r>
      <w:r>
        <w:t xml:space="preserve"> </w:t>
      </w:r>
      <w:r>
        <w:t xml:space="preserve">indicates a line break as found in the Kanchi-in manuscript’s layout for this entry:</w:t>
      </w:r>
    </w:p>
    <w:p>
      <w:pPr>
        <w:pStyle w:val="BodyText"/>
      </w:pPr>
      <w:r>
        <w:drawing>
          <wp:inline>
            <wp:extent cx="476250" cy="476250"/>
            <wp:effectExtent b="0" l="0" r="0" t="0"/>
            <wp:docPr descr="⿱三毛" title="" id="385" name="Picture"/>
            <a:graphic>
              <a:graphicData uri="http://schemas.openxmlformats.org/drawingml/2006/picture">
                <pic:pic>
                  <pic:nvPicPr>
                    <pic:cNvPr descr="https://glyphwiki.org/glyph/hdic-tanki10_hkrm-08100641.50px.png" id="386" name="Picture"/>
                    <pic:cNvPicPr>
                      <a:picLocks noChangeArrowheads="1" noChangeAspect="1"/>
                    </pic:cNvPicPr>
                  </pic:nvPicPr>
                  <pic:blipFill>
                    <a:blip r:embed="rId384"/>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476250" cy="476250"/>
            <wp:effectExtent b="0" l="0" r="0" t="0"/>
            <wp:docPr descr="⿱介毳" title="" id="388" name="Picture"/>
            <a:graphic>
              <a:graphicData uri="http://schemas.openxmlformats.org/drawingml/2006/picture">
                <pic:pic>
                  <pic:nvPicPr>
                    <pic:cNvPr descr="https://glyphwiki.org/glyph/hdic-tanki10_hkrm-08100642.50px.png" id="389" name="Picture"/>
                    <pic:cNvPicPr>
                      <a:picLocks noChangeArrowheads="1" noChangeAspect="1"/>
                    </pic:cNvPicPr>
                  </pic:nvPicPr>
                  <pic:blipFill>
                    <a:blip r:embed="rId387"/>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476250" cy="476250"/>
            <wp:effectExtent b="0" l="0" r="0" t="0"/>
            <wp:docPr descr="毳" title="" id="391" name="Picture"/>
            <a:graphic>
              <a:graphicData uri="http://schemas.openxmlformats.org/drawingml/2006/picture">
                <pic:pic>
                  <pic:nvPicPr>
                    <pic:cNvPr descr="https://glyphwiki.org/glyph/hdic-tanki10_hkrm-08100643.50px.png" id="392" name="Picture"/>
                    <pic:cNvPicPr>
                      <a:picLocks noChangeArrowheads="1" noChangeAspect="1"/>
                    </pic:cNvPicPr>
                  </pic:nvPicPr>
                  <pic:blipFill>
                    <a:blip r:embed="rId390"/>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マコケ（HHLV）　カモ（HH） /</w:t>
      </w:r>
      <w:r>
        <w:t xml:space="preserve"> </w:t>
      </w:r>
      <w:r>
        <w:drawing>
          <wp:inline>
            <wp:extent cx="635000" cy="635000"/>
            <wp:effectExtent b="0" l="0" r="0" t="0"/>
            <wp:docPr descr="𣯝" title="" id="394" name="Picture"/>
            <a:graphic>
              <a:graphicData uri="http://schemas.openxmlformats.org/drawingml/2006/picture">
                <pic:pic>
                  <pic:nvPicPr>
                    <pic:cNvPr descr="https://glyphwiki.org/glyph/hdic-tanki10_hkrm-08100644.50px.png" id="395" name="Picture"/>
                    <pic:cNvPicPr>
                      <a:picLocks noChangeArrowheads="1" noChangeAspect="1"/>
                    </pic:cNvPicPr>
                  </pic:nvPicPr>
                  <pic:blipFill>
                    <a:blip r:embed="rId393"/>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音脆（R）「セイ」</w:t>
      </w:r>
    </w:p>
    <w:p>
      <w:pPr>
        <w:pStyle w:val="BodyText"/>
      </w:pPr>
      <w:r>
        <w:t xml:space="preserve">The character</w:t>
      </w:r>
      <w:r>
        <w:t xml:space="preserve"> </w:t>
      </w:r>
      <w:r>
        <w:t xml:space="preserve">‘</w:t>
      </w:r>
      <w:r>
        <w:t xml:space="preserve">毳</w:t>
      </w:r>
      <w:r>
        <w:t xml:space="preserve">’</w:t>
      </w:r>
      <w:r>
        <w:t xml:space="preserve"> </w:t>
      </w:r>
      <w:r>
        <w:t xml:space="preserve">(</w:t>
      </w:r>
      <w:r>
        <w:rPr>
          <w:iCs/>
          <w:i/>
        </w:rPr>
        <w:t xml:space="preserve">sui</w:t>
      </w:r>
      <w:r>
        <w:t xml:space="preserve">,</w:t>
      </w:r>
      <w:r>
        <w:t xml:space="preserve"> </w:t>
      </w:r>
      <w:r>
        <w:rPr>
          <w:iCs/>
          <w:i/>
        </w:rPr>
        <w:t xml:space="preserve">zei</w:t>
      </w:r>
      <w:r>
        <w:t xml:space="preserve">) has two pronunciations in the</w:t>
      </w:r>
      <w:r>
        <w:t xml:space="preserve"> </w:t>
      </w:r>
      <w:r>
        <w:rPr>
          <w:iCs/>
          <w:i/>
        </w:rPr>
        <w:t xml:space="preserve">Guangyun</w:t>
      </w:r>
      <w:r>
        <w:t xml:space="preserve">:</w:t>
      </w:r>
      <w:r>
        <w:t xml:space="preserve"> </w:t>
      </w:r>
      <w:r>
        <w:t xml:space="preserve">“</w:t>
      </w:r>
      <w:r>
        <w:t xml:space="preserve">此芮切</w:t>
      </w:r>
      <w:r>
        <w:t xml:space="preserve">”</w:t>
      </w:r>
      <w:r>
        <w:t xml:space="preserve"> </w:t>
      </w:r>
      <w:r>
        <w:t xml:space="preserve">(</w:t>
      </w:r>
      <w:r>
        <w:rPr>
          <w:iCs/>
          <w:i/>
        </w:rPr>
        <w:t xml:space="preserve">cǐ ruì qiè</w:t>
      </w:r>
      <w:r>
        <w:t xml:space="preserve">; Departing tone, 祭韻, 清母</w:t>
      </w:r>
      <w:r>
        <w:t xml:space="preserve"> </w:t>
      </w:r>
      <w:r>
        <w:rPr>
          <w:iCs/>
          <w:i/>
        </w:rPr>
        <w:t xml:space="preserve">Qing initial</w:t>
      </w:r>
      <w:r>
        <w:t xml:space="preserve">) and</w:t>
      </w:r>
      <w:r>
        <w:t xml:space="preserve"> </w:t>
      </w:r>
      <w:r>
        <w:t xml:space="preserve">“</w:t>
      </w:r>
      <w:r>
        <w:t xml:space="preserve">楚税切</w:t>
      </w:r>
      <w:r>
        <w:t xml:space="preserve">”</w:t>
      </w:r>
      <w:r>
        <w:t xml:space="preserve"> </w:t>
      </w:r>
      <w:r>
        <w:t xml:space="preserve">(</w:t>
      </w:r>
      <w:r>
        <w:rPr>
          <w:iCs/>
          <w:i/>
        </w:rPr>
        <w:t xml:space="preserve">chǔ shuì qiè</w:t>
      </w:r>
      <w:r>
        <w:t xml:space="preserve">; Departing tone, 祭韻, 穿二母</w:t>
      </w:r>
      <w:r>
        <w:t xml:space="preserve"> </w:t>
      </w:r>
      <w:r>
        <w:rPr>
          <w:iCs/>
          <w:i/>
        </w:rPr>
        <w:t xml:space="preserve">Chuan II initial</w:t>
      </w:r>
      <w:r>
        <w:t xml:space="preserve">, for the character 㯔). The character</w:t>
      </w:r>
      <w:r>
        <w:t xml:space="preserve"> </w:t>
      </w:r>
      <w:r>
        <w:t xml:space="preserve">‘</w:t>
      </w:r>
      <w:r>
        <w:t xml:space="preserve">脆</w:t>
      </w:r>
      <w:r>
        <w:t xml:space="preserve">’</w:t>
      </w:r>
      <w:r>
        <w:t xml:space="preserve"> </w:t>
      </w:r>
      <w:r>
        <w:t xml:space="preserve">also has the</w:t>
      </w:r>
      <w:r>
        <w:t xml:space="preserve"> </w:t>
      </w:r>
      <w:r>
        <w:rPr>
          <w:iCs/>
          <w:i/>
        </w:rPr>
        <w:t xml:space="preserve">fanqie</w:t>
      </w:r>
      <w:r>
        <w:t xml:space="preserve"> </w:t>
      </w:r>
      <w:r>
        <w:t xml:space="preserve">“</w:t>
      </w:r>
      <w:r>
        <w:t xml:space="preserve">此芮切</w:t>
      </w:r>
      <w:r>
        <w:t xml:space="preserve">”</w:t>
      </w:r>
      <w:r>
        <w:t xml:space="preserve">. The</w:t>
      </w:r>
      <w:r>
        <w:t xml:space="preserve"> </w:t>
      </w:r>
      <w:r>
        <w:rPr>
          <w:iCs/>
          <w:i/>
        </w:rPr>
        <w:t xml:space="preserve">Shuowen Jiezi</w:t>
      </w:r>
      <w:r>
        <w:t xml:space="preserve">, under the</w:t>
      </w:r>
      <w:r>
        <w:t xml:space="preserve"> </w:t>
      </w:r>
      <w:r>
        <w:t xml:space="preserve">“</w:t>
      </w:r>
      <w:r>
        <w:t xml:space="preserve">毳</w:t>
      </w:r>
      <w:r>
        <w:t xml:space="preserve">”</w:t>
      </w:r>
      <w:r>
        <w:t xml:space="preserve"> </w:t>
      </w:r>
      <w:r>
        <w:t xml:space="preserve">radical section, states:</w:t>
      </w:r>
      <w:r>
        <w:t xml:space="preserve"> </w:t>
      </w:r>
      <w:r>
        <w:t xml:space="preserve">“</w:t>
      </w:r>
      <w:r>
        <w:t xml:space="preserve">獸細毛也。从三毛。凡毳之屬皆从毳。</w:t>
      </w:r>
      <w:r>
        <w:t xml:space="preserve">”</w:t>
      </w:r>
      <w:r>
        <w:t xml:space="preserve"> </w:t>
      </w:r>
      <w:r>
        <w:t xml:space="preserve">(Fine animal fur. Composed of three</w:t>
      </w:r>
      <w:r>
        <w:t xml:space="preserve"> </w:t>
      </w:r>
      <w:r>
        <w:t xml:space="preserve">‘</w:t>
      </w:r>
      <w:r>
        <w:t xml:space="preserve">毛</w:t>
      </w:r>
      <w:r>
        <w:t xml:space="preserve">’</w:t>
      </w:r>
      <w:r>
        <w:t xml:space="preserve"> </w:t>
      </w:r>
      <w:r>
        <w:t xml:space="preserve">(fur) characters. All characters belonging to the 毳 category are derived from 毳). Considering this, it is appropriate to treat these four characters (</w:t>
      </w:r>
      <w:r>
        <w:drawing>
          <wp:inline>
            <wp:extent cx="476250" cy="476250"/>
            <wp:effectExtent b="0" l="0" r="0" t="0"/>
            <wp:docPr descr="⿱三毛" title="" id="396" name="Picture"/>
            <a:graphic>
              <a:graphicData uri="http://schemas.openxmlformats.org/drawingml/2006/picture">
                <pic:pic>
                  <pic:nvPicPr>
                    <pic:cNvPr descr="https://glyphwiki.org/glyph/hdic-tanki10_hkrm-08100641.50px.png" id="397" name="Picture"/>
                    <pic:cNvPicPr>
                      <a:picLocks noChangeArrowheads="1" noChangeAspect="1"/>
                    </pic:cNvPicPr>
                  </pic:nvPicPr>
                  <pic:blipFill>
                    <a:blip r:embed="rId384"/>
                    <a:stretch>
                      <a:fillRect/>
                    </a:stretch>
                  </pic:blipFill>
                  <pic:spPr bwMode="auto">
                    <a:xfrm>
                      <a:off x="0" y="0"/>
                      <a:ext cx="476250" cy="476250"/>
                    </a:xfrm>
                    <a:prstGeom prst="rect">
                      <a:avLst/>
                    </a:prstGeom>
                    <a:noFill/>
                    <a:ln w="9525">
                      <a:noFill/>
                      <a:headEnd/>
                      <a:tailEnd/>
                    </a:ln>
                  </pic:spPr>
                </pic:pic>
              </a:graphicData>
            </a:graphic>
          </wp:inline>
        </w:drawing>
      </w:r>
      <w:r>
        <w:t xml:space="preserve">,</w:t>
      </w:r>
      <w:r>
        <w:t xml:space="preserve"> </w:t>
      </w:r>
      <w:r>
        <w:drawing>
          <wp:inline>
            <wp:extent cx="476250" cy="476250"/>
            <wp:effectExtent b="0" l="0" r="0" t="0"/>
            <wp:docPr descr="⿱介毳" title="" id="398" name="Picture"/>
            <a:graphic>
              <a:graphicData uri="http://schemas.openxmlformats.org/drawingml/2006/picture">
                <pic:pic>
                  <pic:nvPicPr>
                    <pic:cNvPr descr="https://glyphwiki.org/glyph/hdic-tanki10_hkrm-08100642.50px.png" id="399" name="Picture"/>
                    <pic:cNvPicPr>
                      <a:picLocks noChangeArrowheads="1" noChangeAspect="1"/>
                    </pic:cNvPicPr>
                  </pic:nvPicPr>
                  <pic:blipFill>
                    <a:blip r:embed="rId387"/>
                    <a:stretch>
                      <a:fillRect/>
                    </a:stretch>
                  </pic:blipFill>
                  <pic:spPr bwMode="auto">
                    <a:xfrm>
                      <a:off x="0" y="0"/>
                      <a:ext cx="476250" cy="476250"/>
                    </a:xfrm>
                    <a:prstGeom prst="rect">
                      <a:avLst/>
                    </a:prstGeom>
                    <a:noFill/>
                    <a:ln w="9525">
                      <a:noFill/>
                      <a:headEnd/>
                      <a:tailEnd/>
                    </a:ln>
                  </pic:spPr>
                </pic:pic>
              </a:graphicData>
            </a:graphic>
          </wp:inline>
        </w:drawing>
      </w:r>
      <w:r>
        <w:t xml:space="preserve">,</w:t>
      </w:r>
      <w:r>
        <w:t xml:space="preserve"> </w:t>
      </w:r>
      <w:r>
        <w:drawing>
          <wp:inline>
            <wp:extent cx="476250" cy="476250"/>
            <wp:effectExtent b="0" l="0" r="0" t="0"/>
            <wp:docPr descr="毳" title="" id="400" name="Picture"/>
            <a:graphic>
              <a:graphicData uri="http://schemas.openxmlformats.org/drawingml/2006/picture">
                <pic:pic>
                  <pic:nvPicPr>
                    <pic:cNvPr descr="https://glyphwiki.org/glyph/hdic-tanki10_hkrm-08100643.50px.png" id="401" name="Picture"/>
                    <pic:cNvPicPr>
                      <a:picLocks noChangeArrowheads="1" noChangeAspect="1"/>
                    </pic:cNvPicPr>
                  </pic:nvPicPr>
                  <pic:blipFill>
                    <a:blip r:embed="rId390"/>
                    <a:stretch>
                      <a:fillRect/>
                    </a:stretch>
                  </pic:blipFill>
                  <pic:spPr bwMode="auto">
                    <a:xfrm>
                      <a:off x="0" y="0"/>
                      <a:ext cx="476250" cy="476250"/>
                    </a:xfrm>
                    <a:prstGeom prst="rect">
                      <a:avLst/>
                    </a:prstGeom>
                    <a:noFill/>
                    <a:ln w="9525">
                      <a:noFill/>
                      <a:headEnd/>
                      <a:tailEnd/>
                    </a:ln>
                  </pic:spPr>
                </pic:pic>
              </a:graphicData>
            </a:graphic>
          </wp:inline>
        </w:drawing>
      </w:r>
      <w:r>
        <w:t xml:space="preserve">, and</w:t>
      </w:r>
      <w:r>
        <w:t xml:space="preserve"> </w:t>
      </w:r>
      <w:r>
        <w:drawing>
          <wp:inline>
            <wp:extent cx="635000" cy="635000"/>
            <wp:effectExtent b="0" l="0" r="0" t="0"/>
            <wp:docPr descr="𣯝" title="" id="402" name="Picture"/>
            <a:graphic>
              <a:graphicData uri="http://schemas.openxmlformats.org/drawingml/2006/picture">
                <pic:pic>
                  <pic:nvPicPr>
                    <pic:cNvPr descr="https://glyphwiki.org/glyph/hdic-tanki10_hkrm-08100644.50px.png" id="403" name="Picture"/>
                    <pic:cNvPicPr>
                      <a:picLocks noChangeArrowheads="1" noChangeAspect="1"/>
                    </pic:cNvPicPr>
                  </pic:nvPicPr>
                  <pic:blipFill>
                    <a:blip r:embed="rId393"/>
                    <a:stretch>
                      <a:fillRect/>
                    </a:stretch>
                  </pic:blipFill>
                  <pic:spPr bwMode="auto">
                    <a:xfrm>
                      <a:off x="0" y="0"/>
                      <a:ext cx="635000" cy="635000"/>
                    </a:xfrm>
                    <a:prstGeom prst="rect">
                      <a:avLst/>
                    </a:prstGeom>
                    <a:noFill/>
                    <a:ln w="9525">
                      <a:noFill/>
                      <a:headEnd/>
                      <a:tailEnd/>
                    </a:ln>
                  </pic:spPr>
                </pic:pic>
              </a:graphicData>
            </a:graphic>
          </wp:inline>
        </w:drawing>
      </w:r>
      <w:r>
        <w:t xml:space="preserve">) collectively as a single</w:t>
      </w:r>
      <w:r>
        <w:t xml:space="preserve"> </w:t>
      </w:r>
      <w:r>
        <w:rPr>
          <w:rStyle w:val="VerbatimChar"/>
          <w:bCs/>
          <w:b/>
        </w:rPr>
        <w:t xml:space="preserve">Basic Entry</w:t>
      </w:r>
      <w:r>
        <w:t xml:space="preserve">. The Renjō-in manuscript also treats these four characters as a single</w:t>
      </w:r>
      <w:r>
        <w:t xml:space="preserve"> </w:t>
      </w:r>
      <w:r>
        <w:rPr>
          <w:rStyle w:val="VerbatimChar"/>
          <w:bCs/>
          <w:b/>
        </w:rPr>
        <w:t xml:space="preserve">Entry</w:t>
      </w:r>
      <w:r>
        <w:t xml:space="preserve">.</w:t>
      </w:r>
    </w:p>
    <w:p>
      <w:pPr>
        <w:pStyle w:val="BodyText"/>
      </w:pPr>
      <w:r>
        <w:t xml:space="preserve">Regarding the</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w:t>
      </w:r>
      <w:r>
        <w:t xml:space="preserve"> </w:t>
      </w:r>
      <w:r>
        <w:t xml:space="preserve">The</w:t>
      </w:r>
      <w:r>
        <w:t xml:space="preserve"> </w:t>
      </w:r>
      <w:r>
        <w:rPr>
          <w:iCs/>
          <w:i/>
        </w:rPr>
        <w:t xml:space="preserve">wakun</w:t>
      </w:r>
      <w:r>
        <w:t xml:space="preserve"> </w:t>
      </w:r>
      <w:r>
        <w:t xml:space="preserve">“</w:t>
      </w:r>
      <w:r>
        <w:t xml:space="preserve">カモ</w:t>
      </w:r>
      <w:r>
        <w:t xml:space="preserve">”</w:t>
      </w:r>
      <w:r>
        <w:t xml:space="preserve"> </w:t>
      </w:r>
      <w:r>
        <w:t xml:space="preserve">(</w:t>
      </w:r>
      <w:r>
        <w:rPr>
          <w:iCs/>
          <w:i/>
        </w:rPr>
        <w:t xml:space="preserve">kamo</w:t>
      </w:r>
      <w:r>
        <w:t xml:space="preserve">) is listed in the</w:t>
      </w:r>
      <w:r>
        <w:t xml:space="preserve"> </w:t>
      </w:r>
      <w:r>
        <w:rPr>
          <w:iCs/>
          <w:i/>
        </w:rPr>
        <w:t xml:space="preserve">Nihon Kokugo Daijiten</w:t>
      </w:r>
      <w:r>
        <w:t xml:space="preserve"> </w:t>
      </w:r>
      <w:r>
        <w:t xml:space="preserve">(</w:t>
      </w:r>
      <w:r>
        <w:rPr>
          <w:iCs/>
          <w:i/>
        </w:rPr>
        <w:t xml:space="preserve">Nikkoku</w:t>
      </w:r>
      <w:r>
        <w:t xml:space="preserve">) under the entry for</w:t>
      </w:r>
      <w:r>
        <w:t xml:space="preserve"> </w:t>
      </w:r>
      <w:r>
        <w:t xml:space="preserve">“</w:t>
      </w:r>
      <w:r>
        <w:t xml:space="preserve">かも 【氈】</w:t>
      </w:r>
      <w:r>
        <w:t xml:space="preserve">”</w:t>
      </w:r>
      <w:r>
        <w:t xml:space="preserve"> </w:t>
      </w:r>
      <w:r>
        <w:t xml:space="preserve">with the definition:</w:t>
      </w:r>
      <w:r>
        <w:t xml:space="preserve"> </w:t>
      </w:r>
      <w:r>
        <w:t xml:space="preserve">“</w:t>
      </w:r>
      <w:r>
        <w:t xml:space="preserve">A carpet woven from animal fur; also refers to woolen products in general. Also</w:t>
      </w:r>
      <w:r>
        <w:t xml:space="preserve"> </w:t>
      </w:r>
      <w:r>
        <w:rPr>
          <w:iCs/>
          <w:i/>
        </w:rPr>
        <w:t xml:space="preserve">ori-kamo</w:t>
      </w:r>
      <w:r>
        <w:t xml:space="preserve">.</w:t>
      </w:r>
      <w:r>
        <w:t xml:space="preserve">”</w:t>
      </w:r>
      <w:r>
        <w:t xml:space="preserve"> </w:t>
      </w:r>
      <w:r>
        <w:t xml:space="preserve">Examples are found in the</w:t>
      </w:r>
      <w:r>
        <w:t xml:space="preserve"> </w:t>
      </w:r>
      <w:r>
        <w:rPr>
          <w:iCs/>
          <w:i/>
        </w:rPr>
        <w:t xml:space="preserve">Shinsen Jikyō</w:t>
      </w:r>
      <w:r>
        <w:t xml:space="preserve"> </w:t>
      </w:r>
      <w:r>
        <w:t xml:space="preserve">and the</w:t>
      </w:r>
      <w:r>
        <w:t xml:space="preserve"> </w:t>
      </w:r>
      <w:r>
        <w:rPr>
          <w:iCs/>
          <w:i/>
        </w:rPr>
        <w:t xml:space="preserve">Wamyō Ruijushō</w:t>
      </w:r>
      <w:r>
        <w:t xml:space="preserve">.</w:t>
      </w:r>
      <w:r>
        <w:t xml:space="preserve"> </w:t>
      </w:r>
      <w:r>
        <w:t xml:space="preserve">The</w:t>
      </w:r>
      <w:r>
        <w:t xml:space="preserve"> </w:t>
      </w:r>
      <w:r>
        <w:rPr>
          <w:iCs/>
          <w:i/>
        </w:rPr>
        <w:t xml:space="preserve">wakun</w:t>
      </w:r>
      <w:r>
        <w:t xml:space="preserve"> </w:t>
      </w:r>
      <w:r>
        <w:t xml:space="preserve">“</w:t>
      </w:r>
      <w:r>
        <w:t xml:space="preserve">マコゲ</w:t>
      </w:r>
      <w:r>
        <w:t xml:space="preserve">”</w:t>
      </w:r>
      <w:r>
        <w:t xml:space="preserve"> </w:t>
      </w:r>
      <w:r>
        <w:t xml:space="preserve">(</w:t>
      </w:r>
      <w:r>
        <w:rPr>
          <w:iCs/>
          <w:i/>
        </w:rPr>
        <w:t xml:space="preserve">makoge</w:t>
      </w:r>
      <w:r>
        <w:t xml:space="preserve">) is not listed in the</w:t>
      </w:r>
      <w:r>
        <w:t xml:space="preserve"> </w:t>
      </w:r>
      <w:r>
        <w:rPr>
          <w:iCs/>
          <w:i/>
        </w:rPr>
        <w:t xml:space="preserve">Nikkoku</w:t>
      </w:r>
      <w:r>
        <w:t xml:space="preserve">. Masamune’s Kana Index records</w:t>
      </w:r>
      <w:r>
        <w:t xml:space="preserve"> </w:t>
      </w:r>
      <w:r>
        <w:t xml:space="preserve">“</w:t>
      </w:r>
      <w:r>
        <w:t xml:space="preserve">マコゲ</w:t>
      </w:r>
      <w:r>
        <w:t xml:space="preserve">”</w:t>
      </w:r>
      <w:r>
        <w:t xml:space="preserve">. However, Mochizuki’s</w:t>
      </w:r>
      <w:r>
        <w:t xml:space="preserve"> </w:t>
      </w:r>
      <w:r>
        <w:rPr>
          <w:iCs/>
          <w:i/>
        </w:rPr>
        <w:t xml:space="preserve">Wakun Shūsei</w:t>
      </w:r>
      <w:r>
        <w:t xml:space="preserve"> </w:t>
      </w:r>
      <w:r>
        <w:t xml:space="preserve">and Kusakawa’s</w:t>
      </w:r>
      <w:r>
        <w:t xml:space="preserve"> </w:t>
      </w:r>
      <w:r>
        <w:rPr>
          <w:iCs/>
          <w:i/>
        </w:rPr>
        <w:t xml:space="preserve">Wakun Shūsei</w:t>
      </w:r>
      <w:r>
        <w:t xml:space="preserve"> </w:t>
      </w:r>
      <w:r>
        <w:t xml:space="preserve">list it as</w:t>
      </w:r>
      <w:r>
        <w:t xml:space="preserve"> </w:t>
      </w:r>
      <w:r>
        <w:t xml:space="preserve">“</w:t>
      </w:r>
      <w:r>
        <w:t xml:space="preserve">ニコゲ</w:t>
      </w:r>
      <w:r>
        <w:t xml:space="preserve">”</w:t>
      </w:r>
      <w:r>
        <w:t xml:space="preserve"> </w:t>
      </w:r>
      <w:r>
        <w:t xml:space="preserve">(</w:t>
      </w:r>
      <w:r>
        <w:rPr>
          <w:iCs/>
          <w:i/>
        </w:rPr>
        <w:t xml:space="preserve">nikoge</w:t>
      </w:r>
      <w:r>
        <w:t xml:space="preserve">) with a</w:t>
      </w:r>
      <w:r>
        <w:t xml:space="preserve"> </w:t>
      </w:r>
      <w:r>
        <w:rPr>
          <w:iCs/>
          <w:i/>
        </w:rPr>
        <w:t xml:space="preserve">mama</w:t>
      </w:r>
      <w:r>
        <w:t xml:space="preserve"> </w:t>
      </w:r>
      <w:r>
        <w:t xml:space="preserve">(i.e.,</w:t>
      </w:r>
      <w:r>
        <w:t xml:space="preserve"> </w:t>
      </w:r>
      <w:r>
        <w:t xml:space="preserve">“</w:t>
      </w:r>
      <w:r>
        <w:t xml:space="preserve">as is,</w:t>
      </w:r>
      <w:r>
        <w:t xml:space="preserve">”</w:t>
      </w:r>
      <w:r>
        <w:t xml:space="preserve"> </w:t>
      </w:r>
      <w:r>
        <w:t xml:space="preserve">indicating a direct transcription of a possibly problematic form) note.</w:t>
      </w:r>
      <w:r>
        <w:t xml:space="preserve"> </w:t>
      </w:r>
      <w:r>
        <w:t xml:space="preserve">The Maeda-bon manuscript of the</w:t>
      </w:r>
      <w:r>
        <w:t xml:space="preserve"> </w:t>
      </w:r>
      <w:r>
        <w:rPr>
          <w:iCs/>
          <w:i/>
        </w:rPr>
        <w:t xml:space="preserve">Iroha Jiruishō</w:t>
      </w:r>
      <w:r>
        <w:t xml:space="preserve">, under the entry for</w:t>
      </w:r>
      <w:r>
        <w:t xml:space="preserve"> </w:t>
      </w:r>
      <w:r>
        <w:t xml:space="preserve">‘</w:t>
      </w:r>
      <w:r>
        <w:t xml:space="preserve">毳</w:t>
      </w:r>
      <w:r>
        <w:t xml:space="preserve">’</w:t>
      </w:r>
      <w:r>
        <w:t xml:space="preserve">, shows</w:t>
      </w:r>
      <w:r>
        <w:t xml:space="preserve"> </w:t>
      </w:r>
      <w:r>
        <w:t xml:space="preserve">“</w:t>
      </w:r>
      <w:r>
        <w:t xml:space="preserve">ニコゲ (HHLV)</w:t>
      </w:r>
      <w:r>
        <w:t xml:space="preserve">”</w:t>
      </w:r>
      <w:r>
        <w:t xml:space="preserve">. The</w:t>
      </w:r>
      <w:r>
        <w:t xml:space="preserve"> </w:t>
      </w:r>
      <w:r>
        <w:rPr>
          <w:iCs/>
          <w:i/>
        </w:rPr>
        <w:t xml:space="preserve">Nikkoku</w:t>
      </w:r>
      <w:r>
        <w:t xml:space="preserve"> </w:t>
      </w:r>
      <w:r>
        <w:t xml:space="preserve">defines</w:t>
      </w:r>
      <w:r>
        <w:t xml:space="preserve"> </w:t>
      </w:r>
      <w:r>
        <w:t xml:space="preserve">“</w:t>
      </w:r>
      <w:r>
        <w:t xml:space="preserve">ニコゲ</w:t>
      </w:r>
      <w:r>
        <w:t xml:space="preserve">”</w:t>
      </w:r>
      <w:r>
        <w:t xml:space="preserve"> </w:t>
      </w:r>
      <w:r>
        <w:t xml:space="preserve">(</w:t>
      </w:r>
      <w:r>
        <w:rPr>
          <w:iCs/>
          <w:i/>
        </w:rPr>
        <w:t xml:space="preserve">nikoge</w:t>
      </w:r>
      <w:r>
        <w:t xml:space="preserve">) as:</w:t>
      </w:r>
      <w:r>
        <w:t xml:space="preserve"> </w:t>
      </w:r>
      <w:r>
        <w:t xml:space="preserve">“</w:t>
      </w:r>
      <w:r>
        <w:t xml:space="preserve">Fine, soft, short animal fur; also soft human hair.</w:t>
      </w:r>
      <w:r>
        <w:t xml:space="preserve"> </w:t>
      </w:r>
      <w:r>
        <w:rPr>
          <w:iCs/>
          <w:i/>
        </w:rPr>
        <w:t xml:space="preserve">Ubuge</w:t>
      </w:r>
      <w:r>
        <w:t xml:space="preserve"> </w:t>
      </w:r>
      <w:r>
        <w:t xml:space="preserve">(downy hair),</w:t>
      </w:r>
      <w:r>
        <w:t xml:space="preserve"> </w:t>
      </w:r>
      <w:r>
        <w:rPr>
          <w:iCs/>
          <w:i/>
        </w:rPr>
        <w:t xml:space="preserve">watage</w:t>
      </w:r>
      <w:r>
        <w:t xml:space="preserve"> </w:t>
      </w:r>
      <w:r>
        <w:t xml:space="preserve">(fluff).</w:t>
      </w:r>
      <w:r>
        <w:t xml:space="preserve">”</w:t>
      </w:r>
      <w:r>
        <w:t xml:space="preserve"> </w:t>
      </w:r>
      <w:r>
        <w:t xml:space="preserve">Examples are found in the</w:t>
      </w:r>
      <w:r>
        <w:t xml:space="preserve"> </w:t>
      </w:r>
      <w:r>
        <w:rPr>
          <w:iCs/>
          <w:i/>
        </w:rPr>
        <w:t xml:space="preserve">Wamyō Ruijushō</w:t>
      </w:r>
      <w:r>
        <w:t xml:space="preserve"> </w:t>
      </w:r>
      <w:r>
        <w:t xml:space="preserve">and other texts.</w:t>
      </w:r>
    </w:p>
    <w:p>
      <w:pPr>
        <w:pStyle w:val="BodyText"/>
      </w:pPr>
      <w:r>
        <w:t xml:space="preserve">The original text for this section in the Kanchi-in manuscript can be referred to on the right side of the</w:t>
      </w:r>
      <w:r>
        <w:t xml:space="preserve"> </w:t>
      </w:r>
      <w:hyperlink r:id="rId404">
        <w:r>
          <w:rPr>
            <w:rStyle w:val="Hyperlink"/>
          </w:rPr>
          <w:t xml:space="preserve">corresponding page</w:t>
        </w:r>
      </w:hyperlink>
      <w:r>
        <w:t xml:space="preserve"> </w:t>
      </w:r>
      <w:r>
        <w:t xml:space="preserve">in the National Diet Library Digital Collections.</w:t>
      </w:r>
    </w:p>
    <w:p>
      <w:pPr>
        <w:pStyle w:val="BodyText"/>
      </w:pPr>
      <w:r>
        <w:t xml:space="preserve">Incidentally, Volume 1 of the</w:t>
      </w:r>
      <w:r>
        <w:t xml:space="preserve"> </w:t>
      </w:r>
      <w:r>
        <w:rPr>
          <w:iCs/>
          <w:i/>
        </w:rPr>
        <w:t xml:space="preserve">Longkan Shoujian/Shoujing</w:t>
      </w:r>
      <w:r>
        <w:t xml:space="preserve"> </w:t>
      </w:r>
      <w:r>
        <w:t xml:space="preserve">(龍龕手鑑), under the</w:t>
      </w:r>
      <w:r>
        <w:t xml:space="preserve"> </w:t>
      </w:r>
      <w:r>
        <w:t xml:space="preserve">“</w:t>
      </w:r>
      <w:r>
        <w:t xml:space="preserve">毛</w:t>
      </w:r>
      <w:r>
        <w:t xml:space="preserve">”</w:t>
      </w:r>
      <w:r>
        <w:t xml:space="preserve"> </w:t>
      </w:r>
      <w:r>
        <w:t xml:space="preserve">(Fur) radical section, shows the following related entries:</w:t>
      </w:r>
    </w:p>
    <w:p>
      <w:pPr>
        <w:pStyle w:val="BodyText"/>
      </w:pPr>
      <w:r>
        <w:drawing>
          <wp:inline>
            <wp:extent cx="635000" cy="635000"/>
            <wp:effectExtent b="0" l="0" r="0" t="0"/>
            <wp:docPr descr="●" title="" id="406" name="Picture"/>
            <a:graphic>
              <a:graphicData uri="http://schemas.openxmlformats.org/drawingml/2006/picture">
                <pic:pic>
                  <pic:nvPicPr>
                    <pic:cNvPr descr="https://glyphwiki.org/glyph/cbeta-18097.50px.png" id="407" name="Picture"/>
                    <pic:cNvPicPr>
                      <a:picLocks noChangeArrowheads="1" noChangeAspect="1"/>
                    </pic:cNvPicPr>
                  </pic:nvPicPr>
                  <pic:blipFill>
                    <a:blip r:embed="rId405"/>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drawing>
          <wp:inline>
            <wp:extent cx="635000" cy="635000"/>
            <wp:effectExtent b="0" l="0" r="0" t="0"/>
            <wp:docPr descr="𣯝" title="" id="409" name="Picture"/>
            <a:graphic>
              <a:graphicData uri="http://schemas.openxmlformats.org/drawingml/2006/picture">
                <pic:pic>
                  <pic:nvPicPr>
                    <pic:cNvPr descr="https://glyphwiki.org/glyph/u23bdd.50px.png" id="410" name="Picture"/>
                    <pic:cNvPicPr>
                      <a:picLocks noChangeArrowheads="1" noChangeAspect="1"/>
                    </pic:cNvPicPr>
                  </pic:nvPicPr>
                  <pic:blipFill>
                    <a:blip r:embed="rId408"/>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drawing>
          <wp:inline>
            <wp:extent cx="476250" cy="476250"/>
            <wp:effectExtent b="0" l="0" r="0" t="0"/>
            <wp:docPr descr="𣯠" title="" id="412" name="Picture"/>
            <a:graphic>
              <a:graphicData uri="http://schemas.openxmlformats.org/drawingml/2006/picture">
                <pic:pic>
                  <pic:nvPicPr>
                    <pic:cNvPr descr="https://glyphwiki.org/glyph/u23be0.50px.png" id="413" name="Picture"/>
                    <pic:cNvPicPr>
                      <a:picLocks noChangeArrowheads="1" noChangeAspect="1"/>
                    </pic:cNvPicPr>
                  </pic:nvPicPr>
                  <pic:blipFill>
                    <a:blip r:embed="rId411"/>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635000" cy="635000"/>
            <wp:effectExtent b="0" l="0" r="0" t="0"/>
            <wp:docPr descr="⿱亦毳" title="" id="415" name="Picture"/>
            <a:graphic>
              <a:graphicData uri="http://schemas.openxmlformats.org/drawingml/2006/picture">
                <pic:pic>
                  <pic:nvPicPr>
                    <pic:cNvPr descr="https://glyphwiki.org/glyph/u306b3.50px.png" id="416" name="Picture"/>
                    <pic:cNvPicPr>
                      <a:picLocks noChangeArrowheads="1" noChangeAspect="1"/>
                    </pic:cNvPicPr>
                  </pic:nvPicPr>
                  <pic:blipFill>
                    <a:blip r:embed="rId414"/>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四俗。 (Four popular forms.)</w:t>
      </w:r>
      <w:r>
        <w:t xml:space="preserve"> </w:t>
      </w:r>
      <w:r>
        <w:drawing>
          <wp:inline>
            <wp:extent cx="635000" cy="635000"/>
            <wp:effectExtent b="0" l="0" r="0" t="0"/>
            <wp:docPr descr="毳" title="" id="418" name="Picture"/>
            <a:graphic>
              <a:graphicData uri="http://schemas.openxmlformats.org/drawingml/2006/picture">
                <pic:pic>
                  <pic:nvPicPr>
                    <pic:cNvPr descr="https://glyphwiki.org/glyph/u6bf3.50px.png" id="419" name="Picture"/>
                    <pic:cNvPicPr>
                      <a:picLocks noChangeArrowheads="1" noChangeAspect="1"/>
                    </pic:cNvPicPr>
                  </pic:nvPicPr>
                  <pic:blipFill>
                    <a:blip r:embed="rId417"/>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正。七稅昌稅二反。鳥獸細茸毛也。又斷也。亦姓五。 (Standard form.</w:t>
      </w:r>
      <w:r>
        <w:t xml:space="preserve"> </w:t>
      </w:r>
      <w:r>
        <w:rPr>
          <w:iCs/>
          <w:i/>
        </w:rPr>
        <w:t xml:space="preserve">Fanqie</w:t>
      </w:r>
      <w:r>
        <w:t xml:space="preserve"> </w:t>
      </w:r>
      <w:r>
        <w:t xml:space="preserve">spellings: 七稅反 (</w:t>
      </w:r>
      <w:r>
        <w:rPr>
          <w:iCs/>
          <w:i/>
        </w:rPr>
        <w:t xml:space="preserve">qī shuì fǎn</w:t>
      </w:r>
      <w:r>
        <w:t xml:space="preserve">) and 昌稅反 (</w:t>
      </w:r>
      <w:r>
        <w:rPr>
          <w:iCs/>
          <w:i/>
        </w:rPr>
        <w:t xml:space="preserve">chāng shuì fǎn</w:t>
      </w:r>
      <w:r>
        <w:t xml:space="preserve">). Meaning:</w:t>
      </w:r>
      <w:r>
        <w:t xml:space="preserve"> </w:t>
      </w:r>
      <w:r>
        <w:t xml:space="preserve">‘</w:t>
      </w:r>
      <w:r>
        <w:t xml:space="preserve">Fine downy fur of birds and beasts. Also means to cut. Also a surname.</w:t>
      </w:r>
      <w:r>
        <w:t xml:space="preserve">’</w:t>
      </w:r>
      <w:r>
        <w:t xml:space="preserve"> </w:t>
      </w:r>
      <w:r>
        <w:t xml:space="preserve">Five (notes/entries in total for this group).)</w:t>
      </w:r>
    </w:p>
    <w:p>
      <w:pPr>
        <w:pStyle w:val="BodyText"/>
      </w:pPr>
      <w:r>
        <w:t xml:space="preserve">The</w:t>
      </w:r>
      <w:r>
        <w:t xml:space="preserve"> </w:t>
      </w:r>
      <w:r>
        <w:rPr>
          <w:rStyle w:val="VerbatimChar"/>
          <w:bCs/>
          <w:b/>
        </w:rPr>
        <w:t xml:space="preserve">Entry</w:t>
      </w:r>
      <w:r>
        <w:t xml:space="preserve"> </w:t>
      </w:r>
      <w:r>
        <w:t xml:space="preserve">count and total headword character count for the</w:t>
      </w:r>
      <w:r>
        <w:t xml:space="preserve"> </w:t>
      </w:r>
      <w:r>
        <w:t xml:space="preserve">“</w:t>
      </w:r>
      <w:r>
        <w:t xml:space="preserve">毛</w:t>
      </w:r>
      <w:r>
        <w:t xml:space="preserve">”</w:t>
      </w:r>
      <w:r>
        <w:t xml:space="preserve"> </w:t>
      </w:r>
      <w:r>
        <w:t xml:space="preserve">(Fur) radical section are corrected as follows:</w:t>
      </w:r>
    </w:p>
    <w:tbl>
      <w:tblPr>
        <w:tblStyle w:val="Table"/>
        <w:tblW w:type="pct" w:w="5000"/>
        <w:tblLook w:firstRow="1" w:lastRow="0" w:firstColumn="0" w:lastColumn="0" w:noHBand="0" w:noVBand="0" w:val="0020"/>
        <w:jc w:val="start"/>
      </w:tblPr>
      <w:tblGrid>
        <w:gridCol w:w="421"/>
        <w:gridCol w:w="842"/>
        <w:gridCol w:w="674"/>
        <w:gridCol w:w="674"/>
        <w:gridCol w:w="674"/>
        <w:gridCol w:w="674"/>
        <w:gridCol w:w="674"/>
        <w:gridCol w:w="758"/>
        <w:gridCol w:w="1348"/>
        <w:gridCol w:w="1179"/>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086</w:t>
            </w:r>
          </w:p>
        </w:tc>
        <w:tc>
          <w:tcPr/>
          <w:p>
            <w:pPr>
              <w:pStyle w:val="Compact"/>
              <w:jc w:val="left"/>
            </w:pPr>
            <w:r>
              <w:t xml:space="preserve">毛 (Fur)</w:t>
            </w:r>
          </w:p>
        </w:tc>
        <w:tc>
          <w:tcPr/>
          <w:p>
            <w:pPr>
              <w:pStyle w:val="Compact"/>
              <w:jc w:val="right"/>
            </w:pPr>
            <w:r>
              <w:t xml:space="preserve">59</w:t>
            </w:r>
          </w:p>
        </w:tc>
        <w:tc>
          <w:tcPr/>
          <w:p>
            <w:pPr>
              <w:pStyle w:val="Compact"/>
              <w:jc w:val="right"/>
            </w:pPr>
            <w:r>
              <w:t xml:space="preserve">30</w:t>
            </w:r>
          </w:p>
        </w:tc>
        <w:tc>
          <w:tcPr/>
          <w:p>
            <w:pPr>
              <w:pStyle w:val="Compact"/>
              <w:jc w:val="right"/>
            </w:pPr>
            <w:r>
              <w:t xml:space="preserve">9</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103</w:t>
            </w:r>
          </w:p>
        </w:tc>
        <w:tc>
          <w:tcPr/>
          <w:p>
            <w:pPr>
              <w:pStyle w:val="Compact"/>
              <w:jc w:val="right"/>
            </w:pPr>
            <w:r>
              <w:t xml:space="preserve">173</w:t>
            </w:r>
          </w:p>
        </w:tc>
      </w:tr>
    </w:tbl>
    <w:p>
      <w:pPr>
        <w:pStyle w:val="BodyText"/>
      </w:pPr>
      <w:r>
        <w:t xml:space="preserve">For the</w:t>
      </w:r>
      <w:r>
        <w:t xml:space="preserve"> </w:t>
      </w:r>
      <w:r>
        <w:rPr>
          <w:bCs/>
          <w:b/>
        </w:rPr>
        <w:t xml:space="preserve">“</w:t>
      </w:r>
      <w:r>
        <w:rPr>
          <w:bCs/>
          <w:b/>
        </w:rPr>
        <w:t xml:space="preserve">食</w:t>
      </w:r>
      <w:r>
        <w:rPr>
          <w:bCs/>
          <w:b/>
        </w:rPr>
        <w:t xml:space="preserve">”</w:t>
      </w:r>
      <w:r>
        <w:rPr>
          <w:bCs/>
          <w:b/>
        </w:rPr>
        <w:t xml:space="preserve"> </w:t>
      </w:r>
      <w:r>
        <w:rPr>
          <w:bCs/>
          <w:b/>
        </w:rPr>
        <w:t xml:space="preserve">(Eat/Food) radical section</w:t>
      </w:r>
      <w:r>
        <w:t xml:space="preserve"> </w:t>
      </w:r>
      <w:r>
        <w:t xml:space="preserve">(食部,</w:t>
      </w:r>
      <w:r>
        <w:t xml:space="preserve"> </w:t>
      </w:r>
      <w:r>
        <w:rPr>
          <w:iCs/>
          <w:i/>
        </w:rPr>
        <w:t xml:space="preserve">Shokubu</w:t>
      </w:r>
      <w:r>
        <w:t xml:space="preserve">), Sakai (1967) counts 214</w:t>
      </w:r>
      <w:r>
        <w:t xml:space="preserve"> </w:t>
      </w:r>
      <w:r>
        <w:rPr>
          <w:rStyle w:val="VerbatimChar"/>
          <w:bCs/>
          <w:b/>
        </w:rPr>
        <w:t xml:space="preserve">Entries</w:t>
      </w:r>
      <w:r>
        <w:t xml:space="preserve">, while Ikeda et al. (2020) count 213</w:t>
      </w:r>
      <w:r>
        <w:t xml:space="preserve"> </w:t>
      </w:r>
      <w:r>
        <w:rPr>
          <w:rStyle w:val="VerbatimChar"/>
          <w:bCs/>
          <w:b/>
        </w:rPr>
        <w:t xml:space="preserve">Entries</w:t>
      </w:r>
      <w:r>
        <w:t xml:space="preserve">, a difference of one</w:t>
      </w:r>
      <w:r>
        <w:t xml:space="preserve"> </w:t>
      </w:r>
      <w:r>
        <w:rPr>
          <w:rStyle w:val="VerbatimChar"/>
          <w:bCs/>
          <w:b/>
        </w:rPr>
        <w:t xml:space="preserve">Entry</w:t>
      </w:r>
      <w:r>
        <w:t xml:space="preserve">. This discrepancy is thought to be related to the following instance:</w:t>
      </w:r>
    </w:p>
    <w:p>
      <w:pPr>
        <w:numPr>
          <w:ilvl w:val="0"/>
          <w:numId w:val="1221"/>
        </w:numPr>
        <w:pStyle w:val="Compact"/>
      </w:pPr>
      <w:r>
        <w:rPr>
          <w:rStyle w:val="VerbatimChar"/>
        </w:rPr>
        <w:t xml:space="preserve">kazama_location</w:t>
      </w:r>
      <w:r>
        <w:t xml:space="preserve">: K08104831,</w:t>
      </w:r>
      <w:r>
        <w:t xml:space="preserve"> </w:t>
      </w:r>
      <w:r>
        <w:rPr>
          <w:rStyle w:val="VerbatimChar"/>
        </w:rPr>
        <w:t xml:space="preserve">hanzi_entry</w:t>
      </w:r>
      <w:r>
        <w:t xml:space="preserve">: 餬／𩚩,</w:t>
      </w:r>
      <w:r>
        <w:t xml:space="preserve"> </w:t>
      </w:r>
      <w:r>
        <w:rPr>
          <w:rStyle w:val="VerbatimChar"/>
        </w:rPr>
        <w:t xml:space="preserve">definition</w:t>
      </w:r>
      <w:r>
        <w:t xml:space="preserve"> </w:t>
      </w:r>
      <w:r>
        <w:t xml:space="preserve">(representing</w:t>
      </w:r>
      <w:r>
        <w:t xml:space="preserve"> </w:t>
      </w:r>
      <w:r>
        <w:rPr>
          <w:rStyle w:val="VerbatimChar"/>
          <w:bCs/>
          <w:b/>
        </w:rPr>
        <w:t xml:space="preserve">Original Glosses</w:t>
      </w:r>
      <w:r>
        <w:t xml:space="preserve">): 「カユ」　「モラフ（HHL）」　今正　音胡　鬻〈正〉　饘也　モラフ（HHL）　ネヤス（LH_）　ヒサク（HH_）,</w:t>
      </w:r>
      <w:r>
        <w:t xml:space="preserve"> </w:t>
      </w:r>
      <w:r>
        <w:rPr>
          <w:rStyle w:val="VerbatimChar"/>
        </w:rPr>
        <w:t xml:space="preserve">remarks</w:t>
      </w:r>
      <w:r>
        <w:t xml:space="preserve"> </w:t>
      </w:r>
      <w:r>
        <w:t xml:space="preserve">(</w:t>
      </w:r>
      <w:r>
        <w:rPr>
          <w:rStyle w:val="VerbatimChar"/>
          <w:bCs/>
          <w:b/>
        </w:rPr>
        <w:t xml:space="preserve">Compiler's Remark</w:t>
      </w:r>
      <w:r>
        <w:t xml:space="preserve">): An example noted as</w:t>
      </w:r>
      <w:r>
        <w:t xml:space="preserve"> </w:t>
      </w:r>
      <w:r>
        <w:t xml:space="preserve">‘</w:t>
      </w:r>
      <w:r>
        <w:t xml:space="preserve">unknown</w:t>
      </w:r>
      <w:r>
        <w:t xml:space="preserve">’</w:t>
      </w:r>
      <w:r>
        <w:t xml:space="preserve"> </w:t>
      </w:r>
      <w:r>
        <w:t xml:space="preserve">(未詳,</w:t>
      </w:r>
      <w:r>
        <w:t xml:space="preserve"> </w:t>
      </w:r>
      <w:r>
        <w:rPr>
          <w:iCs/>
          <w:i/>
        </w:rPr>
        <w:t xml:space="preserve">mishō</w:t>
      </w:r>
      <w:r>
        <w:t xml:space="preserve">) in the</w:t>
      </w:r>
      <w:r>
        <w:t xml:space="preserve"> </w:t>
      </w:r>
      <w:r>
        <w:rPr>
          <w:iCs/>
          <w:i/>
        </w:rPr>
        <w:t xml:space="preserve">Wamyō Ruijushō</w:t>
      </w:r>
      <w:r>
        <w:t xml:space="preserve"> </w:t>
      </w:r>
      <w:r>
        <w:t xml:space="preserve">but not present in the</w:t>
      </w:r>
      <w:r>
        <w:t xml:space="preserve"> </w:t>
      </w:r>
      <w:r>
        <w:rPr>
          <w:iCs/>
          <w:i/>
        </w:rPr>
        <w:t xml:space="preserve">Myōgishō</w:t>
      </w:r>
      <w:r>
        <w:t xml:space="preserve"> </w:t>
      </w:r>
      <w:r>
        <w:t xml:space="preserve">in this form; see</w:t>
      </w:r>
      <w:r>
        <w:t xml:space="preserve"> </w:t>
      </w:r>
      <w:r>
        <w:rPr>
          <w:iCs/>
          <w:i/>
        </w:rPr>
        <w:t xml:space="preserve">Senchūbon Wamyōshō</w:t>
      </w:r>
      <w:r>
        <w:t xml:space="preserve"> </w:t>
      </w:r>
      <w:r>
        <w:t xml:space="preserve">(Annotated Edition of the</w:t>
      </w:r>
      <w:r>
        <w:t xml:space="preserve"> </w:t>
      </w:r>
      <w:r>
        <w:rPr>
          <w:iCs/>
          <w:i/>
        </w:rPr>
        <w:t xml:space="preserve">Wamyō Ruijushō</w:t>
      </w:r>
      <w:r>
        <w:t xml:space="preserve">), Vol. 4, p. 48 verso (Okada’s research, p. 97).</w:t>
      </w:r>
    </w:p>
    <w:p>
      <w:pPr>
        <w:pStyle w:val="FirstParagraph"/>
      </w:pPr>
      <w:r>
        <w:t xml:space="preserve">The</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w:t>
      </w:r>
      <w:r>
        <w:t xml:space="preserve">‘</w:t>
      </w:r>
      <w:r>
        <w:t xml:space="preserve">カユ</w:t>
      </w:r>
      <w:r>
        <w:t xml:space="preserve">’</w:t>
      </w:r>
      <w:r>
        <w:t xml:space="preserve"> </w:t>
      </w:r>
      <w:r>
        <w:t xml:space="preserve">(</w:t>
      </w:r>
      <w:r>
        <w:rPr>
          <w:iCs/>
          <w:i/>
        </w:rPr>
        <w:t xml:space="preserve">kayu</w:t>
      </w:r>
      <w:r>
        <w:t xml:space="preserve">) and</w:t>
      </w:r>
      <w:r>
        <w:t xml:space="preserve"> </w:t>
      </w:r>
      <w:r>
        <w:t xml:space="preserve">‘</w:t>
      </w:r>
      <w:r>
        <w:t xml:space="preserve">モラフ</w:t>
      </w:r>
      <w:r>
        <w:t xml:space="preserve">’</w:t>
      </w:r>
      <w:r>
        <w:t xml:space="preserve"> </w:t>
      </w:r>
      <w:r>
        <w:t xml:space="preserve">(</w:t>
      </w:r>
      <w:r>
        <w:rPr>
          <w:iCs/>
          <w:i/>
        </w:rPr>
        <w:t xml:space="preserve">morau</w:t>
      </w:r>
      <w:r>
        <w:t xml:space="preserve">; HHL) are written to the bottom right and bottom left, respectively, of the</w:t>
      </w:r>
      <w:r>
        <w:t xml:space="preserve"> </w:t>
      </w:r>
      <w:r>
        <w:rPr>
          <w:rStyle w:val="VerbatimChar"/>
          <w:bCs/>
          <w:b/>
        </w:rPr>
        <w:t xml:space="preserve">Headword</w:t>
      </w:r>
      <w:r>
        <w:t xml:space="preserve"> </w:t>
      </w:r>
      <w:r>
        <w:t xml:space="preserve">‘</w:t>
      </w:r>
      <w:r>
        <w:t xml:space="preserve">餬</w:t>
      </w:r>
      <w:r>
        <w:t xml:space="preserve">’</w:t>
      </w:r>
      <w:r>
        <w:t xml:space="preserve">. While they could potentially be seen as constituting independent</w:t>
      </w:r>
      <w:r>
        <w:t xml:space="preserve"> </w:t>
      </w:r>
      <w:r>
        <w:rPr>
          <w:rStyle w:val="VerbatimChar"/>
          <w:bCs/>
          <w:b/>
        </w:rPr>
        <w:t xml:space="preserve">Entries</w:t>
      </w:r>
      <w:r>
        <w:t xml:space="preserve">, the</w:t>
      </w:r>
      <w:r>
        <w:t xml:space="preserve"> </w:t>
      </w:r>
      <w:r>
        <w:rPr>
          <w:rStyle w:val="VerbatimChar"/>
          <w:bCs/>
          <w:b/>
        </w:rPr>
        <w:t xml:space="preserve">Headword</w:t>
      </w:r>
      <w:r>
        <w:t xml:space="preserve"> </w:t>
      </w:r>
      <w:r>
        <w:t xml:space="preserve">‘</w:t>
      </w:r>
      <w:r>
        <w:t xml:space="preserve">餬／𩚩</w:t>
      </w:r>
      <w:r>
        <w:t xml:space="preserve">’</w:t>
      </w:r>
      <w:r>
        <w:t xml:space="preserve"> </w:t>
      </w:r>
      <w:r>
        <w:t xml:space="preserve">is an example of co-listed</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Furthermore, the</w:t>
      </w:r>
      <w:r>
        <w:t xml:space="preserve"> </w:t>
      </w:r>
      <w:r>
        <w:rPr>
          <w:rStyle w:val="VerbatimChar"/>
          <w:bCs/>
          <w:b/>
        </w:rPr>
        <w:t xml:space="preserve">Original Glosses</w:t>
      </w:r>
      <w:r>
        <w:t xml:space="preserve"> </w:t>
      </w:r>
      <w:r>
        <w:t xml:space="preserve">include the</w:t>
      </w:r>
      <w:r>
        <w:t xml:space="preserve"> </w:t>
      </w:r>
      <w:r>
        <w:rPr>
          <w:rStyle w:val="VerbatimChar"/>
          <w:bCs/>
          <w:b/>
        </w:rPr>
        <w:t xml:space="preserve">Form Classification Tag</w:t>
      </w:r>
      <w:r>
        <w:t xml:space="preserve"> </w:t>
      </w:r>
      <w:r>
        <w:t xml:space="preserve">‘</w:t>
      </w:r>
      <w:r>
        <w:t xml:space="preserve">今正</w:t>
      </w:r>
      <w:r>
        <w:t xml:space="preserve">’</w:t>
      </w:r>
      <w:r>
        <w:t xml:space="preserve"> </w:t>
      </w:r>
      <w:r>
        <w:t xml:space="preserve">(</w:t>
      </w:r>
      <w:r>
        <w:rPr>
          <w:iCs/>
          <w:i/>
        </w:rPr>
        <w:t xml:space="preserve">konsei</w:t>
      </w:r>
      <w:r>
        <w:t xml:space="preserve">;</w:t>
      </w:r>
      <w:r>
        <w:t xml:space="preserve"> </w:t>
      </w:r>
      <w:r>
        <w:t xml:space="preserve">“</w:t>
      </w:r>
      <w:r>
        <w:t xml:space="preserve">current/standard</w:t>
      </w:r>
      <w:r>
        <w:t xml:space="preserve">”</w:t>
      </w:r>
      <w:r>
        <w:t xml:space="preserve">), and the Renjō-in manuscript treats</w:t>
      </w:r>
      <w:r>
        <w:t xml:space="preserve"> </w:t>
      </w:r>
      <w:r>
        <w:t xml:space="preserve">‘</w:t>
      </w:r>
      <w:r>
        <w:t xml:space="preserve">餬／𩚩</w:t>
      </w:r>
      <w:r>
        <w:t xml:space="preserve">’</w:t>
      </w:r>
      <w:r>
        <w:t xml:space="preserve"> </w:t>
      </w:r>
      <w:r>
        <w:t xml:space="preserve">as a single</w:t>
      </w:r>
      <w:r>
        <w:t xml:space="preserve"> </w:t>
      </w:r>
      <w:r>
        <w:rPr>
          <w:rStyle w:val="VerbatimChar"/>
          <w:bCs/>
          <w:b/>
        </w:rPr>
        <w:t xml:space="preserve">Entry</w:t>
      </w:r>
      <w:r>
        <w:t xml:space="preserve">.</w:t>
      </w:r>
    </w:p>
    <w:p>
      <w:pPr>
        <w:pStyle w:val="BodyText"/>
      </w:pPr>
      <w:r>
        <w:t xml:space="preserve">Another problematic instance is the following example:</w:t>
      </w:r>
    </w:p>
    <w:p>
      <w:pPr>
        <w:numPr>
          <w:ilvl w:val="0"/>
          <w:numId w:val="1222"/>
        </w:numPr>
        <w:pStyle w:val="Compact"/>
      </w:pPr>
      <w:r>
        <w:rPr>
          <w:rStyle w:val="VerbatimChar"/>
        </w:rPr>
        <w:t xml:space="preserve">kazama_location</w:t>
      </w:r>
      <w:r>
        <w:t xml:space="preserve">: K08110441,</w:t>
      </w:r>
      <w:r>
        <w:t xml:space="preserve"> </w:t>
      </w:r>
      <w:r>
        <w:rPr>
          <w:rStyle w:val="VerbatimChar"/>
        </w:rPr>
        <w:t xml:space="preserve">hanzi_entry</w:t>
      </w:r>
      <w:r>
        <w:t xml:space="preserve">: 䬭／𩚓／𩚾／𩜻／䬢／⿱⿰号丙食,</w:t>
      </w:r>
      <w:r>
        <w:t xml:space="preserve"> </w:t>
      </w:r>
      <w:r>
        <w:rPr>
          <w:rStyle w:val="VerbatimChar"/>
        </w:rPr>
        <w:t xml:space="preserve">definition</w:t>
      </w:r>
      <w:r>
        <w:t xml:space="preserve">: 俗 (Popular form)</w:t>
      </w:r>
    </w:p>
    <w:p>
      <w:pPr>
        <w:pStyle w:val="FirstParagraph"/>
      </w:pPr>
      <w:r>
        <w:t xml:space="preserve">As this</w:t>
      </w:r>
      <w:r>
        <w:t xml:space="preserve"> </w:t>
      </w:r>
      <w:r>
        <w:rPr>
          <w:rStyle w:val="VerbatimChar"/>
          <w:bCs/>
          <w:b/>
        </w:rPr>
        <w:t xml:space="preserve">Headword</w:t>
      </w:r>
      <w:r>
        <w:t xml:space="preserve"> </w:t>
      </w:r>
      <w:r>
        <w:t xml:space="preserve">contains many complex or rare characters, it is shown below using GlyphWiki images. A slash</w:t>
      </w:r>
      <w:r>
        <w:t xml:space="preserve"> </w:t>
      </w:r>
      <w:r>
        <w:t xml:space="preserve">‘</w:t>
      </w:r>
      <w:r>
        <w:t xml:space="preserve">/</w:t>
      </w:r>
      <w:r>
        <w:t xml:space="preserve">’</w:t>
      </w:r>
      <w:r>
        <w:t xml:space="preserve"> </w:t>
      </w:r>
      <w:r>
        <w:t xml:space="preserve">indicates a line break (as found in the manuscript for this sequence):</w:t>
      </w:r>
    </w:p>
    <w:p>
      <w:pPr>
        <w:pStyle w:val="BodyText"/>
      </w:pPr>
      <w:r>
        <w:drawing>
          <wp:inline>
            <wp:extent cx="635000" cy="635000"/>
            <wp:effectExtent b="0" l="0" r="0" t="0"/>
            <wp:docPr descr="𩞂" title="" id="421" name="Picture"/>
            <a:graphic>
              <a:graphicData uri="http://schemas.openxmlformats.org/drawingml/2006/picture">
                <pic:pic>
                  <pic:nvPicPr>
                    <pic:cNvPr descr="https://glyphwiki.org/glyph/hdic-tanki10_hkrm-08110421.50px.png" id="422" name="Picture"/>
                    <pic:cNvPicPr>
                      <a:picLocks noChangeArrowheads="1" noChangeAspect="1"/>
                    </pic:cNvPicPr>
                  </pic:nvPicPr>
                  <pic:blipFill>
                    <a:blip r:embed="rId420"/>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drawing>
          <wp:inline>
            <wp:extent cx="476250" cy="476250"/>
            <wp:effectExtent b="0" l="0" r="0" t="0"/>
            <wp:docPr descr="饕" title="" id="424" name="Picture"/>
            <a:graphic>
              <a:graphicData uri="http://schemas.openxmlformats.org/drawingml/2006/picture">
                <pic:pic>
                  <pic:nvPicPr>
                    <pic:cNvPr descr="https://glyphwiki.org/glyph/hdic-tanki10_hkrm-08110422.50px.png" id="425" name="Picture"/>
                    <pic:cNvPicPr>
                      <a:picLocks noChangeArrowheads="1" noChangeAspect="1"/>
                    </pic:cNvPicPr>
                  </pic:nvPicPr>
                  <pic:blipFill>
                    <a:blip r:embed="rId423"/>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或正叨通　他刀反　貪財　呉刀(R)</w:t>
      </w:r>
      <w:r>
        <w:br/>
      </w:r>
      <w:r>
        <w:t xml:space="preserve">(Glyph notes for : 或正叨通 (</w:t>
      </w:r>
      <w:r>
        <w:rPr>
          <w:iCs/>
          <w:i/>
        </w:rPr>
        <w:t xml:space="preserve">waku sei tō tsū</w:t>
      </w:r>
      <w:r>
        <w:t xml:space="preserve">; Alternative, Standard, Also Common forms).</w:t>
      </w:r>
      <w:r>
        <w:t xml:space="preserve"> </w:t>
      </w:r>
      <w:r>
        <w:rPr>
          <w:iCs/>
          <w:i/>
        </w:rPr>
        <w:t xml:space="preserve">Fanqie</w:t>
      </w:r>
      <w:r>
        <w:t xml:space="preserve">: 他刀反 (</w:t>
      </w:r>
      <w:r>
        <w:rPr>
          <w:iCs/>
          <w:i/>
        </w:rPr>
        <w:t xml:space="preserve">tā dāo fǎn</w:t>
      </w:r>
      <w:r>
        <w:t xml:space="preserve">). Meaning: 貪財 (greedy for wealth).</w:t>
      </w:r>
      <w:r>
        <w:t xml:space="preserve"> </w:t>
      </w:r>
      <w:r>
        <w:rPr>
          <w:iCs/>
          <w:i/>
        </w:rPr>
        <w:t xml:space="preserve">Go-on</w:t>
      </w:r>
      <w:r>
        <w:t xml:space="preserve">: 刀(R) (</w:t>
      </w:r>
      <w:r>
        <w:rPr>
          <w:iCs/>
          <w:i/>
        </w:rPr>
        <w:t xml:space="preserve">tō</w:t>
      </w:r>
      <w:r>
        <w:t xml:space="preserve">).)</w:t>
      </w:r>
      <w:r>
        <w:br/>
      </w:r>
      <w:r>
        <w:drawing>
          <wp:inline>
            <wp:extent cx="635000" cy="635000"/>
            <wp:effectExtent b="0" l="0" r="0" t="0"/>
            <wp:docPr descr="䬭" title="" id="427" name="Picture"/>
            <a:graphic>
              <a:graphicData uri="http://schemas.openxmlformats.org/drawingml/2006/picture">
                <pic:pic>
                  <pic:nvPicPr>
                    <pic:cNvPr descr="https://glyphwiki.org/glyph/hdic-tanki10_hkrm-08110441.50px.png" id="428" name="Picture"/>
                    <pic:cNvPicPr>
                      <a:picLocks noChangeArrowheads="1" noChangeAspect="1"/>
                    </pic:cNvPicPr>
                  </pic:nvPicPr>
                  <pic:blipFill>
                    <a:blip r:embed="rId426"/>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drawing>
          <wp:inline>
            <wp:extent cx="476250" cy="476250"/>
            <wp:effectExtent b="0" l="0" r="0" t="0"/>
            <wp:docPr descr="𩚓" title="" id="430" name="Picture"/>
            <a:graphic>
              <a:graphicData uri="http://schemas.openxmlformats.org/drawingml/2006/picture">
                <pic:pic>
                  <pic:nvPicPr>
                    <pic:cNvPr descr="https://glyphwiki.org/glyph/hdic-tanki10_hkrm-08110442.50px.png" id="431" name="Picture"/>
                    <pic:cNvPicPr>
                      <a:picLocks noChangeArrowheads="1" noChangeAspect="1"/>
                    </pic:cNvPicPr>
                  </pic:nvPicPr>
                  <pic:blipFill>
                    <a:blip r:embed="rId429"/>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476250" cy="476250"/>
            <wp:effectExtent b="0" l="0" r="0" t="0"/>
            <wp:docPr descr="𩚾" title="" id="433" name="Picture"/>
            <a:graphic>
              <a:graphicData uri="http://schemas.openxmlformats.org/drawingml/2006/picture">
                <pic:pic>
                  <pic:nvPicPr>
                    <pic:cNvPr descr="https://glyphwiki.org/glyph/hdic-tanki10_hkrm-08110443.50px.png" id="434" name="Picture"/>
                    <pic:cNvPicPr>
                      <a:picLocks noChangeArrowheads="1" noChangeAspect="1"/>
                    </pic:cNvPicPr>
                  </pic:nvPicPr>
                  <pic:blipFill>
                    <a:blip r:embed="rId432"/>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635000" cy="635000"/>
            <wp:effectExtent b="0" l="0" r="0" t="0"/>
            <wp:docPr descr="𩜻" title="" id="436" name="Picture"/>
            <a:graphic>
              <a:graphicData uri="http://schemas.openxmlformats.org/drawingml/2006/picture">
                <pic:pic>
                  <pic:nvPicPr>
                    <pic:cNvPr descr="https://glyphwiki.org/glyph/hdic-tanki10_hkrm-08110444.50px.png" id="437" name="Picture"/>
                    <pic:cNvPicPr>
                      <a:picLocks noChangeArrowheads="1" noChangeAspect="1"/>
                    </pic:cNvPicPr>
                  </pic:nvPicPr>
                  <pic:blipFill>
                    <a:blip r:embed="rId435"/>
                    <a:stretch>
                      <a:fillRect/>
                    </a:stretch>
                  </pic:blipFill>
                  <pic:spPr bwMode="auto">
                    <a:xfrm>
                      <a:off x="0" y="0"/>
                      <a:ext cx="635000" cy="635000"/>
                    </a:xfrm>
                    <a:prstGeom prst="rect">
                      <a:avLst/>
                    </a:prstGeom>
                    <a:noFill/>
                    <a:ln w="9525">
                      <a:noFill/>
                      <a:headEnd/>
                      <a:tailEnd/>
                    </a:ln>
                  </pic:spPr>
                </pic:pic>
              </a:graphicData>
            </a:graphic>
          </wp:inline>
        </w:drawing>
      </w:r>
      <w:r>
        <w:t xml:space="preserve">/</w:t>
      </w:r>
      <w:r>
        <w:t xml:space="preserve"> </w:t>
      </w:r>
      <w:r>
        <w:drawing>
          <wp:inline>
            <wp:extent cx="476250" cy="476250"/>
            <wp:effectExtent b="0" l="0" r="0" t="0"/>
            <wp:docPr descr="䬢" title="" id="439" name="Picture"/>
            <a:graphic>
              <a:graphicData uri="http://schemas.openxmlformats.org/drawingml/2006/picture">
                <pic:pic>
                  <pic:nvPicPr>
                    <pic:cNvPr descr="https://glyphwiki.org/glyph/hdic-tanki10_hkrm-08110511.50px.png" id="440" name="Picture"/>
                    <pic:cNvPicPr>
                      <a:picLocks noChangeArrowheads="1" noChangeAspect="1"/>
                    </pic:cNvPicPr>
                  </pic:nvPicPr>
                  <pic:blipFill>
                    <a:blip r:embed="rId438"/>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476250" cy="476250"/>
            <wp:effectExtent b="0" l="0" r="0" t="0"/>
            <wp:docPr descr="⿱⿰号丙食" title="" id="442" name="Picture"/>
            <a:graphic>
              <a:graphicData uri="http://schemas.openxmlformats.org/drawingml/2006/picture">
                <pic:pic>
                  <pic:nvPicPr>
                    <pic:cNvPr descr="https://glyphwiki.org/glyph/hdic-tanki10_hkrm-08110512.50px.png" id="443" name="Picture"/>
                    <pic:cNvPicPr>
                      <a:picLocks noChangeArrowheads="1" noChangeAspect="1"/>
                    </pic:cNvPicPr>
                  </pic:nvPicPr>
                  <pic:blipFill>
                    <a:blip r:embed="rId441"/>
                    <a:stretch>
                      <a:fillRect/>
                    </a:stretch>
                  </pic:blipFill>
                  <pic:spPr bwMode="auto">
                    <a:xfrm>
                      <a:off x="0" y="0"/>
                      <a:ext cx="476250" cy="476250"/>
                    </a:xfrm>
                    <a:prstGeom prst="rect">
                      <a:avLst/>
                    </a:prstGeom>
                    <a:noFill/>
                    <a:ln w="9525">
                      <a:noFill/>
                      <a:headEnd/>
                      <a:tailEnd/>
                    </a:ln>
                  </pic:spPr>
                </pic:pic>
              </a:graphicData>
            </a:graphic>
          </wp:inline>
        </w:drawing>
      </w:r>
      <w:r>
        <w:t xml:space="preserve">俗 (Popular form)</w:t>
      </w:r>
    </w:p>
    <w:p>
      <w:pPr>
        <w:pStyle w:val="BodyText"/>
      </w:pPr>
      <w:r>
        <w:t xml:space="preserve">There is a line break between</w:t>
      </w:r>
      <w:r>
        <w:t xml:space="preserve"> </w:t>
      </w:r>
      <w:r>
        <w:drawing>
          <wp:inline>
            <wp:extent cx="635000" cy="635000"/>
            <wp:effectExtent b="0" l="0" r="0" t="0"/>
            <wp:docPr descr="𩜻" title="" id="444" name="Picture"/>
            <a:graphic>
              <a:graphicData uri="http://schemas.openxmlformats.org/drawingml/2006/picture">
                <pic:pic>
                  <pic:nvPicPr>
                    <pic:cNvPr descr="https://glyphwiki.org/glyph/hdic-tanki10_hkrm-08110444.50px.png" id="445" name="Picture"/>
                    <pic:cNvPicPr>
                      <a:picLocks noChangeArrowheads="1" noChangeAspect="1"/>
                    </pic:cNvPicPr>
                  </pic:nvPicPr>
                  <pic:blipFill>
                    <a:blip r:embed="rId435"/>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and</w:t>
      </w:r>
      <w:r>
        <w:t xml:space="preserve"> </w:t>
      </w:r>
      <w:r>
        <w:drawing>
          <wp:inline>
            <wp:extent cx="476250" cy="476250"/>
            <wp:effectExtent b="0" l="0" r="0" t="0"/>
            <wp:docPr descr="䬢" title="" id="446" name="Picture"/>
            <a:graphic>
              <a:graphicData uri="http://schemas.openxmlformats.org/drawingml/2006/picture">
                <pic:pic>
                  <pic:nvPicPr>
                    <pic:cNvPr descr="https://glyphwiki.org/glyph/hdic-tanki10_hkrm-08110511.50px.png" id="447" name="Picture"/>
                    <pic:cNvPicPr>
                      <a:picLocks noChangeArrowheads="1" noChangeAspect="1"/>
                    </pic:cNvPicPr>
                  </pic:nvPicPr>
                  <pic:blipFill>
                    <a:blip r:embed="rId438"/>
                    <a:stretch>
                      <a:fillRect/>
                    </a:stretch>
                  </pic:blipFill>
                  <pic:spPr bwMode="auto">
                    <a:xfrm>
                      <a:off x="0" y="0"/>
                      <a:ext cx="476250" cy="476250"/>
                    </a:xfrm>
                    <a:prstGeom prst="rect">
                      <a:avLst/>
                    </a:prstGeom>
                    <a:noFill/>
                    <a:ln w="9525">
                      <a:noFill/>
                      <a:headEnd/>
                      <a:tailEnd/>
                    </a:ln>
                  </pic:spPr>
                </pic:pic>
              </a:graphicData>
            </a:graphic>
          </wp:inline>
        </w:drawing>
      </w:r>
      <w:r>
        <w:t xml:space="preserve">, which might suggest that the</w:t>
      </w:r>
      <w:r>
        <w:t xml:space="preserve"> </w:t>
      </w:r>
      <w:r>
        <w:rPr>
          <w:rStyle w:val="VerbatimChar"/>
          <w:bCs/>
          <w:b/>
        </w:rPr>
        <w:t xml:space="preserve">Headword</w:t>
      </w:r>
      <w:r>
        <w:t xml:space="preserve"> </w:t>
      </w:r>
      <w:r>
        <w:t xml:space="preserve">was split into two</w:t>
      </w:r>
      <w:r>
        <w:t xml:space="preserve"> </w:t>
      </w:r>
      <w:r>
        <w:rPr>
          <w:rStyle w:val="VerbatimChar"/>
          <w:bCs/>
          <w:b/>
        </w:rPr>
        <w:t xml:space="preserve">Entries</w:t>
      </w:r>
      <w:r>
        <w:t xml:space="preserve"> </w:t>
      </w:r>
      <w:r>
        <w:t xml:space="preserve">at this point. However, as this is a sequence of</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of</w:t>
      </w:r>
      <w:r>
        <w:t xml:space="preserve"> </w:t>
      </w:r>
      <w:r>
        <w:t xml:space="preserve">‘</w:t>
      </w:r>
      <w:r>
        <w:t xml:space="preserve">饕</w:t>
      </w:r>
      <w:r>
        <w:t xml:space="preserve">’</w:t>
      </w:r>
      <w:r>
        <w:t xml:space="preserve">, it is considered more appropriate to treat it as a single</w:t>
      </w:r>
      <w:r>
        <w:t xml:space="preserve"> </w:t>
      </w:r>
      <w:r>
        <w:rPr>
          <w:rStyle w:val="VerbatimChar"/>
          <w:bCs/>
          <w:b/>
        </w:rPr>
        <w:t xml:space="preserve">Entry</w:t>
      </w:r>
      <w:r>
        <w:t xml:space="preserve">.</w:t>
      </w:r>
    </w:p>
    <w:p>
      <w:pPr>
        <w:pStyle w:val="BodyText"/>
      </w:pPr>
      <w:r>
        <w:t xml:space="preserve">The original text for this section in the Kanchi-in manuscript can be referred to on the right side of the</w:t>
      </w:r>
      <w:r>
        <w:t xml:space="preserve"> </w:t>
      </w:r>
      <w:hyperlink r:id="rId448">
        <w:r>
          <w:rPr>
            <w:rStyle w:val="Hyperlink"/>
          </w:rPr>
          <w:t xml:space="preserve">corresponding page</w:t>
        </w:r>
      </w:hyperlink>
      <w:r>
        <w:t xml:space="preserve"> </w:t>
      </w:r>
      <w:r>
        <w:t xml:space="preserve">in the National Diet Library Digital Collections.</w:t>
      </w:r>
    </w:p>
    <w:bookmarkEnd w:id="449"/>
    <w:bookmarkStart w:id="463" w:name="X73086d5e5e9bd882660db8441b8e72ce5eb03fb"/>
    <w:p>
      <w:pPr>
        <w:pStyle w:val="Heading3"/>
      </w:pPr>
      <w:r>
        <w:rPr>
          <w:rStyle w:val="SectionNumber"/>
        </w:rPr>
        <w:t xml:space="preserve">21.6.11</w:t>
      </w:r>
      <w:r>
        <w:tab/>
      </w:r>
      <w:r>
        <w:t xml:space="preserve">Sōchū (僧中 – Middle</w:t>
      </w:r>
      <w:r>
        <w:t xml:space="preserve"> </w:t>
      </w:r>
      <w:r>
        <w:t xml:space="preserve">“</w:t>
      </w:r>
      <w:r>
        <w:t xml:space="preserve">Sangha</w:t>
      </w:r>
      <w:r>
        <w:t xml:space="preserve">”</w:t>
      </w:r>
      <w:r>
        <w:t xml:space="preserve"> </w:t>
      </w:r>
      <w:r>
        <w:t xml:space="preserve">Fascicle)</w:t>
      </w:r>
    </w:p>
    <w:p>
      <w:pPr>
        <w:pStyle w:val="FirstParagraph"/>
      </w:pPr>
      <w:r>
        <w:t xml:space="preserve">In the Sōchū section, discrepancies in Entry counts between Sakai (1967) and Ikeda et al. (2020) are found for the following two radical sections. The figures presented in the table below are from Ikeda et al. (2020):</w:t>
      </w:r>
    </w:p>
    <w:tbl>
      <w:tblPr>
        <w:tblStyle w:val="Table"/>
        <w:tblW w:type="pct" w:w="5000"/>
        <w:tblLook w:firstRow="1" w:lastRow="0" w:firstColumn="0" w:lastColumn="0" w:noHBand="0" w:noVBand="0" w:val="0020"/>
        <w:jc w:val="start"/>
      </w:tblPr>
      <w:tblGrid>
        <w:gridCol w:w="421"/>
        <w:gridCol w:w="842"/>
        <w:gridCol w:w="674"/>
        <w:gridCol w:w="674"/>
        <w:gridCol w:w="674"/>
        <w:gridCol w:w="674"/>
        <w:gridCol w:w="674"/>
        <w:gridCol w:w="758"/>
        <w:gridCol w:w="1348"/>
        <w:gridCol w:w="1179"/>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095</w:t>
            </w:r>
          </w:p>
        </w:tc>
        <w:tc>
          <w:tcPr/>
          <w:p>
            <w:pPr>
              <w:pStyle w:val="Compact"/>
              <w:jc w:val="left"/>
            </w:pPr>
            <w:r>
              <w:t xml:space="preserve">弓 (Bow)</w:t>
            </w:r>
          </w:p>
        </w:tc>
        <w:tc>
          <w:tcPr/>
          <w:p>
            <w:pPr>
              <w:pStyle w:val="Compact"/>
              <w:jc w:val="right"/>
            </w:pPr>
            <w:r>
              <w:t xml:space="preserve">61</w:t>
            </w:r>
          </w:p>
        </w:tc>
        <w:tc>
          <w:tcPr/>
          <w:p>
            <w:pPr>
              <w:pStyle w:val="Compact"/>
              <w:jc w:val="right"/>
            </w:pPr>
            <w:r>
              <w:t xml:space="preserve">32</w:t>
            </w:r>
          </w:p>
        </w:tc>
        <w:tc>
          <w:tcPr/>
          <w:p>
            <w:pPr>
              <w:pStyle w:val="Compact"/>
              <w:jc w:val="right"/>
            </w:pPr>
            <w:r>
              <w:t xml:space="preserve">7</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101</w:t>
            </w:r>
          </w:p>
        </w:tc>
        <w:tc>
          <w:tcPr/>
          <w:p>
            <w:pPr>
              <w:pStyle w:val="Compact"/>
              <w:jc w:val="right"/>
            </w:pPr>
            <w:r>
              <w:t xml:space="preserve">150</w:t>
            </w:r>
          </w:p>
        </w:tc>
      </w:tr>
      <w:tr>
        <w:tc>
          <w:tcPr/>
          <w:p>
            <w:pPr>
              <w:pStyle w:val="Compact"/>
              <w:jc w:val="left"/>
            </w:pPr>
            <w:r>
              <w:t xml:space="preserve">111</w:t>
            </w:r>
          </w:p>
        </w:tc>
        <w:tc>
          <w:tcPr/>
          <w:p>
            <w:pPr>
              <w:pStyle w:val="Compact"/>
              <w:jc w:val="left"/>
            </w:pPr>
            <w:r>
              <w:t xml:space="preserve">鳥 (Bird)</w:t>
            </w:r>
          </w:p>
        </w:tc>
        <w:tc>
          <w:tcPr/>
          <w:p>
            <w:pPr>
              <w:pStyle w:val="Compact"/>
              <w:jc w:val="right"/>
            </w:pPr>
            <w:r>
              <w:t xml:space="preserve">307</w:t>
            </w:r>
          </w:p>
        </w:tc>
        <w:tc>
          <w:tcPr/>
          <w:p>
            <w:pPr>
              <w:pStyle w:val="Compact"/>
              <w:jc w:val="right"/>
            </w:pPr>
            <w:r>
              <w:t xml:space="preserve">184</w:t>
            </w:r>
          </w:p>
        </w:tc>
        <w:tc>
          <w:tcPr/>
          <w:p>
            <w:pPr>
              <w:pStyle w:val="Compact"/>
              <w:jc w:val="right"/>
            </w:pPr>
            <w:r>
              <w:t xml:space="preserve">35</w:t>
            </w:r>
          </w:p>
        </w:tc>
        <w:tc>
          <w:tcPr/>
          <w:p>
            <w:pPr>
              <w:pStyle w:val="Compact"/>
              <w:jc w:val="right"/>
            </w:pPr>
            <w:r>
              <w:t xml:space="preserve">6</w:t>
            </w:r>
          </w:p>
        </w:tc>
        <w:tc>
          <w:tcPr/>
          <w:p>
            <w:pPr>
              <w:pStyle w:val="Compact"/>
              <w:jc w:val="right"/>
            </w:pPr>
            <w:r>
              <w:t xml:space="preserve">1</w:t>
            </w:r>
          </w:p>
        </w:tc>
        <w:tc>
          <w:tcPr/>
          <w:p>
            <w:pPr>
              <w:pStyle w:val="Compact"/>
              <w:jc w:val="right"/>
            </w:pPr>
            <w:r>
              <w:t xml:space="preserve">0</w:t>
            </w:r>
          </w:p>
        </w:tc>
        <w:tc>
          <w:tcPr/>
          <w:p>
            <w:pPr>
              <w:pStyle w:val="Compact"/>
              <w:jc w:val="right"/>
            </w:pPr>
            <w:r>
              <w:t xml:space="preserve">533</w:t>
            </w:r>
          </w:p>
        </w:tc>
        <w:tc>
          <w:tcPr/>
          <w:p>
            <w:pPr>
              <w:pStyle w:val="Compact"/>
              <w:jc w:val="right"/>
            </w:pPr>
            <w:r>
              <w:t xml:space="preserve">809</w:t>
            </w:r>
          </w:p>
        </w:tc>
      </w:tr>
    </w:tbl>
    <w:p>
      <w:pPr>
        <w:pStyle w:val="BodyText"/>
      </w:pPr>
      <w:r>
        <w:t xml:space="preserve">For the</w:t>
      </w:r>
      <w:r>
        <w:t xml:space="preserve"> </w:t>
      </w:r>
      <w:r>
        <w:rPr>
          <w:bCs/>
          <w:b/>
        </w:rPr>
        <w:t xml:space="preserve">“</w:t>
      </w:r>
      <w:r>
        <w:rPr>
          <w:bCs/>
          <w:b/>
        </w:rPr>
        <w:t xml:space="preserve">弓</w:t>
      </w:r>
      <w:r>
        <w:rPr>
          <w:bCs/>
          <w:b/>
        </w:rPr>
        <w:t xml:space="preserve">”</w:t>
      </w:r>
      <w:r>
        <w:rPr>
          <w:bCs/>
          <w:b/>
        </w:rPr>
        <w:t xml:space="preserve"> </w:t>
      </w:r>
      <w:r>
        <w:rPr>
          <w:bCs/>
          <w:b/>
        </w:rPr>
        <w:t xml:space="preserve">(Bow) radical section</w:t>
      </w:r>
      <w:r>
        <w:t xml:space="preserve"> </w:t>
      </w:r>
      <w:r>
        <w:t xml:space="preserve">(弓部,</w:t>
      </w:r>
      <w:r>
        <w:t xml:space="preserve"> </w:t>
      </w:r>
      <w:r>
        <w:rPr>
          <w:iCs/>
          <w:i/>
        </w:rPr>
        <w:t xml:space="preserve">Kyūbu</w:t>
      </w:r>
      <w:r>
        <w:t xml:space="preserve">), Sakai (1967) counts 102 Entries, while Ikeda et al. (2020) count 101 Entries, a difference of one Entry. This discrepancy is thought to be related to the following instance:</w:t>
      </w:r>
    </w:p>
    <w:p>
      <w:pPr>
        <w:numPr>
          <w:ilvl w:val="0"/>
          <w:numId w:val="1223"/>
        </w:numPr>
        <w:pStyle w:val="Compact"/>
      </w:pPr>
      <w:r>
        <w:rPr>
          <w:rStyle w:val="VerbatimChar"/>
        </w:rPr>
        <w:t xml:space="preserve">kazama_location</w:t>
      </w:r>
      <w:r>
        <w:t xml:space="preserve">: K09028141,</w:t>
      </w:r>
      <w:r>
        <w:t xml:space="preserve"> </w:t>
      </w:r>
      <w:r>
        <w:rPr>
          <w:rStyle w:val="VerbatimChar"/>
        </w:rPr>
        <w:t xml:space="preserve">hanzi_entry</w:t>
      </w:r>
      <w:r>
        <w:t xml:space="preserve">: ⿰弓取／⿰弓亥／⿰弓丁／⿰弓𧴪,</w:t>
      </w:r>
      <w:r>
        <w:t xml:space="preserve"> </w:t>
      </w:r>
      <w:r>
        <w:rPr>
          <w:rStyle w:val="VerbatimChar"/>
        </w:rPr>
        <w:t xml:space="preserve">definition</w:t>
      </w:r>
      <w:r>
        <w:t xml:space="preserve">: 未詳 (Unknown)</w:t>
      </w:r>
    </w:p>
    <w:p>
      <w:pPr>
        <w:pStyle w:val="FirstParagraph"/>
      </w:pPr>
      <w:r>
        <w:t xml:space="preserve">There is a line break in the manuscript between</w:t>
      </w:r>
      <w:r>
        <w:t xml:space="preserve"> </w:t>
      </w:r>
      <w:r>
        <w:t xml:space="preserve">‘</w:t>
      </w:r>
      <w:r>
        <w:t xml:space="preserve">⿰弓丁</w:t>
      </w:r>
      <w:r>
        <w:t xml:space="preserve">’</w:t>
      </w:r>
      <w:r>
        <w:t xml:space="preserve"> </w:t>
      </w:r>
      <w:r>
        <w:t xml:space="preserve">(the third character of this Headword) and</w:t>
      </w:r>
      <w:r>
        <w:t xml:space="preserve"> </w:t>
      </w:r>
      <w:r>
        <w:t xml:space="preserve">‘</w:t>
      </w:r>
      <w:r>
        <w:t xml:space="preserve">⿰弓𧴪</w:t>
      </w:r>
      <w:r>
        <w:t xml:space="preserve">’</w:t>
      </w:r>
      <w:r>
        <w:t xml:space="preserve"> </w:t>
      </w:r>
      <w:r>
        <w:t xml:space="preserve">(the fourth character of this Headword), which raises the possibility of counting them as two separate Entries.</w:t>
      </w:r>
    </w:p>
    <w:p>
      <w:pPr>
        <w:pStyle w:val="BodyText"/>
      </w:pPr>
      <w:r>
        <w:t xml:space="preserve">The Headword</w:t>
      </w:r>
      <w:r>
        <w:t xml:space="preserve"> </w:t>
      </w:r>
      <w:r>
        <w:t xml:space="preserve">‘</w:t>
      </w:r>
      <w:r>
        <w:t xml:space="preserve">⿰弓取／⿰弓亥／⿰弓丁／⿰弓𧴪</w:t>
      </w:r>
      <w:r>
        <w:t xml:space="preserve">’</w:t>
      </w:r>
      <w:r>
        <w:t xml:space="preserve"> </w:t>
      </w:r>
      <w:r>
        <w:t xml:space="preserve">with its Original Gloss</w:t>
      </w:r>
      <w:r>
        <w:t xml:space="preserve"> </w:t>
      </w:r>
      <w:r>
        <w:t xml:space="preserve">“</w:t>
      </w:r>
      <w:r>
        <w:t xml:space="preserve">未詳</w:t>
      </w:r>
      <w:r>
        <w:t xml:space="preserve">”</w:t>
      </w:r>
      <w:r>
        <w:t xml:space="preserve"> </w:t>
      </w:r>
      <w:r>
        <w:t xml:space="preserve">(Unknown) appears as follows (line break indicated by /):</w:t>
      </w:r>
    </w:p>
    <w:p>
      <w:pPr>
        <w:pStyle w:val="BodyText"/>
      </w:pPr>
      <w:r>
        <w:drawing>
          <wp:inline>
            <wp:extent cx="476250" cy="476250"/>
            <wp:effectExtent b="0" l="0" r="0" t="0"/>
            <wp:docPr descr="⿰弓取" title="" id="451" name="Picture"/>
            <a:graphic>
              <a:graphicData uri="http://schemas.openxmlformats.org/drawingml/2006/picture">
                <pic:pic>
                  <pic:nvPicPr>
                    <pic:cNvPr descr="https://glyphwiki.org/glyph/hdic-tanki10_hkrm-09028141.50px.png" id="452" name="Picture"/>
                    <pic:cNvPicPr>
                      <a:picLocks noChangeArrowheads="1" noChangeAspect="1"/>
                    </pic:cNvPicPr>
                  </pic:nvPicPr>
                  <pic:blipFill>
                    <a:blip r:embed="rId450"/>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476250" cy="476250"/>
            <wp:effectExtent b="0" l="0" r="0" t="0"/>
            <wp:docPr descr="⿰弓亥" title="" id="454" name="Picture"/>
            <a:graphic>
              <a:graphicData uri="http://schemas.openxmlformats.org/drawingml/2006/picture">
                <pic:pic>
                  <pic:nvPicPr>
                    <pic:cNvPr descr="https://glyphwiki.org/glyph/hdic-tanki10_hkrm-09028142.50px.png" id="455" name="Picture"/>
                    <pic:cNvPicPr>
                      <a:picLocks noChangeArrowheads="1" noChangeAspect="1"/>
                    </pic:cNvPicPr>
                  </pic:nvPicPr>
                  <pic:blipFill>
                    <a:blip r:embed="rId453"/>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476250" cy="476250"/>
            <wp:effectExtent b="0" l="0" r="0" t="0"/>
            <wp:docPr descr="⿰弓丁" title="" id="457" name="Picture"/>
            <a:graphic>
              <a:graphicData uri="http://schemas.openxmlformats.org/drawingml/2006/picture">
                <pic:pic>
                  <pic:nvPicPr>
                    <pic:cNvPr descr="https://glyphwiki.org/glyph/hdic-tanki10_hkrm-09028143.50px.png" id="458" name="Picture"/>
                    <pic:cNvPicPr>
                      <a:picLocks noChangeArrowheads="1" noChangeAspect="1"/>
                    </pic:cNvPicPr>
                  </pic:nvPicPr>
                  <pic:blipFill>
                    <a:blip r:embed="rId456"/>
                    <a:stretch>
                      <a:fillRect/>
                    </a:stretch>
                  </pic:blipFill>
                  <pic:spPr bwMode="auto">
                    <a:xfrm>
                      <a:off x="0" y="0"/>
                      <a:ext cx="476250" cy="476250"/>
                    </a:xfrm>
                    <a:prstGeom prst="rect">
                      <a:avLst/>
                    </a:prstGeom>
                    <a:noFill/>
                    <a:ln w="9525">
                      <a:noFill/>
                      <a:headEnd/>
                      <a:tailEnd/>
                    </a:ln>
                  </pic:spPr>
                </pic:pic>
              </a:graphicData>
            </a:graphic>
          </wp:inline>
        </w:drawing>
      </w:r>
      <w:r>
        <w:t xml:space="preserve">/</w:t>
      </w:r>
      <w:r>
        <w:t xml:space="preserve"> </w:t>
      </w:r>
      <w:r>
        <w:drawing>
          <wp:inline>
            <wp:extent cx="476250" cy="476250"/>
            <wp:effectExtent b="0" l="0" r="0" t="0"/>
            <wp:docPr descr="⿰弓𧴪" title="" id="460" name="Picture"/>
            <a:graphic>
              <a:graphicData uri="http://schemas.openxmlformats.org/drawingml/2006/picture">
                <pic:pic>
                  <pic:nvPicPr>
                    <pic:cNvPr descr="https://glyphwiki.org/glyph/hdic-tanki10_hkrm-09028210.50px.png" id="461" name="Picture"/>
                    <pic:cNvPicPr>
                      <a:picLocks noChangeArrowheads="1" noChangeAspect="1"/>
                    </pic:cNvPicPr>
                  </pic:nvPicPr>
                  <pic:blipFill>
                    <a:blip r:embed="rId459"/>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 未詳 (Unknown)</w:t>
      </w:r>
    </w:p>
    <w:p>
      <w:pPr>
        <w:pStyle w:val="BodyText"/>
      </w:pPr>
      <w:r>
        <w:t xml:space="preserve">The original text for this section in the Kanchi-in manuscript can be referred to on the right side of the</w:t>
      </w:r>
      <w:r>
        <w:t xml:space="preserve"> </w:t>
      </w:r>
      <w:hyperlink r:id="rId462">
        <w:r>
          <w:rPr>
            <w:rStyle w:val="Hyperlink"/>
          </w:rPr>
          <w:t xml:space="preserve">corresponding page</w:t>
        </w:r>
      </w:hyperlink>
      <w:r>
        <w:t xml:space="preserve"> </w:t>
      </w:r>
      <w:r>
        <w:t xml:space="preserve">in the National Diet Library Digital Collections.</w:t>
      </w:r>
    </w:p>
    <w:p>
      <w:pPr>
        <w:pStyle w:val="BodyText"/>
      </w:pPr>
      <w:r>
        <w:t xml:space="preserve">For the</w:t>
      </w:r>
      <w:r>
        <w:t xml:space="preserve"> </w:t>
      </w:r>
      <w:r>
        <w:rPr>
          <w:bCs/>
          <w:b/>
        </w:rPr>
        <w:t xml:space="preserve">“</w:t>
      </w:r>
      <w:r>
        <w:rPr>
          <w:bCs/>
          <w:b/>
        </w:rPr>
        <w:t xml:space="preserve">鳥</w:t>
      </w:r>
      <w:r>
        <w:rPr>
          <w:bCs/>
          <w:b/>
        </w:rPr>
        <w:t xml:space="preserve">”</w:t>
      </w:r>
      <w:r>
        <w:rPr>
          <w:bCs/>
          <w:b/>
        </w:rPr>
        <w:t xml:space="preserve"> </w:t>
      </w:r>
      <w:r>
        <w:rPr>
          <w:bCs/>
          <w:b/>
        </w:rPr>
        <w:t xml:space="preserve">(Bird) radical section</w:t>
      </w:r>
      <w:r>
        <w:t xml:space="preserve"> </w:t>
      </w:r>
      <w:r>
        <w:t xml:space="preserve">(鳥部,</w:t>
      </w:r>
      <w:r>
        <w:t xml:space="preserve"> </w:t>
      </w:r>
      <w:r>
        <w:rPr>
          <w:iCs/>
          <w:i/>
        </w:rPr>
        <w:t xml:space="preserve">Chōbu</w:t>
      </w:r>
      <w:r>
        <w:t xml:space="preserve">), Sakai (1967) counts 532 Entries, while Ikeda et al. (2020) count 533 Entries, a difference of one Entry. Currently, no specific instances that might account for this discrepancy in Entry counting have been identified.</w:t>
      </w:r>
    </w:p>
    <w:bookmarkEnd w:id="463"/>
    <w:bookmarkStart w:id="499" w:name="X9dfbd6f0de50d6f95fef5b2c336b6f456062e30"/>
    <w:p>
      <w:pPr>
        <w:pStyle w:val="Heading3"/>
      </w:pPr>
      <w:r>
        <w:rPr>
          <w:rStyle w:val="SectionNumber"/>
        </w:rPr>
        <w:t xml:space="preserve">21.6.12</w:t>
      </w:r>
      <w:r>
        <w:tab/>
      </w:r>
      <w:r>
        <w:rPr>
          <w:iCs/>
          <w:i/>
        </w:rPr>
        <w:t xml:space="preserve">Sōge</w:t>
      </w:r>
      <w:r>
        <w:t xml:space="preserve"> </w:t>
      </w:r>
      <w:r>
        <w:t xml:space="preserve">(僧下 – Lower</w:t>
      </w:r>
      <w:r>
        <w:t xml:space="preserve"> </w:t>
      </w:r>
      <w:r>
        <w:t xml:space="preserve">“</w:t>
      </w:r>
      <w:r>
        <w:t xml:space="preserve">Sangha</w:t>
      </w:r>
      <w:r>
        <w:t xml:space="preserve">”</w:t>
      </w:r>
      <w:r>
        <w:t xml:space="preserve"> </w:t>
      </w:r>
      <w:r>
        <w:t xml:space="preserve">Fascicle)</w:t>
      </w:r>
    </w:p>
    <w:p>
      <w:pPr>
        <w:pStyle w:val="FirstParagraph"/>
      </w:pPr>
      <w:r>
        <w:t xml:space="preserve">In the</w:t>
      </w:r>
      <w:r>
        <w:t xml:space="preserve"> </w:t>
      </w:r>
      <w:r>
        <w:rPr>
          <w:iCs/>
          <w:i/>
          <w:bCs/>
          <w:b/>
        </w:rPr>
        <w:t xml:space="preserve">Sōge</w:t>
      </w:r>
      <w:r>
        <w:t xml:space="preserve"> </w:t>
      </w:r>
      <w:r>
        <w:t xml:space="preserve">section, discrepancies in</w:t>
      </w:r>
      <w:r>
        <w:t xml:space="preserve"> </w:t>
      </w:r>
      <w:r>
        <w:rPr>
          <w:rStyle w:val="VerbatimChar"/>
          <w:bCs/>
          <w:b/>
        </w:rPr>
        <w:t xml:space="preserve">Entry</w:t>
      </w:r>
      <w:r>
        <w:t xml:space="preserve"> </w:t>
      </w:r>
      <w:r>
        <w:t xml:space="preserve">counts between Sakai (1967) and Ikeda et al. (2020) are found for the following four radical sections. The figures presented in the table below are from Ikeda et al. (2020):</w:t>
      </w:r>
    </w:p>
    <w:tbl>
      <w:tblPr>
        <w:tblStyle w:val="Table"/>
        <w:tblW w:type="pct" w:w="5000"/>
        <w:tblLook w:firstRow="1" w:lastRow="0" w:firstColumn="0" w:lastColumn="0" w:noHBand="0" w:noVBand="0" w:val="0020"/>
        <w:jc w:val="start"/>
      </w:tblPr>
      <w:tblGrid>
        <w:gridCol w:w="392"/>
        <w:gridCol w:w="1333"/>
        <w:gridCol w:w="627"/>
        <w:gridCol w:w="627"/>
        <w:gridCol w:w="627"/>
        <w:gridCol w:w="627"/>
        <w:gridCol w:w="627"/>
        <w:gridCol w:w="705"/>
        <w:gridCol w:w="1254"/>
        <w:gridCol w:w="1097"/>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113</w:t>
            </w:r>
          </w:p>
        </w:tc>
        <w:tc>
          <w:tcPr/>
          <w:p>
            <w:pPr>
              <w:pStyle w:val="Compact"/>
              <w:jc w:val="left"/>
            </w:pPr>
            <w:r>
              <w:t xml:space="preserve">魚 (Fish)</w:t>
            </w:r>
          </w:p>
        </w:tc>
        <w:tc>
          <w:tcPr/>
          <w:p>
            <w:pPr>
              <w:pStyle w:val="Compact"/>
              <w:jc w:val="right"/>
            </w:pPr>
            <w:r>
              <w:t xml:space="preserve">232</w:t>
            </w:r>
          </w:p>
        </w:tc>
        <w:tc>
          <w:tcPr/>
          <w:p>
            <w:pPr>
              <w:pStyle w:val="Compact"/>
              <w:jc w:val="right"/>
            </w:pPr>
            <w:r>
              <w:t xml:space="preserve">104</w:t>
            </w:r>
          </w:p>
        </w:tc>
        <w:tc>
          <w:tcPr/>
          <w:p>
            <w:pPr>
              <w:pStyle w:val="Compact"/>
              <w:jc w:val="right"/>
            </w:pPr>
            <w:r>
              <w:t xml:space="preserve">41</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379</w:t>
            </w:r>
          </w:p>
        </w:tc>
        <w:tc>
          <w:tcPr/>
          <w:p>
            <w:pPr>
              <w:pStyle w:val="Compact"/>
              <w:jc w:val="right"/>
            </w:pPr>
            <w:r>
              <w:t xml:space="preserve">571</w:t>
            </w:r>
          </w:p>
        </w:tc>
      </w:tr>
      <w:tr>
        <w:tc>
          <w:tcPr/>
          <w:p>
            <w:pPr>
              <w:pStyle w:val="Compact"/>
              <w:jc w:val="left"/>
            </w:pPr>
            <w:r>
              <w:t xml:space="preserve">114</w:t>
            </w:r>
          </w:p>
        </w:tc>
        <w:tc>
          <w:tcPr/>
          <w:p>
            <w:pPr>
              <w:pStyle w:val="Compact"/>
              <w:jc w:val="left"/>
            </w:pPr>
            <w:r>
              <w:t xml:space="preserve">虫 (Insect)</w:t>
            </w:r>
          </w:p>
        </w:tc>
        <w:tc>
          <w:tcPr/>
          <w:p>
            <w:pPr>
              <w:pStyle w:val="Compact"/>
              <w:jc w:val="right"/>
            </w:pPr>
            <w:r>
              <w:t xml:space="preserve">365</w:t>
            </w:r>
          </w:p>
        </w:tc>
        <w:tc>
          <w:tcPr/>
          <w:p>
            <w:pPr>
              <w:pStyle w:val="Compact"/>
              <w:jc w:val="right"/>
            </w:pPr>
            <w:r>
              <w:t xml:space="preserve">257</w:t>
            </w:r>
          </w:p>
        </w:tc>
        <w:tc>
          <w:tcPr/>
          <w:p>
            <w:pPr>
              <w:pStyle w:val="Compact"/>
              <w:jc w:val="right"/>
            </w:pPr>
            <w:r>
              <w:t xml:space="preserve">27</w:t>
            </w:r>
          </w:p>
        </w:tc>
        <w:tc>
          <w:tcPr/>
          <w:p>
            <w:pPr>
              <w:pStyle w:val="Compact"/>
              <w:jc w:val="right"/>
            </w:pPr>
            <w:r>
              <w:t xml:space="preserve">9</w:t>
            </w:r>
          </w:p>
        </w:tc>
        <w:tc>
          <w:tcPr/>
          <w:p>
            <w:pPr>
              <w:pStyle w:val="Compact"/>
              <w:jc w:val="right"/>
            </w:pPr>
            <w:r>
              <w:t xml:space="preserve">1</w:t>
            </w:r>
          </w:p>
        </w:tc>
        <w:tc>
          <w:tcPr/>
          <w:p>
            <w:pPr>
              <w:pStyle w:val="Compact"/>
              <w:jc w:val="right"/>
            </w:pPr>
            <w:r>
              <w:t xml:space="preserve">5</w:t>
            </w:r>
          </w:p>
        </w:tc>
        <w:tc>
          <w:tcPr/>
          <w:p>
            <w:pPr>
              <w:pStyle w:val="Compact"/>
              <w:jc w:val="right"/>
            </w:pPr>
            <w:r>
              <w:t xml:space="preserve">664</w:t>
            </w:r>
          </w:p>
        </w:tc>
        <w:tc>
          <w:tcPr/>
          <w:p>
            <w:pPr>
              <w:pStyle w:val="Compact"/>
              <w:jc w:val="right"/>
            </w:pPr>
            <w:r>
              <w:t xml:space="preserve">1,041</w:t>
            </w:r>
          </w:p>
        </w:tc>
      </w:tr>
      <w:tr>
        <w:tc>
          <w:tcPr/>
          <w:p>
            <w:pPr>
              <w:pStyle w:val="Compact"/>
              <w:jc w:val="left"/>
            </w:pPr>
            <w:r>
              <w:t xml:space="preserve">117</w:t>
            </w:r>
          </w:p>
        </w:tc>
        <w:tc>
          <w:tcPr/>
          <w:p>
            <w:pPr>
              <w:pStyle w:val="Compact"/>
              <w:jc w:val="left"/>
            </w:pPr>
            <w:r>
              <w:t xml:space="preserve">鬼 (Ghost)</w:t>
            </w:r>
          </w:p>
        </w:tc>
        <w:tc>
          <w:tcPr/>
          <w:p>
            <w:pPr>
              <w:pStyle w:val="Compact"/>
              <w:jc w:val="right"/>
            </w:pPr>
            <w:r>
              <w:t xml:space="preserve">51</w:t>
            </w:r>
          </w:p>
        </w:tc>
        <w:tc>
          <w:tcPr/>
          <w:p>
            <w:pPr>
              <w:pStyle w:val="Compact"/>
              <w:jc w:val="right"/>
            </w:pPr>
            <w:r>
              <w:t xml:space="preserve">18</w:t>
            </w:r>
          </w:p>
        </w:tc>
        <w:tc>
          <w:tcPr/>
          <w:p>
            <w:pPr>
              <w:pStyle w:val="Compact"/>
              <w:jc w:val="right"/>
            </w:pPr>
            <w:r>
              <w:t xml:space="preserve">1</w:t>
            </w:r>
          </w:p>
        </w:tc>
        <w:tc>
          <w:tcPr/>
          <w:p>
            <w:pPr>
              <w:pStyle w:val="Compact"/>
              <w:jc w:val="right"/>
            </w:pPr>
            <w:r>
              <w:t xml:space="preserve">2</w:t>
            </w:r>
          </w:p>
        </w:tc>
        <w:tc>
          <w:tcPr/>
          <w:p>
            <w:pPr>
              <w:pStyle w:val="Compact"/>
              <w:jc w:val="right"/>
            </w:pPr>
            <w:r>
              <w:t xml:space="preserve">1</w:t>
            </w:r>
          </w:p>
        </w:tc>
        <w:tc>
          <w:tcPr/>
          <w:p>
            <w:pPr>
              <w:pStyle w:val="Compact"/>
              <w:jc w:val="right"/>
            </w:pPr>
            <w:r>
              <w:t xml:space="preserve">2</w:t>
            </w:r>
          </w:p>
        </w:tc>
        <w:tc>
          <w:tcPr/>
          <w:p>
            <w:pPr>
              <w:pStyle w:val="Compact"/>
              <w:jc w:val="right"/>
            </w:pPr>
            <w:r>
              <w:t xml:space="preserve">75</w:t>
            </w:r>
          </w:p>
        </w:tc>
        <w:tc>
          <w:tcPr/>
          <w:p>
            <w:pPr>
              <w:pStyle w:val="Compact"/>
              <w:jc w:val="right"/>
            </w:pPr>
            <w:r>
              <w:t xml:space="preserve">121</w:t>
            </w:r>
          </w:p>
        </w:tc>
      </w:tr>
      <w:tr>
        <w:tc>
          <w:tcPr/>
          <w:p>
            <w:pPr>
              <w:pStyle w:val="Compact"/>
              <w:jc w:val="left"/>
            </w:pPr>
            <w:r>
              <w:t xml:space="preserve">120</w:t>
            </w:r>
          </w:p>
        </w:tc>
        <w:tc>
          <w:tcPr/>
          <w:p>
            <w:pPr>
              <w:pStyle w:val="Compact"/>
              <w:jc w:val="left"/>
            </w:pPr>
            <w:r>
              <w:t xml:space="preserve">雑 (Miscellaneous)</w:t>
            </w:r>
          </w:p>
        </w:tc>
        <w:tc>
          <w:tcPr/>
          <w:p>
            <w:pPr>
              <w:pStyle w:val="Compact"/>
              <w:jc w:val="right"/>
            </w:pPr>
            <w:r>
              <w:t xml:space="preserve">1,076</w:t>
            </w:r>
          </w:p>
        </w:tc>
        <w:tc>
          <w:tcPr/>
          <w:p>
            <w:pPr>
              <w:pStyle w:val="Compact"/>
              <w:jc w:val="right"/>
            </w:pPr>
            <w:r>
              <w:t xml:space="preserve">331</w:t>
            </w:r>
          </w:p>
        </w:tc>
        <w:tc>
          <w:tcPr/>
          <w:p>
            <w:pPr>
              <w:pStyle w:val="Compact"/>
              <w:jc w:val="right"/>
            </w:pPr>
            <w:r>
              <w:t xml:space="preserve">73</w:t>
            </w:r>
          </w:p>
        </w:tc>
        <w:tc>
          <w:tcPr/>
          <w:p>
            <w:pPr>
              <w:pStyle w:val="Compact"/>
              <w:jc w:val="right"/>
            </w:pPr>
            <w:r>
              <w:t xml:space="preserve">14</w:t>
            </w:r>
          </w:p>
        </w:tc>
        <w:tc>
          <w:tcPr/>
          <w:p>
            <w:pPr>
              <w:pStyle w:val="Compact"/>
              <w:jc w:val="right"/>
            </w:pPr>
            <w:r>
              <w:t xml:space="preserve">4</w:t>
            </w:r>
          </w:p>
        </w:tc>
        <w:tc>
          <w:tcPr/>
          <w:p>
            <w:pPr>
              <w:pStyle w:val="Compact"/>
              <w:jc w:val="right"/>
            </w:pPr>
            <w:r>
              <w:t xml:space="preserve">3</w:t>
            </w:r>
          </w:p>
        </w:tc>
        <w:tc>
          <w:tcPr/>
          <w:p>
            <w:pPr>
              <w:pStyle w:val="Compact"/>
              <w:jc w:val="right"/>
            </w:pPr>
            <w:r>
              <w:t xml:space="preserve">1,501</w:t>
            </w:r>
          </w:p>
        </w:tc>
        <w:tc>
          <w:tcPr/>
          <w:p>
            <w:pPr>
              <w:pStyle w:val="Compact"/>
              <w:jc w:val="right"/>
            </w:pPr>
            <w:r>
              <w:t xml:space="preserve">2,056</w:t>
            </w:r>
          </w:p>
        </w:tc>
      </w:tr>
    </w:tbl>
    <w:p>
      <w:pPr>
        <w:pStyle w:val="BodyText"/>
      </w:pPr>
      <w:r>
        <w:t xml:space="preserve">For the</w:t>
      </w:r>
      <w:r>
        <w:t xml:space="preserve"> </w:t>
      </w:r>
      <w:r>
        <w:rPr>
          <w:bCs/>
          <w:b/>
        </w:rPr>
        <w:t xml:space="preserve">“</w:t>
      </w:r>
      <w:r>
        <w:rPr>
          <w:bCs/>
          <w:b/>
        </w:rPr>
        <w:t xml:space="preserve">魚</w:t>
      </w:r>
      <w:r>
        <w:rPr>
          <w:bCs/>
          <w:b/>
        </w:rPr>
        <w:t xml:space="preserve">”</w:t>
      </w:r>
      <w:r>
        <w:rPr>
          <w:bCs/>
          <w:b/>
        </w:rPr>
        <w:t xml:space="preserve"> </w:t>
      </w:r>
      <w:r>
        <w:rPr>
          <w:bCs/>
          <w:b/>
        </w:rPr>
        <w:t xml:space="preserve">(Fish) radical section</w:t>
      </w:r>
      <w:r>
        <w:t xml:space="preserve"> </w:t>
      </w:r>
      <w:r>
        <w:t xml:space="preserve">(魚部,</w:t>
      </w:r>
      <w:r>
        <w:t xml:space="preserve"> </w:t>
      </w:r>
      <w:r>
        <w:rPr>
          <w:iCs/>
          <w:i/>
        </w:rPr>
        <w:t xml:space="preserve">Gyobu</w:t>
      </w:r>
      <w:r>
        <w:t xml:space="preserve">), Sakai (1967) counts 378</w:t>
      </w:r>
      <w:r>
        <w:t xml:space="preserve"> </w:t>
      </w:r>
      <w:r>
        <w:rPr>
          <w:rStyle w:val="VerbatimChar"/>
          <w:bCs/>
          <w:b/>
        </w:rPr>
        <w:t xml:space="preserve">Entries</w:t>
      </w:r>
      <w:r>
        <w:t xml:space="preserve">, while Ikeda et al. (2020) count 379</w:t>
      </w:r>
      <w:r>
        <w:t xml:space="preserve"> </w:t>
      </w:r>
      <w:r>
        <w:rPr>
          <w:rStyle w:val="VerbatimChar"/>
          <w:bCs/>
          <w:b/>
        </w:rPr>
        <w:t xml:space="preserve">Entries</w:t>
      </w:r>
      <w:r>
        <w:t xml:space="preserve">, a difference of one</w:t>
      </w:r>
      <w:r>
        <w:t xml:space="preserve"> </w:t>
      </w:r>
      <w:r>
        <w:rPr>
          <w:rStyle w:val="VerbatimChar"/>
          <w:bCs/>
          <w:b/>
        </w:rPr>
        <w:t xml:space="preserve">Entry</w:t>
      </w:r>
      <w:r>
        <w:t xml:space="preserve">. This discrepancy is thought to be related to the following instance:</w:t>
      </w:r>
    </w:p>
    <w:p>
      <w:pPr>
        <w:numPr>
          <w:ilvl w:val="0"/>
          <w:numId w:val="1224"/>
        </w:numPr>
        <w:pStyle w:val="Compact"/>
      </w:pPr>
      <w:r>
        <w:rPr>
          <w:rStyle w:val="VerbatimChar"/>
        </w:rPr>
        <w:t xml:space="preserve">kazama_location</w:t>
      </w:r>
      <w:r>
        <w:t xml:space="preserve">: K10008640,</w:t>
      </w:r>
      <w:r>
        <w:t xml:space="preserve"> </w:t>
      </w:r>
      <w:r>
        <w:rPr>
          <w:rStyle w:val="VerbatimChar"/>
        </w:rPr>
        <w:t xml:space="preserve">hanzi_entry</w:t>
      </w:r>
      <w:r>
        <w:t xml:space="preserve">: 鰐,</w:t>
      </w:r>
      <w:r>
        <w:t xml:space="preserve"> </w:t>
      </w:r>
      <w:r>
        <w:rPr>
          <w:rStyle w:val="VerbatimChar"/>
        </w:rPr>
        <w:t xml:space="preserve">definition</w:t>
      </w:r>
      <w:r>
        <w:t xml:space="preserve">: 音萼　ワニ（LL）</w:t>
      </w:r>
    </w:p>
    <w:p>
      <w:pPr>
        <w:numPr>
          <w:ilvl w:val="0"/>
          <w:numId w:val="1224"/>
        </w:numPr>
        <w:pStyle w:val="Compact"/>
      </w:pPr>
      <w:r>
        <w:rPr>
          <w:rStyle w:val="VerbatimChar"/>
        </w:rPr>
        <w:t xml:space="preserve">kazama_location</w:t>
      </w:r>
      <w:r>
        <w:t xml:space="preserve">: K10008711,</w:t>
      </w:r>
      <w:r>
        <w:t xml:space="preserve"> </w:t>
      </w:r>
      <w:r>
        <w:rPr>
          <w:rStyle w:val="VerbatimChar"/>
        </w:rPr>
        <w:t xml:space="preserve">hanzi_entry</w:t>
      </w:r>
      <w:r>
        <w:t xml:space="preserve">: 鱷,</w:t>
      </w:r>
      <w:r>
        <w:t xml:space="preserve"> </w:t>
      </w:r>
      <w:r>
        <w:rPr>
          <w:rStyle w:val="VerbatimChar"/>
        </w:rPr>
        <w:t xml:space="preserve">definition</w:t>
      </w:r>
      <w:r>
        <w:t xml:space="preserve">: 或</w:t>
      </w:r>
    </w:p>
    <w:p>
      <w:pPr>
        <w:numPr>
          <w:ilvl w:val="0"/>
          <w:numId w:val="1224"/>
        </w:numPr>
        <w:pStyle w:val="Compact"/>
      </w:pPr>
      <w:r>
        <w:rPr>
          <w:rStyle w:val="VerbatimChar"/>
        </w:rPr>
        <w:t xml:space="preserve">kazama_location</w:t>
      </w:r>
      <w:r>
        <w:t xml:space="preserve">: K10008712,</w:t>
      </w:r>
      <w:r>
        <w:t xml:space="preserve"> </w:t>
      </w:r>
      <w:r>
        <w:rPr>
          <w:rStyle w:val="VerbatimChar"/>
        </w:rPr>
        <w:t xml:space="preserve">hanzi_entry</w:t>
      </w:r>
      <w:r>
        <w:t xml:space="preserve">: 𩻙,</w:t>
      </w:r>
      <w:r>
        <w:t xml:space="preserve"> </w:t>
      </w:r>
      <w:r>
        <w:rPr>
          <w:rStyle w:val="VerbatimChar"/>
        </w:rPr>
        <w:t xml:space="preserve">definition</w:t>
      </w:r>
      <w:r>
        <w:t xml:space="preserve">: 正</w:t>
      </w:r>
    </w:p>
    <w:p>
      <w:pPr>
        <w:numPr>
          <w:ilvl w:val="0"/>
          <w:numId w:val="1224"/>
        </w:numPr>
        <w:pStyle w:val="Compact"/>
      </w:pPr>
      <w:r>
        <w:rPr>
          <w:rStyle w:val="VerbatimChar"/>
        </w:rPr>
        <w:t xml:space="preserve">kazama_location</w:t>
      </w:r>
      <w:r>
        <w:t xml:space="preserve">: K10008713,</w:t>
      </w:r>
      <w:r>
        <w:t xml:space="preserve"> </w:t>
      </w:r>
      <w:r>
        <w:rPr>
          <w:rStyle w:val="VerbatimChar"/>
        </w:rPr>
        <w:t xml:space="preserve">hanzi_entry</w:t>
      </w:r>
      <w:r>
        <w:t xml:space="preserve">: 鰐,</w:t>
      </w:r>
      <w:r>
        <w:t xml:space="preserve"> </w:t>
      </w:r>
      <w:r>
        <w:rPr>
          <w:rStyle w:val="VerbatimChar"/>
        </w:rPr>
        <w:t xml:space="preserve">definition</w:t>
      </w:r>
      <w:r>
        <w:t xml:space="preserve">: (Unannotated)</w:t>
      </w:r>
    </w:p>
    <w:p>
      <w:pPr>
        <w:numPr>
          <w:ilvl w:val="0"/>
          <w:numId w:val="1224"/>
        </w:numPr>
        <w:pStyle w:val="Compact"/>
      </w:pPr>
      <w:r>
        <w:rPr>
          <w:rStyle w:val="VerbatimChar"/>
        </w:rPr>
        <w:t xml:space="preserve">kazama_location</w:t>
      </w:r>
      <w:r>
        <w:t xml:space="preserve">: K10008720,</w:t>
      </w:r>
      <w:r>
        <w:t xml:space="preserve"> </w:t>
      </w:r>
      <w:r>
        <w:rPr>
          <w:rStyle w:val="VerbatimChar"/>
        </w:rPr>
        <w:t xml:space="preserve">hanzi_entry</w:t>
      </w:r>
      <w:r>
        <w:t xml:space="preserve">: 䱟,</w:t>
      </w:r>
      <w:r>
        <w:t xml:space="preserve"> </w:t>
      </w:r>
      <w:r>
        <w:rPr>
          <w:rStyle w:val="VerbatimChar"/>
        </w:rPr>
        <w:t xml:space="preserve">definition</w:t>
      </w:r>
      <w:r>
        <w:t xml:space="preserve">: *フナ</w:t>
      </w:r>
    </w:p>
    <w:p>
      <w:pPr>
        <w:pStyle w:val="FirstParagraph"/>
      </w:pPr>
      <w:r>
        <w:t xml:space="preserve">In the original Kanchi-in manuscript, the last two characters (</w:t>
      </w:r>
      <w:r>
        <w:t xml:space="preserve">‘</w:t>
      </w:r>
      <w:r>
        <w:t xml:space="preserve">鰐</w:t>
      </w:r>
      <w:r>
        <w:t xml:space="preserve">’</w:t>
      </w:r>
      <w:r>
        <w:t xml:space="preserve"> </w:t>
      </w:r>
      <w:r>
        <w:t xml:space="preserve">from K10008713 and</w:t>
      </w:r>
      <w:r>
        <w:t xml:space="preserve"> </w:t>
      </w:r>
      <w:r>
        <w:t xml:space="preserve">‘</w:t>
      </w:r>
      <w:r>
        <w:t xml:space="preserve">䱟</w:t>
      </w:r>
      <w:r>
        <w:t xml:space="preserve">’</w:t>
      </w:r>
      <w:r>
        <w:t xml:space="preserve"> </w:t>
      </w:r>
      <w:r>
        <w:t xml:space="preserve">from K10008720) are written as if they form a single</w:t>
      </w:r>
      <w:r>
        <w:t xml:space="preserve"> </w:t>
      </w:r>
      <w:r>
        <w:rPr>
          <w:rStyle w:val="VerbatimChar"/>
          <w:bCs/>
          <w:b/>
        </w:rPr>
        <w:t xml:space="preserve">Entry</w:t>
      </w:r>
      <w:r>
        <w:t xml:space="preserve">. These two characters are not listed as</w:t>
      </w:r>
      <w:r>
        <w:t xml:space="preserve"> </w:t>
      </w:r>
      <w:r>
        <w:rPr>
          <w:rStyle w:val="VerbatimChar"/>
          <w:bCs/>
          <w:b/>
        </w:rPr>
        <w:t xml:space="preserve">Headwords</w:t>
      </w:r>
      <w:r>
        <w:t xml:space="preserve"> </w:t>
      </w:r>
      <w:r>
        <w:t xml:space="preserve">in the Renjō-in manuscript.</w:t>
      </w:r>
    </w:p>
    <w:p>
      <w:pPr>
        <w:pStyle w:val="BodyText"/>
      </w:pPr>
      <w:r>
        <w:t xml:space="preserve">The sequence of glyphs and the</w:t>
      </w:r>
      <w:r>
        <w:t xml:space="preserve"> </w:t>
      </w:r>
      <w:r>
        <w:rPr>
          <w:iCs/>
          <w:i/>
        </w:rPr>
        <w:t xml:space="preserve">wakun</w:t>
      </w:r>
      <w:r>
        <w:t xml:space="preserve"> </w:t>
      </w:r>
      <w:r>
        <w:t xml:space="preserve">‘</w:t>
      </w:r>
      <w:r>
        <w:t xml:space="preserve">フナ</w:t>
      </w:r>
      <w:r>
        <w:t xml:space="preserve">’</w:t>
      </w:r>
      <w:r>
        <w:t xml:space="preserve"> </w:t>
      </w:r>
      <w:r>
        <w:t xml:space="preserve">appears as:</w:t>
      </w:r>
    </w:p>
    <w:p>
      <w:pPr>
        <w:pStyle w:val="BodyText"/>
      </w:pPr>
      <w:r>
        <w:t xml:space="preserve">1</w:t>
      </w:r>
      <w:r>
        <w:drawing>
          <wp:inline>
            <wp:extent cx="476250" cy="476250"/>
            <wp:effectExtent b="0" l="0" r="0" t="0"/>
            <wp:docPr descr="鰐" title="" id="465" name="Picture"/>
            <a:graphic>
              <a:graphicData uri="http://schemas.openxmlformats.org/drawingml/2006/picture">
                <pic:pic>
                  <pic:nvPicPr>
                    <pic:cNvPr descr="https://glyphwiki.org/glyph/sarashina_hkrm-10008640.50px.png" id="466" name="Picture"/>
                    <pic:cNvPicPr>
                      <a:picLocks noChangeArrowheads="1" noChangeAspect="1"/>
                    </pic:cNvPicPr>
                  </pic:nvPicPr>
                  <pic:blipFill>
                    <a:blip r:embed="rId464"/>
                    <a:stretch>
                      <a:fillRect/>
                    </a:stretch>
                  </pic:blipFill>
                  <pic:spPr bwMode="auto">
                    <a:xfrm>
                      <a:off x="0" y="0"/>
                      <a:ext cx="476250" cy="476250"/>
                    </a:xfrm>
                    <a:prstGeom prst="rect">
                      <a:avLst/>
                    </a:prstGeom>
                    <a:noFill/>
                    <a:ln w="9525">
                      <a:noFill/>
                      <a:headEnd/>
                      <a:tailEnd/>
                    </a:ln>
                  </pic:spPr>
                </pic:pic>
              </a:graphicData>
            </a:graphic>
          </wp:inline>
        </w:drawing>
      </w:r>
      <w:r>
        <w:t xml:space="preserve">音萼　ワニ(LL) (with its own glosses)</w:t>
      </w:r>
      <w:r>
        <w:br/>
      </w:r>
      <w:r>
        <w:t xml:space="preserve">2</w:t>
      </w:r>
      <w:r>
        <w:drawing>
          <wp:inline>
            <wp:extent cx="476250" cy="476250"/>
            <wp:effectExtent b="0" l="0" r="0" t="0"/>
            <wp:docPr descr="鱷" title="" id="468" name="Picture"/>
            <a:graphic>
              <a:graphicData uri="http://schemas.openxmlformats.org/drawingml/2006/picture">
                <pic:pic>
                  <pic:nvPicPr>
                    <pic:cNvPr descr="https://glyphwiki.org/glyph/sarashina_hkrm-10008711.50px.png" id="469" name="Picture"/>
                    <pic:cNvPicPr>
                      <a:picLocks noChangeArrowheads="1" noChangeAspect="1"/>
                    </pic:cNvPicPr>
                  </pic:nvPicPr>
                  <pic:blipFill>
                    <a:blip r:embed="rId467"/>
                    <a:stretch>
                      <a:fillRect/>
                    </a:stretch>
                  </pic:blipFill>
                  <pic:spPr bwMode="auto">
                    <a:xfrm>
                      <a:off x="0" y="0"/>
                      <a:ext cx="476250" cy="476250"/>
                    </a:xfrm>
                    <a:prstGeom prst="rect">
                      <a:avLst/>
                    </a:prstGeom>
                    <a:noFill/>
                    <a:ln w="9525">
                      <a:noFill/>
                      <a:headEnd/>
                      <a:tailEnd/>
                    </a:ln>
                  </pic:spPr>
                </pic:pic>
              </a:graphicData>
            </a:graphic>
          </wp:inline>
        </w:drawing>
      </w:r>
      <w:r>
        <w:t xml:space="preserve">或 (annotated 或 - variant)</w:t>
      </w:r>
      <w:r>
        <w:br/>
      </w:r>
      <w:r>
        <w:t xml:space="preserve">3</w:t>
      </w:r>
      <w:r>
        <w:drawing>
          <wp:inline>
            <wp:extent cx="476250" cy="476250"/>
            <wp:effectExtent b="0" l="0" r="0" t="0"/>
            <wp:docPr descr="𩻙" title="" id="471" name="Picture"/>
            <a:graphic>
              <a:graphicData uri="http://schemas.openxmlformats.org/drawingml/2006/picture">
                <pic:pic>
                  <pic:nvPicPr>
                    <pic:cNvPr descr="https://glyphwiki.org/glyph/sarashina_hkrm-10008712.50px.png" id="472" name="Picture"/>
                    <pic:cNvPicPr>
                      <a:picLocks noChangeArrowheads="1" noChangeAspect="1"/>
                    </pic:cNvPicPr>
                  </pic:nvPicPr>
                  <pic:blipFill>
                    <a:blip r:embed="rId470"/>
                    <a:stretch>
                      <a:fillRect/>
                    </a:stretch>
                  </pic:blipFill>
                  <pic:spPr bwMode="auto">
                    <a:xfrm>
                      <a:off x="0" y="0"/>
                      <a:ext cx="476250" cy="476250"/>
                    </a:xfrm>
                    <a:prstGeom prst="rect">
                      <a:avLst/>
                    </a:prstGeom>
                    <a:noFill/>
                    <a:ln w="9525">
                      <a:noFill/>
                      <a:headEnd/>
                      <a:tailEnd/>
                    </a:ln>
                  </pic:spPr>
                </pic:pic>
              </a:graphicData>
            </a:graphic>
          </wp:inline>
        </w:drawing>
      </w:r>
      <w:r>
        <w:t xml:space="preserve">正 (annotated 正 - standard)</w:t>
      </w:r>
      <w:r>
        <w:br/>
      </w:r>
      <w:r>
        <w:t xml:space="preserve">4</w:t>
      </w:r>
      <w:r>
        <w:drawing>
          <wp:inline>
            <wp:extent cx="476250" cy="476250"/>
            <wp:effectExtent b="0" l="0" r="0" t="0"/>
            <wp:docPr descr="鰐" title="" id="474" name="Picture"/>
            <a:graphic>
              <a:graphicData uri="http://schemas.openxmlformats.org/drawingml/2006/picture">
                <pic:pic>
                  <pic:nvPicPr>
                    <pic:cNvPr descr="https://glyphwiki.org/glyph/sarashina_hkrm-10008713.50px.png" id="475" name="Picture"/>
                    <pic:cNvPicPr>
                      <a:picLocks noChangeArrowheads="1" noChangeAspect="1"/>
                    </pic:cNvPicPr>
                  </pic:nvPicPr>
                  <pic:blipFill>
                    <a:blip r:embed="rId473"/>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(unannotated)</w:t>
      </w:r>
      <w:r>
        <w:br/>
      </w:r>
      <w:r>
        <w:t xml:space="preserve">5</w:t>
      </w:r>
      <w:r>
        <w:drawing>
          <wp:inline>
            <wp:extent cx="476250" cy="476250"/>
            <wp:effectExtent b="0" l="0" r="0" t="0"/>
            <wp:docPr descr="䱟" title="" id="477" name="Picture"/>
            <a:graphic>
              <a:graphicData uri="http://schemas.openxmlformats.org/drawingml/2006/picture">
                <pic:pic>
                  <pic:nvPicPr>
                    <pic:cNvPr descr="https://glyphwiki.org/glyph/sarashina_hkrm-10008720.50px.png" id="478" name="Picture"/>
                    <pic:cNvPicPr>
                      <a:picLocks noChangeArrowheads="1" noChangeAspect="1"/>
                    </pic:cNvPicPr>
                  </pic:nvPicPr>
                  <pic:blipFill>
                    <a:blip r:embed="rId476"/>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フナ (</w:t>
      </w:r>
      <w:r>
        <w:rPr>
          <w:iCs/>
          <w:i/>
        </w:rPr>
        <w:t xml:space="preserve">funa</w:t>
      </w:r>
      <w:r>
        <w:t xml:space="preserve">)</w:t>
      </w:r>
    </w:p>
    <w:p>
      <w:pPr>
        <w:pStyle w:val="BodyText"/>
      </w:pPr>
      <w:r>
        <w:t xml:space="preserve">Indeed, it is conceivable that the</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w:t>
      </w:r>
      <w:r>
        <w:t xml:space="preserve">フナ</w:t>
      </w:r>
      <w:r>
        <w:t xml:space="preserve">’</w:t>
      </w:r>
      <w:r>
        <w:t xml:space="preserve"> </w:t>
      </w:r>
      <w:r>
        <w:t xml:space="preserve">(</w:t>
      </w:r>
      <w:r>
        <w:rPr>
          <w:iCs/>
          <w:i/>
        </w:rPr>
        <w:t xml:space="preserve">funa</w:t>
      </w:r>
      <w:r>
        <w:t xml:space="preserve">) was intended as an annotation for both characters (4)</w:t>
      </w:r>
      <w:r>
        <w:drawing>
          <wp:inline>
            <wp:extent cx="476250" cy="476250"/>
            <wp:effectExtent b="0" l="0" r="0" t="0"/>
            <wp:docPr descr="鰐" title="" id="479" name="Picture"/>
            <a:graphic>
              <a:graphicData uri="http://schemas.openxmlformats.org/drawingml/2006/picture">
                <pic:pic>
                  <pic:nvPicPr>
                    <pic:cNvPr descr="https://glyphwiki.org/glyph/sarashina_hkrm-10008713.50px.png" id="480" name="Picture"/>
                    <pic:cNvPicPr>
                      <a:picLocks noChangeArrowheads="1" noChangeAspect="1"/>
                    </pic:cNvPicPr>
                  </pic:nvPicPr>
                  <pic:blipFill>
                    <a:blip r:embed="rId473"/>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and (5)</w:t>
      </w:r>
      <w:r>
        <w:drawing>
          <wp:inline>
            <wp:extent cx="476250" cy="476250"/>
            <wp:effectExtent b="0" l="0" r="0" t="0"/>
            <wp:docPr descr="䱟" title="" id="481" name="Picture"/>
            <a:graphic>
              <a:graphicData uri="http://schemas.openxmlformats.org/drawingml/2006/picture">
                <pic:pic>
                  <pic:nvPicPr>
                    <pic:cNvPr descr="https://glyphwiki.org/glyph/sarashina_hkrm-10008720.50px.png" id="482" name="Picture"/>
                    <pic:cNvPicPr>
                      <a:picLocks noChangeArrowheads="1" noChangeAspect="1"/>
                    </pic:cNvPicPr>
                  </pic:nvPicPr>
                  <pic:blipFill>
                    <a:blip r:embed="rId476"/>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together.</w:t>
      </w:r>
    </w:p>
    <w:p>
      <w:pPr>
        <w:pStyle w:val="BodyText"/>
      </w:pPr>
      <w:r>
        <w:t xml:space="preserve">Alternatively, at some stage of the revised compilation, there might have been a perceived difference in glyph form between (1)</w:t>
      </w:r>
      <w:r>
        <w:drawing>
          <wp:inline>
            <wp:extent cx="476250" cy="476250"/>
            <wp:effectExtent b="0" l="0" r="0" t="0"/>
            <wp:docPr descr="鰐" title="" id="483" name="Picture"/>
            <a:graphic>
              <a:graphicData uri="http://schemas.openxmlformats.org/drawingml/2006/picture">
                <pic:pic>
                  <pic:nvPicPr>
                    <pic:cNvPr descr="https://glyphwiki.org/glyph/sarashina_hkrm-10008640.50px.png" id="484" name="Picture"/>
                    <pic:cNvPicPr>
                      <a:picLocks noChangeArrowheads="1" noChangeAspect="1"/>
                    </pic:cNvPicPr>
                  </pic:nvPicPr>
                  <pic:blipFill>
                    <a:blip r:embed="rId464"/>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and (4)</w:t>
      </w:r>
      <w:r>
        <w:drawing>
          <wp:inline>
            <wp:extent cx="476250" cy="476250"/>
            <wp:effectExtent b="0" l="0" r="0" t="0"/>
            <wp:docPr descr="鰐" title="" id="485" name="Picture"/>
            <a:graphic>
              <a:graphicData uri="http://schemas.openxmlformats.org/drawingml/2006/picture">
                <pic:pic>
                  <pic:nvPicPr>
                    <pic:cNvPr descr="https://glyphwiki.org/glyph/sarashina_hkrm-10008713.50px.png" id="486" name="Picture"/>
                    <pic:cNvPicPr>
                      <a:picLocks noChangeArrowheads="1" noChangeAspect="1"/>
                    </pic:cNvPicPr>
                  </pic:nvPicPr>
                  <pic:blipFill>
                    <a:blip r:embed="rId473"/>
                    <a:stretch>
                      <a:fillRect/>
                    </a:stretch>
                  </pic:blipFill>
                  <pic:spPr bwMode="auto">
                    <a:xfrm>
                      <a:off x="0" y="0"/>
                      <a:ext cx="476250" cy="476250"/>
                    </a:xfrm>
                    <a:prstGeom prst="rect">
                      <a:avLst/>
                    </a:prstGeom>
                    <a:noFill/>
                    <a:ln w="9525">
                      <a:noFill/>
                      <a:headEnd/>
                      <a:tailEnd/>
                    </a:ln>
                  </pic:spPr>
                </pic:pic>
              </a:graphicData>
            </a:graphic>
          </wp:inline>
        </w:drawing>
      </w:r>
      <w:r>
        <w:t xml:space="preserve">, and they might have been listed to distinguish them. The three characters (2)</w:t>
      </w:r>
      <w:r>
        <w:drawing>
          <wp:inline>
            <wp:extent cx="476250" cy="476250"/>
            <wp:effectExtent b="0" l="0" r="0" t="0"/>
            <wp:docPr descr="鱷" title="" id="487" name="Picture"/>
            <a:graphic>
              <a:graphicData uri="http://schemas.openxmlformats.org/drawingml/2006/picture">
                <pic:pic>
                  <pic:nvPicPr>
                    <pic:cNvPr descr="https://glyphwiki.org/glyph/sarashina_hkrm-10008711.50px.png" id="488" name="Picture"/>
                    <pic:cNvPicPr>
                      <a:picLocks noChangeArrowheads="1" noChangeAspect="1"/>
                    </pic:cNvPicPr>
                  </pic:nvPicPr>
                  <pic:blipFill>
                    <a:blip r:embed="rId467"/>
                    <a:stretch>
                      <a:fillRect/>
                    </a:stretch>
                  </pic:blipFill>
                  <pic:spPr bwMode="auto">
                    <a:xfrm>
                      <a:off x="0" y="0"/>
                      <a:ext cx="476250" cy="476250"/>
                    </a:xfrm>
                    <a:prstGeom prst="rect">
                      <a:avLst/>
                    </a:prstGeom>
                    <a:noFill/>
                    <a:ln w="9525">
                      <a:noFill/>
                      <a:headEnd/>
                      <a:tailEnd/>
                    </a:ln>
                  </pic:spPr>
                </pic:pic>
              </a:graphicData>
            </a:graphic>
          </wp:inline>
        </w:drawing>
      </w:r>
      <w:r>
        <w:t xml:space="preserve">, (3)</w:t>
      </w:r>
      <w:r>
        <w:drawing>
          <wp:inline>
            <wp:extent cx="476250" cy="476250"/>
            <wp:effectExtent b="0" l="0" r="0" t="0"/>
            <wp:docPr descr="𩻙" title="" id="489" name="Picture"/>
            <a:graphic>
              <a:graphicData uri="http://schemas.openxmlformats.org/drawingml/2006/picture">
                <pic:pic>
                  <pic:nvPicPr>
                    <pic:cNvPr descr="https://glyphwiki.org/glyph/sarashina_hkrm-10008712.50px.png" id="490" name="Picture"/>
                    <pic:cNvPicPr>
                      <a:picLocks noChangeArrowheads="1" noChangeAspect="1"/>
                    </pic:cNvPicPr>
                  </pic:nvPicPr>
                  <pic:blipFill>
                    <a:blip r:embed="rId470"/>
                    <a:stretch>
                      <a:fillRect/>
                    </a:stretch>
                  </pic:blipFill>
                  <pic:spPr bwMode="auto">
                    <a:xfrm>
                      <a:off x="0" y="0"/>
                      <a:ext cx="476250" cy="476250"/>
                    </a:xfrm>
                    <a:prstGeom prst="rect">
                      <a:avLst/>
                    </a:prstGeom>
                    <a:noFill/>
                    <a:ln w="9525">
                      <a:noFill/>
                      <a:headEnd/>
                      <a:tailEnd/>
                    </a:ln>
                  </pic:spPr>
                </pic:pic>
              </a:graphicData>
            </a:graphic>
          </wp:inline>
        </w:drawing>
      </w:r>
      <w:r>
        <w:t xml:space="preserve">, and (4)</w:t>
      </w:r>
      <w:r>
        <w:drawing>
          <wp:inline>
            <wp:extent cx="476250" cy="476250"/>
            <wp:effectExtent b="0" l="0" r="0" t="0"/>
            <wp:docPr descr="鰐" title="" id="491" name="Picture"/>
            <a:graphic>
              <a:graphicData uri="http://schemas.openxmlformats.org/drawingml/2006/picture">
                <pic:pic>
                  <pic:nvPicPr>
                    <pic:cNvPr descr="https://glyphwiki.org/glyph/sarashina_hkrm-10008713.50px.png" id="492" name="Picture"/>
                    <pic:cNvPicPr>
                      <a:picLocks noChangeArrowheads="1" noChangeAspect="1"/>
                    </pic:cNvPicPr>
                  </pic:nvPicPr>
                  <pic:blipFill>
                    <a:blip r:embed="rId473"/>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t xml:space="preserve">are written within a single cell (1マス,</w:t>
      </w:r>
      <w:r>
        <w:t xml:space="preserve"> </w:t>
      </w:r>
      <w:r>
        <w:rPr>
          <w:iCs/>
          <w:i/>
        </w:rPr>
        <w:t xml:space="preserve">hitomasu</w:t>
      </w:r>
      <w:r>
        <w:t xml:space="preserve">).</w:t>
      </w:r>
      <w:r>
        <w:t xml:space="preserve"> </w:t>
      </w:r>
      <w:r>
        <w:t xml:space="preserve">The common</w:t>
      </w:r>
      <w:r>
        <w:t xml:space="preserve"> </w:t>
      </w:r>
      <w:r>
        <w:rPr>
          <w:iCs/>
          <w:i/>
        </w:rPr>
        <w:t xml:space="preserve">kun</w:t>
      </w:r>
      <w:r>
        <w:t xml:space="preserve"> </w:t>
      </w:r>
      <w:r>
        <w:t xml:space="preserve">reading for</w:t>
      </w:r>
      <w:r>
        <w:t xml:space="preserve"> </w:t>
      </w:r>
      <w:r>
        <w:t xml:space="preserve">‘</w:t>
      </w:r>
      <w:r>
        <w:t xml:space="preserve">鰐</w:t>
      </w:r>
      <w:r>
        <w:t xml:space="preserve">’</w:t>
      </w:r>
      <w:r>
        <w:t xml:space="preserve"> </w:t>
      </w:r>
      <w:r>
        <w:t xml:space="preserve">is</w:t>
      </w:r>
      <w:r>
        <w:t xml:space="preserve"> </w:t>
      </w:r>
      <w:r>
        <w:t xml:space="preserve">‘</w:t>
      </w:r>
      <w:r>
        <w:t xml:space="preserve">ワニ</w:t>
      </w:r>
      <w:r>
        <w:t xml:space="preserve">’</w:t>
      </w:r>
      <w:r>
        <w:t xml:space="preserve"> </w:t>
      </w:r>
      <w:r>
        <w:t xml:space="preserve">(</w:t>
      </w:r>
      <w:r>
        <w:rPr>
          <w:iCs/>
          <w:i/>
        </w:rPr>
        <w:t xml:space="preserve">wani</w:t>
      </w:r>
      <w:r>
        <w:t xml:space="preserve">), so it is hesitant to read it as</w:t>
      </w:r>
      <w:r>
        <w:t xml:space="preserve"> </w:t>
      </w:r>
      <w:r>
        <w:t xml:space="preserve">‘</w:t>
      </w:r>
      <w:r>
        <w:t xml:space="preserve">フナ</w:t>
      </w:r>
      <w:r>
        <w:t xml:space="preserve">’</w:t>
      </w:r>
      <w:r>
        <w:t xml:space="preserve"> </w:t>
      </w:r>
      <w:r>
        <w:t xml:space="preserve">(</w:t>
      </w:r>
      <w:r>
        <w:rPr>
          <w:iCs/>
          <w:i/>
        </w:rPr>
        <w:t xml:space="preserve">funa</w:t>
      </w:r>
      <w:r>
        <w:t xml:space="preserve">). It is preferable to consider</w:t>
      </w:r>
      <w:r>
        <w:t xml:space="preserve"> </w:t>
      </w:r>
      <w:r>
        <w:t xml:space="preserve">‘</w:t>
      </w:r>
      <w:r>
        <w:t xml:space="preserve">フナ</w:t>
      </w:r>
      <w:r>
        <w:t xml:space="preserve">’</w:t>
      </w:r>
      <w:r>
        <w:t xml:space="preserve"> </w:t>
      </w:r>
      <w:r>
        <w:t xml:space="preserve">as corresponding only to</w:t>
      </w:r>
      <w:r>
        <w:t xml:space="preserve"> </w:t>
      </w:r>
      <w:r>
        <w:t xml:space="preserve">‘</w:t>
      </w:r>
      <w:r>
        <w:t xml:space="preserve">䱟</w:t>
      </w:r>
      <w:r>
        <w:t xml:space="preserve">’</w:t>
      </w:r>
      <w:r>
        <w:t xml:space="preserve">.</w:t>
      </w:r>
    </w:p>
    <w:p>
      <w:pPr>
        <w:pStyle w:val="BodyText"/>
      </w:pPr>
      <w:r>
        <w:t xml:space="preserve">The original text for this section in the Kanchi-in manuscript can be referred to on the right side of the</w:t>
      </w:r>
      <w:r>
        <w:t xml:space="preserve"> </w:t>
      </w:r>
      <w:hyperlink r:id="rId493">
        <w:r>
          <w:rPr>
            <w:rStyle w:val="Hyperlink"/>
          </w:rPr>
          <w:t xml:space="preserve">corresponding page</w:t>
        </w:r>
      </w:hyperlink>
      <w:r>
        <w:t xml:space="preserve"> </w:t>
      </w:r>
      <w:r>
        <w:t xml:space="preserve">in the National Diet Library Digital Collections.</w:t>
      </w:r>
    </w:p>
    <w:p>
      <w:pPr>
        <w:pStyle w:val="BodyText"/>
      </w:pPr>
      <w:r>
        <w:t xml:space="preserve">For the</w:t>
      </w:r>
      <w:r>
        <w:t xml:space="preserve"> </w:t>
      </w:r>
      <w:r>
        <w:rPr>
          <w:bCs/>
          <w:b/>
        </w:rPr>
        <w:t xml:space="preserve">“</w:t>
      </w:r>
      <w:r>
        <w:rPr>
          <w:bCs/>
          <w:b/>
        </w:rPr>
        <w:t xml:space="preserve">虫</w:t>
      </w:r>
      <w:r>
        <w:rPr>
          <w:bCs/>
          <w:b/>
        </w:rPr>
        <w:t xml:space="preserve">”</w:t>
      </w:r>
      <w:r>
        <w:rPr>
          <w:bCs/>
          <w:b/>
        </w:rPr>
        <w:t xml:space="preserve"> </w:t>
      </w:r>
      <w:r>
        <w:rPr>
          <w:bCs/>
          <w:b/>
        </w:rPr>
        <w:t xml:space="preserve">(Insect) radical section</w:t>
      </w:r>
      <w:r>
        <w:t xml:space="preserve"> </w:t>
      </w:r>
      <w:r>
        <w:t xml:space="preserve">(虫部,</w:t>
      </w:r>
      <w:r>
        <w:t xml:space="preserve"> </w:t>
      </w:r>
      <w:r>
        <w:rPr>
          <w:iCs/>
          <w:i/>
        </w:rPr>
        <w:t xml:space="preserve">Chūbu</w:t>
      </w:r>
      <w:r>
        <w:t xml:space="preserve">), Sakai (1967) counts 665</w:t>
      </w:r>
      <w:r>
        <w:t xml:space="preserve"> </w:t>
      </w:r>
      <w:r>
        <w:rPr>
          <w:rStyle w:val="VerbatimChar"/>
          <w:bCs/>
          <w:b/>
        </w:rPr>
        <w:t xml:space="preserve">Entries</w:t>
      </w:r>
      <w:r>
        <w:t xml:space="preserve">, while Ikeda et al. (2020) count 664</w:t>
      </w:r>
      <w:r>
        <w:t xml:space="preserve"> </w:t>
      </w:r>
      <w:r>
        <w:rPr>
          <w:rStyle w:val="VerbatimChar"/>
          <w:bCs/>
          <w:b/>
        </w:rPr>
        <w:t xml:space="preserve">Entries</w:t>
      </w:r>
      <w:r>
        <w:t xml:space="preserve">, a difference of one</w:t>
      </w:r>
      <w:r>
        <w:t xml:space="preserve"> </w:t>
      </w:r>
      <w:r>
        <w:rPr>
          <w:rStyle w:val="VerbatimChar"/>
          <w:bCs/>
          <w:b/>
        </w:rPr>
        <w:t xml:space="preserve">Entry</w:t>
      </w:r>
      <w:r>
        <w:t xml:space="preserve">. This discrepancy is thought to be related to the following instances:</w:t>
      </w:r>
    </w:p>
    <w:p>
      <w:pPr>
        <w:numPr>
          <w:ilvl w:val="0"/>
          <w:numId w:val="1225"/>
        </w:numPr>
        <w:pStyle w:val="Compact"/>
      </w:pPr>
      <w:r>
        <w:rPr>
          <w:rStyle w:val="VerbatimChar"/>
        </w:rPr>
        <w:t xml:space="preserve">kazama_location</w:t>
      </w:r>
      <w:r>
        <w:t xml:space="preserve">: K10030731,</w:t>
      </w:r>
      <w:r>
        <w:t xml:space="preserve"> </w:t>
      </w:r>
      <w:r>
        <w:rPr>
          <w:rStyle w:val="VerbatimChar"/>
        </w:rPr>
        <w:t xml:space="preserve">hanzi_entry</w:t>
      </w:r>
      <w:r>
        <w:t xml:space="preserve">: ⿱⿱⿰虫虫冖虫／⿱⿱⿰虫虫冖磊／𧖁／⿱⿱市冖蟲／⿱⿱士宀蟲／⿱兩⿰虫虫 (line break)／⿰虫⿰杀攵,</w:t>
      </w:r>
      <w:r>
        <w:t xml:space="preserve"> </w:t>
      </w:r>
      <w:r>
        <w:rPr>
          <w:rStyle w:val="VerbatimChar"/>
        </w:rPr>
        <w:t xml:space="preserve">definition</w:t>
      </w:r>
      <w:r>
        <w:t xml:space="preserve">: 俗⿳⿻十口冖各俗</w:t>
      </w:r>
    </w:p>
    <w:p>
      <w:pPr>
        <w:pStyle w:val="FirstParagraph"/>
      </w:pPr>
      <w:r>
        <w:t xml:space="preserve">This is an</w:t>
      </w:r>
      <w:r>
        <w:t xml:space="preserve"> </w:t>
      </w:r>
      <w:r>
        <w:rPr>
          <w:rStyle w:val="VerbatimChar"/>
          <w:bCs/>
          <w:b/>
        </w:rPr>
        <w:t xml:space="preserve">Entry</w:t>
      </w:r>
      <w:r>
        <w:t xml:space="preserve"> </w:t>
      </w:r>
      <w:r>
        <w:t xml:space="preserve">listing</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but there is a line break in the middle of the</w:t>
      </w:r>
      <w:r>
        <w:t xml:space="preserve"> </w:t>
      </w:r>
      <w:r>
        <w:rPr>
          <w:rStyle w:val="VerbatimChar"/>
          <w:bCs/>
          <w:b/>
        </w:rPr>
        <w:t xml:space="preserve">Headword</w:t>
      </w:r>
      <w:r>
        <w:t xml:space="preserve">.</w:t>
      </w:r>
    </w:p>
    <w:p>
      <w:pPr>
        <w:pStyle w:val="BodyText"/>
      </w:pPr>
      <w:r>
        <w:t xml:space="preserve">The original text for this section in the Kanchi-in manuscript can be referred to on the right side of the</w:t>
      </w:r>
      <w:r>
        <w:t xml:space="preserve"> </w:t>
      </w:r>
      <w:hyperlink r:id="rId494">
        <w:r>
          <w:rPr>
            <w:rStyle w:val="Hyperlink"/>
          </w:rPr>
          <w:t xml:space="preserve">corresponding page</w:t>
        </w:r>
      </w:hyperlink>
      <w:r>
        <w:t xml:space="preserve"> </w:t>
      </w:r>
      <w:r>
        <w:t xml:space="preserve">in the National Diet Library Digital Collections.</w:t>
      </w:r>
    </w:p>
    <w:p>
      <w:pPr>
        <w:pStyle w:val="BodyText"/>
      </w:pPr>
      <w:r>
        <w:t xml:space="preserve">Another problematic instance is the following:</w:t>
      </w:r>
    </w:p>
    <w:p>
      <w:pPr>
        <w:numPr>
          <w:ilvl w:val="0"/>
          <w:numId w:val="1226"/>
        </w:numPr>
        <w:pStyle w:val="Compact"/>
      </w:pPr>
      <w:r>
        <w:rPr>
          <w:rStyle w:val="VerbatimChar"/>
        </w:rPr>
        <w:t xml:space="preserve">kazama_location</w:t>
      </w:r>
      <w:r>
        <w:t xml:space="preserve">: K10038541,</w:t>
      </w:r>
      <w:r>
        <w:t xml:space="preserve"> </w:t>
      </w:r>
      <w:r>
        <w:rPr>
          <w:rStyle w:val="VerbatimChar"/>
        </w:rPr>
        <w:t xml:space="preserve">hanzi_entry</w:t>
      </w:r>
      <w:r>
        <w:t xml:space="preserve">: ⿱䖝⿰蚕蚕／⿱⿰天天蟲／䗝 (line break)／⿱冖虫／蝅／⿱玄虫,</w:t>
      </w:r>
      <w:r>
        <w:t xml:space="preserve"> </w:t>
      </w:r>
      <w:r>
        <w:rPr>
          <w:rStyle w:val="VerbatimChar"/>
        </w:rPr>
        <w:t xml:space="preserve">definition</w:t>
      </w:r>
      <w:r>
        <w:t xml:space="preserve">: 俗</w:t>
      </w:r>
    </w:p>
    <w:p>
      <w:pPr>
        <w:pStyle w:val="FirstParagraph"/>
      </w:pPr>
      <w:r>
        <w:t xml:space="preserve">This is an</w:t>
      </w:r>
      <w:r>
        <w:t xml:space="preserve"> </w:t>
      </w:r>
      <w:r>
        <w:rPr>
          <w:rStyle w:val="VerbatimChar"/>
          <w:bCs/>
          <w:b/>
        </w:rPr>
        <w:t xml:space="preserve">Entry</w:t>
      </w:r>
      <w:r>
        <w:t xml:space="preserve"> </w:t>
      </w:r>
      <w:r>
        <w:t xml:space="preserve">listing</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w:t>
      </w:r>
      <w:r>
        <w:t xml:space="preserve">of</w:t>
      </w:r>
      <w:r>
        <w:t xml:space="preserve"> </w:t>
      </w:r>
      <w:r>
        <w:t xml:space="preserve">‘</w:t>
      </w:r>
      <w:r>
        <w:t xml:space="preserve">蠶</w:t>
      </w:r>
      <w:r>
        <w:t xml:space="preserve">’</w:t>
      </w:r>
      <w:r>
        <w:t xml:space="preserve">, but there is a line break in the middle of the</w:t>
      </w:r>
      <w:r>
        <w:t xml:space="preserve"> </w:t>
      </w:r>
      <w:r>
        <w:rPr>
          <w:rStyle w:val="VerbatimChar"/>
          <w:bCs/>
          <w:b/>
        </w:rPr>
        <w:t xml:space="preserve">Headword</w:t>
      </w:r>
      <w:r>
        <w:t xml:space="preserve">.</w:t>
      </w:r>
    </w:p>
    <w:p>
      <w:pPr>
        <w:pStyle w:val="BodyText"/>
      </w:pPr>
      <w:r>
        <w:t xml:space="preserve">The original text for this section in the Kanchi-in manuscript can be referred to on the right side of the</w:t>
      </w:r>
      <w:r>
        <w:t xml:space="preserve"> </w:t>
      </w:r>
      <w:hyperlink r:id="rId495">
        <w:r>
          <w:rPr>
            <w:rStyle w:val="Hyperlink"/>
          </w:rPr>
          <w:t xml:space="preserve">corresponding page</w:t>
        </w:r>
      </w:hyperlink>
      <w:r>
        <w:t xml:space="preserve"> </w:t>
      </w:r>
      <w:r>
        <w:t xml:space="preserve">in the National Diet Library Digital Collections.</w:t>
      </w:r>
    </w:p>
    <w:p>
      <w:pPr>
        <w:pStyle w:val="BodyText"/>
      </w:pPr>
      <w:r>
        <w:t xml:space="preserve">For the</w:t>
      </w:r>
      <w:r>
        <w:t xml:space="preserve"> </w:t>
      </w:r>
      <w:r>
        <w:rPr>
          <w:bCs/>
          <w:b/>
        </w:rPr>
        <w:t xml:space="preserve">“</w:t>
      </w:r>
      <w:r>
        <w:rPr>
          <w:bCs/>
          <w:b/>
        </w:rPr>
        <w:t xml:space="preserve">鬼</w:t>
      </w:r>
      <w:r>
        <w:rPr>
          <w:bCs/>
          <w:b/>
        </w:rPr>
        <w:t xml:space="preserve">”</w:t>
      </w:r>
      <w:r>
        <w:rPr>
          <w:bCs/>
          <w:b/>
        </w:rPr>
        <w:t xml:space="preserve"> </w:t>
      </w:r>
      <w:r>
        <w:rPr>
          <w:bCs/>
          <w:b/>
        </w:rPr>
        <w:t xml:space="preserve">(Ghost) radical section</w:t>
      </w:r>
      <w:r>
        <w:t xml:space="preserve"> </w:t>
      </w:r>
      <w:r>
        <w:t xml:space="preserve">(鬼部,</w:t>
      </w:r>
      <w:r>
        <w:t xml:space="preserve"> </w:t>
      </w:r>
      <w:r>
        <w:rPr>
          <w:iCs/>
          <w:i/>
        </w:rPr>
        <w:t xml:space="preserve">Kibu</w:t>
      </w:r>
      <w:r>
        <w:t xml:space="preserve">), Sakai (1967) counts 74</w:t>
      </w:r>
      <w:r>
        <w:t xml:space="preserve"> </w:t>
      </w:r>
      <w:r>
        <w:rPr>
          <w:rStyle w:val="VerbatimChar"/>
          <w:bCs/>
          <w:b/>
        </w:rPr>
        <w:t xml:space="preserve">Entries</w:t>
      </w:r>
      <w:r>
        <w:t xml:space="preserve">, while Ikeda et al. (2020) count 75</w:t>
      </w:r>
      <w:r>
        <w:t xml:space="preserve"> </w:t>
      </w:r>
      <w:r>
        <w:rPr>
          <w:rStyle w:val="VerbatimChar"/>
          <w:bCs/>
          <w:b/>
        </w:rPr>
        <w:t xml:space="preserve">Entries</w:t>
      </w:r>
      <w:r>
        <w:t xml:space="preserve">, a difference of one</w:t>
      </w:r>
      <w:r>
        <w:t xml:space="preserve"> </w:t>
      </w:r>
      <w:r>
        <w:rPr>
          <w:rStyle w:val="VerbatimChar"/>
          <w:bCs/>
          <w:b/>
        </w:rPr>
        <w:t xml:space="preserve">Entry</w:t>
      </w:r>
      <w:r>
        <w:t xml:space="preserve">. This discrepancy is thought to be related to the following instances:</w:t>
      </w:r>
    </w:p>
    <w:p>
      <w:pPr>
        <w:numPr>
          <w:ilvl w:val="0"/>
          <w:numId w:val="1227"/>
        </w:numPr>
        <w:pStyle w:val="Compact"/>
      </w:pPr>
      <w:r>
        <w:rPr>
          <w:rStyle w:val="VerbatimChar"/>
        </w:rPr>
        <w:t xml:space="preserve">kazama_location</w:t>
      </w:r>
      <w:r>
        <w:t xml:space="preserve">: K10048541,</w:t>
      </w:r>
      <w:r>
        <w:t xml:space="preserve"> </w:t>
      </w:r>
      <w:r>
        <w:rPr>
          <w:rStyle w:val="VerbatimChar"/>
        </w:rPr>
        <w:t xml:space="preserve">hanzi_entry</w:t>
      </w:r>
      <w:r>
        <w:t xml:space="preserve">: 𩲀／𩱿／⿱勿鬼 (line break)／𩲢／𩲑／𩲝／䰨／𩴎,</w:t>
      </w:r>
      <w:r>
        <w:t xml:space="preserve"> </w:t>
      </w:r>
      <w:r>
        <w:rPr>
          <w:rStyle w:val="VerbatimChar"/>
        </w:rPr>
        <w:t xml:space="preserve">definition</w:t>
      </w:r>
      <w:r>
        <w:t xml:space="preserve">: 俗</w:t>
      </w:r>
    </w:p>
    <w:p>
      <w:pPr>
        <w:pStyle w:val="FirstParagraph"/>
      </w:pPr>
      <w:r>
        <w:t xml:space="preserve">This is an</w:t>
      </w:r>
      <w:r>
        <w:t xml:space="preserve"> </w:t>
      </w:r>
      <w:r>
        <w:rPr>
          <w:rStyle w:val="VerbatimChar"/>
          <w:bCs/>
          <w:b/>
        </w:rPr>
        <w:t xml:space="preserve">Entry</w:t>
      </w:r>
      <w:r>
        <w:t xml:space="preserve"> </w:t>
      </w:r>
      <w:r>
        <w:t xml:space="preserve">listing</w:t>
      </w:r>
      <w:r>
        <w:t xml:space="preserve"> </w:t>
      </w:r>
      <w:r>
        <w:rPr>
          <w:rStyle w:val="VerbatimChar"/>
          <w:bCs/>
          <w:b/>
        </w:rPr>
        <w:t xml:space="preserve">variant characters</w:t>
      </w:r>
      <w:r>
        <w:rPr>
          <w:bCs/>
          <w:b/>
        </w:rPr>
        <w:t xml:space="preserve"> </w:t>
      </w:r>
      <w:r>
        <w:rPr>
          <w:bCs/>
          <w:b/>
        </w:rPr>
        <w:t xml:space="preserve">(</w:t>
      </w:r>
      <w:r>
        <w:rPr>
          <w:iCs/>
          <w:i/>
          <w:bCs/>
          <w:b/>
        </w:rPr>
        <w:t xml:space="preserve">itaiji</w:t>
      </w:r>
      <w:r>
        <w:rPr>
          <w:bCs/>
          <w:b/>
        </w:rPr>
        <w:t xml:space="preserve">)</w:t>
      </w:r>
      <w:r>
        <w:t xml:space="preserve">, but there is a line break in the middle of the</w:t>
      </w:r>
      <w:r>
        <w:t xml:space="preserve"> </w:t>
      </w:r>
      <w:r>
        <w:rPr>
          <w:rStyle w:val="VerbatimChar"/>
          <w:bCs/>
          <w:b/>
        </w:rPr>
        <w:t xml:space="preserve">Headword</w:t>
      </w:r>
      <w:r>
        <w:t xml:space="preserve">.</w:t>
      </w:r>
    </w:p>
    <w:p>
      <w:pPr>
        <w:numPr>
          <w:ilvl w:val="0"/>
          <w:numId w:val="1228"/>
        </w:numPr>
        <w:pStyle w:val="Compact"/>
      </w:pPr>
      <w:r>
        <w:rPr>
          <w:rStyle w:val="VerbatimChar"/>
        </w:rPr>
        <w:t xml:space="preserve">kazama_location</w:t>
      </w:r>
      <w:r>
        <w:t xml:space="preserve">: K10050340,</w:t>
      </w:r>
      <w:r>
        <w:t xml:space="preserve"> </w:t>
      </w:r>
      <w:r>
        <w:rPr>
          <w:rStyle w:val="VerbatimChar"/>
        </w:rPr>
        <w:t xml:space="preserve">hanzi_entry</w:t>
      </w:r>
      <w:r>
        <w:t xml:space="preserve">: ⿰我鬼,</w:t>
      </w:r>
      <w:r>
        <w:t xml:space="preserve"> </w:t>
      </w:r>
      <w:r>
        <w:rPr>
          <w:rStyle w:val="VerbatimChar"/>
        </w:rPr>
        <w:t xml:space="preserve">definition</w:t>
      </w:r>
      <w:r>
        <w:t xml:space="preserve">: (Unannotated),</w:t>
      </w:r>
      <w:r>
        <w:t xml:space="preserve"> </w:t>
      </w:r>
      <w:r>
        <w:rPr>
          <w:rStyle w:val="VerbatimChar"/>
        </w:rPr>
        <w:t xml:space="preserve">remarks</w:t>
      </w:r>
      <w:r>
        <w:t xml:space="preserve"> </w:t>
      </w:r>
      <w:r>
        <w:t xml:space="preserve">(</w:t>
      </w:r>
      <w:r>
        <w:rPr>
          <w:rStyle w:val="VerbatimChar"/>
          <w:bCs/>
          <w:b/>
        </w:rPr>
        <w:t xml:space="preserve">Compiler's Remark</w:t>
      </w:r>
      <w:r>
        <w:t xml:space="preserve">): Ikeda’s note: Could this be continuous with the following</w:t>
      </w:r>
      <w:r>
        <w:t xml:space="preserve"> </w:t>
      </w:r>
      <w:r>
        <w:t xml:space="preserve">‘</w:t>
      </w:r>
      <w:r>
        <w:t xml:space="preserve">Unknown</w:t>
      </w:r>
      <w:r>
        <w:t xml:space="preserve">’</w:t>
      </w:r>
      <w:r>
        <w:t xml:space="preserve"> </w:t>
      </w:r>
      <w:r>
        <w:t xml:space="preserve">(未詳,</w:t>
      </w:r>
      <w:r>
        <w:t xml:space="preserve"> </w:t>
      </w:r>
      <w:r>
        <w:rPr>
          <w:iCs/>
          <w:i/>
        </w:rPr>
        <w:t xml:space="preserve">mishō</w:t>
      </w:r>
      <w:r>
        <w:t xml:space="preserve">)</w:t>
      </w:r>
      <w:r>
        <w:t xml:space="preserve"> </w:t>
      </w:r>
      <w:r>
        <w:rPr>
          <w:rStyle w:val="VerbatimChar"/>
          <w:bCs/>
          <w:b/>
        </w:rPr>
        <w:t xml:space="preserve">Entry</w:t>
      </w:r>
      <w:r>
        <w:t xml:space="preserve">?</w:t>
      </w:r>
    </w:p>
    <w:p>
      <w:pPr>
        <w:numPr>
          <w:ilvl w:val="0"/>
          <w:numId w:val="1228"/>
        </w:numPr>
        <w:pStyle w:val="Compact"/>
      </w:pPr>
      <w:r>
        <w:rPr>
          <w:rStyle w:val="VerbatimChar"/>
        </w:rPr>
        <w:t xml:space="preserve">kazama_location</w:t>
      </w:r>
      <w:r>
        <w:t xml:space="preserve">: K10050411,</w:t>
      </w:r>
      <w:r>
        <w:t xml:space="preserve"> </w:t>
      </w:r>
      <w:r>
        <w:rPr>
          <w:rStyle w:val="VerbatimChar"/>
        </w:rPr>
        <w:t xml:space="preserve">hanzi_entry</w:t>
      </w:r>
      <w:r>
        <w:t xml:space="preserve">: 𩴜／⿺鬼有／⿺鬼麦／⿺鬼同／⿺鬼達／⿺鬼田／⿺鬼能／⿺鬼幸／⿺鬼𦍬／⿰田鬼,</w:t>
      </w:r>
      <w:r>
        <w:t xml:space="preserve"> </w:t>
      </w:r>
      <w:r>
        <w:rPr>
          <w:rStyle w:val="VerbatimChar"/>
        </w:rPr>
        <w:t xml:space="preserve">definition</w:t>
      </w:r>
      <w:r>
        <w:t xml:space="preserve">: 未詳 (Unknown)</w:t>
      </w:r>
    </w:p>
    <w:p>
      <w:pPr>
        <w:pStyle w:val="FirstParagraph"/>
      </w:pPr>
      <w:r>
        <w:t xml:space="preserve">These were counted as two</w:t>
      </w:r>
      <w:r>
        <w:t xml:space="preserve"> </w:t>
      </w:r>
      <w:r>
        <w:rPr>
          <w:rStyle w:val="VerbatimChar"/>
          <w:bCs/>
          <w:b/>
        </w:rPr>
        <w:t xml:space="preserve">Entries</w:t>
      </w:r>
      <w:r>
        <w:t xml:space="preserve">, but if</w:t>
      </w:r>
      <w:r>
        <w:t xml:space="preserve"> </w:t>
      </w:r>
      <w:r>
        <w:t xml:space="preserve">‘</w:t>
      </w:r>
      <w:r>
        <w:t xml:space="preserve">⿰我鬼</w:t>
      </w:r>
      <w:r>
        <w:t xml:space="preserve">’</w:t>
      </w:r>
      <w:r>
        <w:t xml:space="preserve"> </w:t>
      </w:r>
      <w:r>
        <w:t xml:space="preserve">(</w:t>
      </w:r>
      <w:r>
        <w:rPr>
          <w:rStyle w:val="VerbatimChar"/>
        </w:rPr>
        <w:t xml:space="preserve">K10050340</w:t>
      </w:r>
      <w:r>
        <w:t xml:space="preserve">) is continuous with the following</w:t>
      </w:r>
      <w:r>
        <w:t xml:space="preserve"> </w:t>
      </w:r>
      <w:r>
        <w:t xml:space="preserve">‘</w:t>
      </w:r>
      <w:r>
        <w:t xml:space="preserve">Unknown</w:t>
      </w:r>
      <w:r>
        <w:t xml:space="preserve">’</w:t>
      </w:r>
      <w:r>
        <w:t xml:space="preserve"> </w:t>
      </w:r>
      <w:r>
        <w:rPr>
          <w:rStyle w:val="VerbatimChar"/>
          <w:bCs/>
          <w:b/>
        </w:rPr>
        <w:t xml:space="preserve">Entry</w:t>
      </w:r>
      <w:r>
        <w:t xml:space="preserve">, the count would decrease by one.</w:t>
      </w:r>
    </w:p>
    <w:p>
      <w:pPr>
        <w:pStyle w:val="BodyText"/>
      </w:pPr>
      <w:r>
        <w:t xml:space="preserve">The original text for these sections in the Kanchi-in manuscript can be referred to on the right side of the</w:t>
      </w:r>
      <w:r>
        <w:t xml:space="preserve"> </w:t>
      </w:r>
      <w:hyperlink r:id="rId496">
        <w:r>
          <w:rPr>
            <w:rStyle w:val="Hyperlink"/>
          </w:rPr>
          <w:t xml:space="preserve">corresponding page</w:t>
        </w:r>
      </w:hyperlink>
      <w:r>
        <w:t xml:space="preserve"> </w:t>
      </w:r>
      <w:r>
        <w:t xml:space="preserve">and the right side of the</w:t>
      </w:r>
      <w:r>
        <w:t xml:space="preserve"> </w:t>
      </w:r>
      <w:hyperlink r:id="rId497">
        <w:r>
          <w:rPr>
            <w:rStyle w:val="Hyperlink"/>
          </w:rPr>
          <w:t xml:space="preserve">following page</w:t>
        </w:r>
      </w:hyperlink>
      <w:r>
        <w:t xml:space="preserve"> </w:t>
      </w:r>
      <w:r>
        <w:t xml:space="preserve">in the National Diet Library Digital Collections.</w:t>
      </w:r>
    </w:p>
    <w:p>
      <w:pPr>
        <w:pStyle w:val="BodyText"/>
      </w:pPr>
      <w:r>
        <w:t xml:space="preserve">For the</w:t>
      </w:r>
      <w:r>
        <w:t xml:space="preserve"> </w:t>
      </w:r>
      <w:r>
        <w:rPr>
          <w:bCs/>
          <w:b/>
        </w:rPr>
        <w:t xml:space="preserve">“</w:t>
      </w:r>
      <w:r>
        <w:rPr>
          <w:bCs/>
          <w:b/>
        </w:rPr>
        <w:t xml:space="preserve">雑</w:t>
      </w:r>
      <w:r>
        <w:rPr>
          <w:bCs/>
          <w:b/>
        </w:rPr>
        <w:t xml:space="preserve">”</w:t>
      </w:r>
      <w:r>
        <w:rPr>
          <w:bCs/>
          <w:b/>
        </w:rPr>
        <w:t xml:space="preserve"> </w:t>
      </w:r>
      <w:r>
        <w:rPr>
          <w:bCs/>
          <w:b/>
        </w:rPr>
        <w:t xml:space="preserve">(Miscellaneous) radical section</w:t>
      </w:r>
      <w:r>
        <w:t xml:space="preserve"> </w:t>
      </w:r>
      <w:r>
        <w:t xml:space="preserve">(雑部,</w:t>
      </w:r>
      <w:r>
        <w:t xml:space="preserve"> </w:t>
      </w:r>
      <w:r>
        <w:rPr>
          <w:iCs/>
          <w:i/>
        </w:rPr>
        <w:t xml:space="preserve">Zatsubu</w:t>
      </w:r>
      <w:r>
        <w:t xml:space="preserve">), Sakai (1967) counts 1,500</w:t>
      </w:r>
      <w:r>
        <w:t xml:space="preserve"> </w:t>
      </w:r>
      <w:r>
        <w:rPr>
          <w:rStyle w:val="VerbatimChar"/>
          <w:bCs/>
          <w:b/>
        </w:rPr>
        <w:t xml:space="preserve">Entries</w:t>
      </w:r>
      <w:r>
        <w:t xml:space="preserve">, while Ikeda et al. (2020) count 1,501</w:t>
      </w:r>
      <w:r>
        <w:t xml:space="preserve"> </w:t>
      </w:r>
      <w:r>
        <w:rPr>
          <w:rStyle w:val="VerbatimChar"/>
          <w:bCs/>
          <w:b/>
        </w:rPr>
        <w:t xml:space="preserve">Entries</w:t>
      </w:r>
      <w:r>
        <w:t xml:space="preserve">, a difference of one</w:t>
      </w:r>
      <w:r>
        <w:t xml:space="preserve"> </w:t>
      </w:r>
      <w:r>
        <w:rPr>
          <w:rStyle w:val="VerbatimChar"/>
          <w:bCs/>
          <w:b/>
        </w:rPr>
        <w:t xml:space="preserve">Entry</w:t>
      </w:r>
      <w:r>
        <w:t xml:space="preserve">. This discrepancy is thought to be related to the following instance:</w:t>
      </w:r>
    </w:p>
    <w:p>
      <w:pPr>
        <w:numPr>
          <w:ilvl w:val="0"/>
          <w:numId w:val="1229"/>
        </w:numPr>
        <w:pStyle w:val="Compact"/>
      </w:pPr>
      <w:r>
        <w:rPr>
          <w:rStyle w:val="VerbatimChar"/>
        </w:rPr>
        <w:t xml:space="preserve">kazama_location</w:t>
      </w:r>
      <w:r>
        <w:t xml:space="preserve">: K10081830,</w:t>
      </w:r>
      <w:r>
        <w:t xml:space="preserve"> </w:t>
      </w:r>
      <w:r>
        <w:rPr>
          <w:rStyle w:val="VerbatimChar"/>
        </w:rPr>
        <w:t xml:space="preserve">hanzi_entry</w:t>
      </w:r>
      <w:r>
        <w:t xml:space="preserve">: ■,</w:t>
      </w:r>
      <w:r>
        <w:t xml:space="preserve"> </w:t>
      </w:r>
      <w:r>
        <w:rPr>
          <w:rStyle w:val="VerbatimChar"/>
        </w:rPr>
        <w:t xml:space="preserve">definition</w:t>
      </w:r>
      <w:r>
        <w:t xml:space="preserve">: ツミ</w:t>
      </w:r>
    </w:p>
    <w:p>
      <w:pPr>
        <w:numPr>
          <w:ilvl w:val="0"/>
          <w:numId w:val="1229"/>
        </w:numPr>
        <w:pStyle w:val="Compact"/>
      </w:pPr>
      <w:r>
        <w:rPr>
          <w:rStyle w:val="VerbatimChar"/>
        </w:rPr>
        <w:t xml:space="preserve">kazama_location</w:t>
      </w:r>
      <w:r>
        <w:t xml:space="preserve">: K10081840,</w:t>
      </w:r>
      <w:r>
        <w:t xml:space="preserve"> </w:t>
      </w:r>
      <w:r>
        <w:rPr>
          <w:rStyle w:val="VerbatimChar"/>
        </w:rPr>
        <w:t xml:space="preserve">hanzi_entry</w:t>
      </w:r>
      <w:r>
        <w:t xml:space="preserve">: 𡿨,</w:t>
      </w:r>
      <w:r>
        <w:t xml:space="preserve"> </w:t>
      </w:r>
      <w:r>
        <w:rPr>
          <w:rStyle w:val="VerbatimChar"/>
        </w:rPr>
        <w:t xml:space="preserve">definition</w:t>
      </w:r>
      <w:r>
        <w:t xml:space="preserve">: (Unannotated),</w:t>
      </w:r>
      <w:r>
        <w:t xml:space="preserve"> </w:t>
      </w:r>
      <w:r>
        <w:rPr>
          <w:rStyle w:val="VerbatimChar"/>
        </w:rPr>
        <w:t xml:space="preserve">remarks</w:t>
      </w:r>
      <w:r>
        <w:t xml:space="preserve"> </w:t>
      </w:r>
      <w:r>
        <w:t xml:space="preserve">(</w:t>
      </w:r>
      <w:r>
        <w:rPr>
          <w:rStyle w:val="VerbatimChar"/>
          <w:bCs/>
          <w:b/>
        </w:rPr>
        <w:t xml:space="preserve">Compiler's Remark</w:t>
      </w:r>
      <w:r>
        <w:t xml:space="preserve">): A</w:t>
      </w:r>
      <w:r>
        <w:t xml:space="preserve"> </w:t>
      </w:r>
      <w:r>
        <w:rPr>
          <w:rStyle w:val="VerbatimChar"/>
          <w:bCs/>
          <w:b/>
        </w:rPr>
        <w:t xml:space="preserve">variant character (*itaiji*)</w:t>
      </w:r>
      <w:r>
        <w:t xml:space="preserve"> </w:t>
      </w:r>
      <w:r>
        <w:t xml:space="preserve">of</w:t>
      </w:r>
      <w:r>
        <w:t xml:space="preserve"> </w:t>
      </w:r>
      <w:r>
        <w:t xml:space="preserve">‘</w:t>
      </w:r>
      <w:r>
        <w:t xml:space="preserve">甽</w:t>
      </w:r>
      <w:r>
        <w:t xml:space="preserve">’</w:t>
      </w:r>
      <w:r>
        <w:t xml:space="preserve">.</w:t>
      </w:r>
    </w:p>
    <w:p>
      <w:pPr>
        <w:pStyle w:val="FirstParagraph"/>
      </w:pPr>
      <w:r>
        <w:t xml:space="preserve">The character represented as</w:t>
      </w:r>
      <w:r>
        <w:t xml:space="preserve"> </w:t>
      </w:r>
      <w:r>
        <w:t xml:space="preserve">‘</w:t>
      </w:r>
      <w:r>
        <w:t xml:space="preserve">■</w:t>
      </w:r>
      <w:r>
        <w:t xml:space="preserve">’</w:t>
      </w:r>
      <w:r>
        <w:t xml:space="preserve"> </w:t>
      </w:r>
      <w:r>
        <w:t xml:space="preserve">(in</w:t>
      </w:r>
      <w:r>
        <w:t xml:space="preserve"> </w:t>
      </w:r>
      <w:r>
        <w:rPr>
          <w:rStyle w:val="VerbatimChar"/>
        </w:rPr>
        <w:t xml:space="preserve">K10081830</w:t>
      </w:r>
      <w:r>
        <w:t xml:space="preserve">) is written in the manuscript like .</w:t>
      </w:r>
      <w:r>
        <w:t xml:space="preserve"> </w:t>
      </w:r>
      <w:r>
        <w:t xml:space="preserve">The character</w:t>
      </w:r>
      <w:r>
        <w:t xml:space="preserve"> </w:t>
      </w:r>
      <w:r>
        <w:t xml:space="preserve">‘</w:t>
      </w:r>
      <w:r>
        <w:t xml:space="preserve">𡿨</w:t>
      </w:r>
      <w:r>
        <w:t xml:space="preserve">’</w:t>
      </w:r>
      <w:r>
        <w:t xml:space="preserve"> </w:t>
      </w:r>
      <w:r>
        <w:t xml:space="preserve">(</w:t>
      </w:r>
      <w:r>
        <w:rPr>
          <w:rStyle w:val="VerbatimChar"/>
        </w:rPr>
        <w:t xml:space="preserve">K10081840</w:t>
      </w:r>
      <w:r>
        <w:t xml:space="preserve">) is not found in the Kazama Shobō edition. It can be confirmed in the Kichō Tosho Fukuseikai edition and both the old and new Tenri editions, but it is an easily overlooked example.</w:t>
      </w:r>
    </w:p>
    <w:p>
      <w:pPr>
        <w:pStyle w:val="BodyText"/>
      </w:pPr>
      <w:r>
        <w:t xml:space="preserve">The original text for this section in the Kanchi-in manuscript can be referred to on the left side of the</w:t>
      </w:r>
      <w:r>
        <w:t xml:space="preserve"> </w:t>
      </w:r>
      <w:hyperlink r:id="rId498">
        <w:r>
          <w:rPr>
            <w:rStyle w:val="Hyperlink"/>
          </w:rPr>
          <w:t xml:space="preserve">corresponding page</w:t>
        </w:r>
      </w:hyperlink>
      <w:r>
        <w:t xml:space="preserve"> </w:t>
      </w:r>
      <w:r>
        <w:t xml:space="preserve">in the National Diet Library Digital Collections.</w:t>
      </w:r>
    </w:p>
    <w:p>
      <w:pPr>
        <w:pStyle w:val="BodyText"/>
      </w:pPr>
      <w:r>
        <w:t xml:space="preserve">Also in the</w:t>
      </w:r>
      <w:r>
        <w:t xml:space="preserve"> </w:t>
      </w:r>
      <w:r>
        <w:rPr>
          <w:bCs/>
          <w:b/>
        </w:rPr>
        <w:t xml:space="preserve">“</w:t>
      </w:r>
      <w:r>
        <w:rPr>
          <w:bCs/>
          <w:b/>
        </w:rPr>
        <w:t xml:space="preserve">雑</w:t>
      </w:r>
      <w:r>
        <w:rPr>
          <w:bCs/>
          <w:b/>
        </w:rPr>
        <w:t xml:space="preserve">”</w:t>
      </w:r>
      <w:r>
        <w:rPr>
          <w:bCs/>
          <w:b/>
        </w:rPr>
        <w:t xml:space="preserve"> </w:t>
      </w:r>
      <w:r>
        <w:rPr>
          <w:bCs/>
          <w:b/>
        </w:rPr>
        <w:t xml:space="preserve">(Miscellaneous) radical section</w:t>
      </w:r>
      <w:r>
        <w:t xml:space="preserve">, there was an error in the data for the following</w:t>
      </w:r>
      <w:r>
        <w:t xml:space="preserve"> </w:t>
      </w:r>
      <w:r>
        <w:rPr>
          <w:rStyle w:val="VerbatimChar"/>
          <w:bCs/>
          <w:b/>
        </w:rPr>
        <w:t xml:space="preserve">Entry</w:t>
      </w:r>
      <w:r>
        <w:t xml:space="preserve">:</w:t>
      </w:r>
    </w:p>
    <w:p>
      <w:pPr>
        <w:numPr>
          <w:ilvl w:val="0"/>
          <w:numId w:val="1230"/>
        </w:numPr>
        <w:pStyle w:val="Compact"/>
      </w:pPr>
      <w:r>
        <w:rPr>
          <w:rStyle w:val="VerbatimChar"/>
        </w:rPr>
        <w:t xml:space="preserve">kazama_location</w:t>
      </w:r>
      <w:r>
        <w:t xml:space="preserve">: K10075411,</w:t>
      </w:r>
      <w:r>
        <w:t xml:space="preserve"> </w:t>
      </w:r>
      <w:r>
        <w:rPr>
          <w:rStyle w:val="VerbatimChar"/>
        </w:rPr>
        <w:t xml:space="preserve">hanzi_entry</w:t>
      </w:r>
      <w:r>
        <w:t xml:space="preserve">: 多／少,</w:t>
      </w:r>
      <w:r>
        <w:t xml:space="preserve"> </w:t>
      </w:r>
      <w:r>
        <w:rPr>
          <w:rStyle w:val="VerbatimChar"/>
        </w:rPr>
        <w:t xml:space="preserve">definition</w:t>
      </w:r>
      <w:r>
        <w:t xml:space="preserve">: ソコハク（LHLVL）</w:t>
      </w:r>
    </w:p>
    <w:p>
      <w:pPr>
        <w:pStyle w:val="FirstParagraph"/>
      </w:pPr>
      <w:r>
        <w:t xml:space="preserve">The</w:t>
      </w:r>
      <w:r>
        <w:t xml:space="preserve"> </w:t>
      </w:r>
      <w:r>
        <w:rPr>
          <w:rStyle w:val="VerbatimChar"/>
          <w:bCs/>
          <w:b/>
        </w:rPr>
        <w:t xml:space="preserve">Headword</w:t>
      </w:r>
      <w:r>
        <w:t xml:space="preserve"> </w:t>
      </w:r>
      <w:r>
        <w:t xml:space="preserve">was previously misidentified as only</w:t>
      </w:r>
      <w:r>
        <w:t xml:space="preserve"> </w:t>
      </w:r>
      <w:r>
        <w:t xml:space="preserve">‘</w:t>
      </w:r>
      <w:r>
        <w:t xml:space="preserve">多</w:t>
      </w:r>
      <w:r>
        <w:t xml:space="preserve">’</w:t>
      </w:r>
      <w:r>
        <w:t xml:space="preserve"> </w:t>
      </w:r>
      <w:r>
        <w:t xml:space="preserve">and has been corrected to</w:t>
      </w:r>
      <w:r>
        <w:t xml:space="preserve"> </w:t>
      </w:r>
      <w:r>
        <w:t xml:space="preserve">‘</w:t>
      </w:r>
      <w:r>
        <w:t xml:space="preserve">多／少</w:t>
      </w:r>
      <w:r>
        <w:t xml:space="preserve">’</w:t>
      </w:r>
      <w:r>
        <w:t xml:space="preserve">.</w:t>
      </w:r>
    </w:p>
    <w:p>
      <w:pPr>
        <w:pStyle w:val="BodyText"/>
      </w:pPr>
      <w:r>
        <w:t xml:space="preserve">As a result of these corrections, the breakdown of</w:t>
      </w:r>
      <w:r>
        <w:t xml:space="preserve"> </w:t>
      </w:r>
      <w:r>
        <w:rPr>
          <w:rStyle w:val="VerbatimChar"/>
          <w:bCs/>
          <w:b/>
        </w:rPr>
        <w:t xml:space="preserve">Entry</w:t>
      </w:r>
      <w:r>
        <w:t xml:space="preserve"> </w:t>
      </w:r>
      <w:r>
        <w:t xml:space="preserve">counts by headword length and the total headword character count for this section are as follows:</w:t>
      </w:r>
    </w:p>
    <w:tbl>
      <w:tblPr>
        <w:tblStyle w:val="Table"/>
        <w:tblW w:type="pct" w:w="5000"/>
        <w:tblLook w:firstRow="1" w:lastRow="0" w:firstColumn="0" w:lastColumn="0" w:noHBand="0" w:noVBand="0" w:val="0020"/>
        <w:jc w:val="start"/>
      </w:tblPr>
      <w:tblGrid>
        <w:gridCol w:w="377"/>
        <w:gridCol w:w="1584"/>
        <w:gridCol w:w="603"/>
        <w:gridCol w:w="603"/>
        <w:gridCol w:w="603"/>
        <w:gridCol w:w="603"/>
        <w:gridCol w:w="603"/>
        <w:gridCol w:w="678"/>
        <w:gridCol w:w="1206"/>
        <w:gridCol w:w="1056"/>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120</w:t>
            </w:r>
          </w:p>
        </w:tc>
        <w:tc>
          <w:tcPr/>
          <w:p>
            <w:pPr>
              <w:pStyle w:val="Compact"/>
              <w:jc w:val="left"/>
            </w:pPr>
            <w:r>
              <w:t xml:space="preserve">雑 (Miscellaneous)</w:t>
            </w:r>
          </w:p>
        </w:tc>
        <w:tc>
          <w:tcPr/>
          <w:p>
            <w:pPr>
              <w:pStyle w:val="Compact"/>
              <w:jc w:val="right"/>
            </w:pPr>
            <w:r>
              <w:t xml:space="preserve">1,075</w:t>
            </w:r>
          </w:p>
        </w:tc>
        <w:tc>
          <w:tcPr/>
          <w:p>
            <w:pPr>
              <w:pStyle w:val="Compact"/>
              <w:jc w:val="right"/>
            </w:pPr>
            <w:r>
              <w:t xml:space="preserve">332</w:t>
            </w:r>
          </w:p>
        </w:tc>
        <w:tc>
          <w:tcPr/>
          <w:p>
            <w:pPr>
              <w:pStyle w:val="Compact"/>
              <w:jc w:val="right"/>
            </w:pPr>
            <w:r>
              <w:t xml:space="preserve">73</w:t>
            </w:r>
          </w:p>
        </w:tc>
        <w:tc>
          <w:tcPr/>
          <w:p>
            <w:pPr>
              <w:pStyle w:val="Compact"/>
              <w:jc w:val="right"/>
            </w:pPr>
            <w:r>
              <w:t xml:space="preserve">14</w:t>
            </w:r>
          </w:p>
        </w:tc>
        <w:tc>
          <w:tcPr/>
          <w:p>
            <w:pPr>
              <w:pStyle w:val="Compact"/>
              <w:jc w:val="right"/>
            </w:pPr>
            <w:r>
              <w:t xml:space="preserve">4</w:t>
            </w:r>
          </w:p>
        </w:tc>
        <w:tc>
          <w:tcPr/>
          <w:p>
            <w:pPr>
              <w:pStyle w:val="Compact"/>
              <w:jc w:val="right"/>
            </w:pPr>
            <w:r>
              <w:t xml:space="preserve">4</w:t>
            </w:r>
          </w:p>
        </w:tc>
        <w:tc>
          <w:tcPr/>
          <w:p>
            <w:pPr>
              <w:pStyle w:val="Compact"/>
              <w:jc w:val="right"/>
            </w:pPr>
            <w:r>
              <w:t xml:space="preserve">1,501</w:t>
            </w:r>
          </w:p>
        </w:tc>
        <w:tc>
          <w:tcPr/>
          <w:p>
            <w:pPr>
              <w:pStyle w:val="Compact"/>
              <w:jc w:val="right"/>
            </w:pPr>
            <w:r>
              <w:t xml:space="preserve">2,057</w:t>
            </w:r>
          </w:p>
        </w:tc>
      </w:tr>
    </w:tbl>
    <w:bookmarkEnd w:id="499"/>
    <w:bookmarkStart w:id="500" w:name="X6f01325ee1ea95641f4bd95e2d71e06972e24ec"/>
    <w:p>
      <w:pPr>
        <w:pStyle w:val="Heading3"/>
      </w:pPr>
      <w:r>
        <w:rPr>
          <w:rStyle w:val="SectionNumber"/>
        </w:rPr>
        <w:t xml:space="preserve">21.6.13</w:t>
      </w:r>
      <w:r>
        <w:tab/>
      </w:r>
      <w:r>
        <w:t xml:space="preserve">Summary of</w:t>
      </w:r>
      <w:r>
        <w:t xml:space="preserve"> </w:t>
      </w:r>
      <w:r>
        <w:rPr>
          <w:rStyle w:val="VerbatimChar"/>
        </w:rPr>
        <w:t xml:space="preserve">Entry</w:t>
      </w:r>
      <w:r>
        <w:t xml:space="preserve"> </w:t>
      </w:r>
      <w:r>
        <w:t xml:space="preserve">Counts and Total Headword Character Counts by Radical Section</w:t>
      </w:r>
    </w:p>
    <w:p>
      <w:pPr>
        <w:pStyle w:val="FirstParagraph"/>
      </w:pPr>
      <w:r>
        <w:t xml:space="preserve">It was necessary to correct the</w:t>
      </w:r>
      <w:r>
        <w:t xml:space="preserve"> </w:t>
      </w:r>
      <w:r>
        <w:rPr>
          <w:rStyle w:val="VerbatimChar"/>
          <w:bCs/>
          <w:b/>
        </w:rPr>
        <w:t xml:space="preserve">Entry</w:t>
      </w:r>
      <w:r>
        <w:t xml:space="preserve"> </w:t>
      </w:r>
      <w:r>
        <w:t xml:space="preserve">counts from Ikeda et al. (2020) for the following three radical sections: No. 001</w:t>
      </w:r>
      <w:r>
        <w:t xml:space="preserve"> </w:t>
      </w:r>
      <w:r>
        <w:t xml:space="preserve">“</w:t>
      </w:r>
      <w:r>
        <w:t xml:space="preserve">人</w:t>
      </w:r>
      <w:r>
        <w:t xml:space="preserve">”</w:t>
      </w:r>
      <w:r>
        <w:t xml:space="preserve"> </w:t>
      </w:r>
      <w:r>
        <w:t xml:space="preserve">(Man), No. 029</w:t>
      </w:r>
      <w:r>
        <w:t xml:space="preserve"> </w:t>
      </w:r>
      <w:r>
        <w:t xml:space="preserve">“</w:t>
      </w:r>
      <w:r>
        <w:t xml:space="preserve">木</w:t>
      </w:r>
      <w:r>
        <w:t xml:space="preserve">”</w:t>
      </w:r>
      <w:r>
        <w:t xml:space="preserve"> </w:t>
      </w:r>
      <w:r>
        <w:t xml:space="preserve">(Tree), and No. 080</w:t>
      </w:r>
      <w:r>
        <w:t xml:space="preserve"> </w:t>
      </w:r>
      <w:r>
        <w:t xml:space="preserve">“</w:t>
      </w:r>
      <w:r>
        <w:t xml:space="preserve">寸</w:t>
      </w:r>
      <w:r>
        <w:t xml:space="preserve">”</w:t>
      </w:r>
      <w:r>
        <w:t xml:space="preserve"> </w:t>
      </w:r>
      <w:r>
        <w:t xml:space="preserve">(Inch).</w:t>
      </w:r>
      <w:r>
        <w:t xml:space="preserve"> </w:t>
      </w:r>
      <w:r>
        <w:t xml:space="preserve">For other radical sections where discrepancies with other tallies (e.g., Sakai (1967)) exist, these variations are generally due to differences in the criteria for identifying and counting</w:t>
      </w:r>
      <w:r>
        <w:t xml:space="preserve"> </w:t>
      </w:r>
      <w:r>
        <w:rPr>
          <w:rStyle w:val="VerbatimChar"/>
          <w:bCs/>
          <w:b/>
        </w:rPr>
        <w:t xml:space="preserve">Entries</w:t>
      </w:r>
      <w:r>
        <w:t xml:space="preserve">. In such cases, the counts from Ikeda et al. (2020) have been retained as is.</w:t>
      </w:r>
      <w:r>
        <w:t xml:space="preserve"> </w:t>
      </w:r>
      <w:r>
        <w:t xml:space="preserve">Reflecting the corrections made based on the verifications discussed above, a complete list of</w:t>
      </w:r>
      <w:r>
        <w:t xml:space="preserve"> </w:t>
      </w:r>
      <w:r>
        <w:rPr>
          <w:rStyle w:val="VerbatimChar"/>
          <w:bCs/>
          <w:b/>
        </w:rPr>
        <w:t xml:space="preserve">Entry</w:t>
      </w:r>
      <w:r>
        <w:t xml:space="preserve"> </w:t>
      </w:r>
      <w:r>
        <w:t xml:space="preserve">counts for all radical sections is provided below. The presented total headword character counts (</w:t>
      </w:r>
      <w:r>
        <w:rPr>
          <w:iCs/>
          <w:i/>
        </w:rPr>
        <w:t xml:space="preserve">keishutsuji-sū</w:t>
      </w:r>
      <w:r>
        <w:t xml:space="preserve">, 掲出字数) also incorporate corrections for clear instances of</w:t>
      </w:r>
      <w:r>
        <w:t xml:space="preserve"> </w:t>
      </w:r>
      <w:r>
        <w:rPr>
          <w:rStyle w:val="VerbatimChar"/>
          <w:bCs/>
          <w:b/>
        </w:rPr>
        <w:t xml:space="preserve">Omitted Characters</w:t>
      </w:r>
      <w:r>
        <w:t xml:space="preserve">.</w:t>
      </w:r>
    </w:p>
    <w:p>
      <w:pPr>
        <w:pStyle w:val="BodyText"/>
      </w:pPr>
      <w:r>
        <w:rPr>
          <w:iCs/>
          <w:i/>
          <w:bCs/>
          <w:b/>
        </w:rPr>
        <w:t xml:space="preserve">Butsujō</w:t>
      </w:r>
      <w:r>
        <w:t xml:space="preserve"> </w:t>
      </w:r>
      <w:r>
        <w:rPr>
          <w:bCs/>
          <w:b/>
        </w:rPr>
        <w:t xml:space="preserve">(仏上 – Upper</w:t>
      </w:r>
      <w:r>
        <w:rPr>
          <w:bCs/>
          <w:b/>
        </w:rPr>
        <w:t xml:space="preserve"> </w:t>
      </w:r>
      <w:r>
        <w:rPr>
          <w:bCs/>
          <w:b/>
        </w:rPr>
        <w:t xml:space="preserve">“</w:t>
      </w:r>
      <w:r>
        <w:rPr>
          <w:bCs/>
          <w:b/>
        </w:rPr>
        <w:t xml:space="preserve">Buddha</w:t>
      </w:r>
      <w:r>
        <w:rPr>
          <w:bCs/>
          <w:b/>
        </w:rPr>
        <w:t xml:space="preserve">”</w:t>
      </w:r>
      <w:r>
        <w:rPr>
          <w:bCs/>
          <w:b/>
        </w:rPr>
        <w:t xml:space="preserve"> </w:t>
      </w:r>
      <w:r>
        <w:rPr>
          <w:bCs/>
          <w:b/>
        </w:rPr>
        <w:t xml:space="preserve">Fascicle)</w:t>
      </w:r>
    </w:p>
    <w:tbl>
      <w:tblPr>
        <w:tblStyle w:val="Table"/>
        <w:tblW w:type="pct" w:w="5000"/>
        <w:tblLook w:firstRow="1" w:lastRow="0" w:firstColumn="0" w:lastColumn="0" w:noHBand="0" w:noVBand="0" w:val="0020"/>
        <w:jc w:val="start"/>
      </w:tblPr>
      <w:tblGrid>
        <w:gridCol w:w="425"/>
        <w:gridCol w:w="766"/>
        <w:gridCol w:w="681"/>
        <w:gridCol w:w="681"/>
        <w:gridCol w:w="681"/>
        <w:gridCol w:w="681"/>
        <w:gridCol w:w="681"/>
        <w:gridCol w:w="766"/>
        <w:gridCol w:w="1362"/>
        <w:gridCol w:w="1192"/>
      </w:tblGrid>
      <w:tr>
        <w:trPr>
          <w:tblHeader w:val="true"/>
        </w:trPr>
        <w:tc>
          <w:tcPr/>
          <w:p>
            <w:pPr>
              <w:pStyle w:val="Compact"/>
              <w:jc w:val="left"/>
            </w:pPr>
            <w:r>
              <w:t xml:space="preserve">No.</w:t>
            </w:r>
          </w:p>
        </w:tc>
        <w:tc>
          <w:tcPr/>
          <w:p>
            <w:pPr>
              <w:pStyle w:val="Compact"/>
              <w:jc w:val="left"/>
            </w:pPr>
            <w:r>
              <w:t xml:space="preserve">Radical</w:t>
            </w:r>
          </w:p>
        </w:tc>
        <w:tc>
          <w:tcPr/>
          <w:p>
            <w:pPr>
              <w:pStyle w:val="Compact"/>
              <w:jc w:val="right"/>
            </w:pPr>
            <w:r>
              <w:t xml:space="preserve">1-char</w:t>
            </w:r>
          </w:p>
        </w:tc>
        <w:tc>
          <w:tcPr/>
          <w:p>
            <w:pPr>
              <w:pStyle w:val="Compact"/>
              <w:jc w:val="right"/>
            </w:pPr>
            <w:r>
              <w:t xml:space="preserve">2-char</w:t>
            </w:r>
          </w:p>
        </w:tc>
        <w:tc>
          <w:tcPr/>
          <w:p>
            <w:pPr>
              <w:pStyle w:val="Compact"/>
              <w:jc w:val="right"/>
            </w:pPr>
            <w:r>
              <w:t xml:space="preserve">3-char</w:t>
            </w:r>
          </w:p>
        </w:tc>
        <w:tc>
          <w:tcPr/>
          <w:p>
            <w:pPr>
              <w:pStyle w:val="Compact"/>
              <w:jc w:val="right"/>
            </w:pPr>
            <w:r>
              <w:t xml:space="preserve">4-char</w:t>
            </w:r>
          </w:p>
        </w:tc>
        <w:tc>
          <w:tcPr/>
          <w:p>
            <w:pPr>
              <w:pStyle w:val="Compact"/>
              <w:jc w:val="right"/>
            </w:pPr>
            <w:r>
              <w:t xml:space="preserve">5-char</w:t>
            </w:r>
          </w:p>
        </w:tc>
        <w:tc>
          <w:tcPr/>
          <w:p>
            <w:pPr>
              <w:pStyle w:val="Compact"/>
              <w:jc w:val="right"/>
            </w:pPr>
            <w:r>
              <w:t xml:space="preserve">6+ char</w:t>
            </w:r>
          </w:p>
        </w:tc>
        <w:tc>
          <w:tcPr/>
          <w:p>
            <w:pPr>
              <w:pStyle w:val="Compact"/>
              <w:jc w:val="right"/>
            </w:pPr>
            <w:r>
              <w:t xml:space="preserve">No. of Entries</w:t>
            </w:r>
          </w:p>
        </w:tc>
        <w:tc>
          <w:tcPr/>
          <w:p>
            <w:pPr>
              <w:pStyle w:val="Compact"/>
              <w:jc w:val="right"/>
            </w:pPr>
            <w:r>
              <w:t xml:space="preserve">No. of Chars</w:t>
            </w:r>
          </w:p>
        </w:tc>
      </w:tr>
      <w:tr>
        <w:tc>
          <w:tcPr/>
          <w:p>
            <w:pPr>
              <w:pStyle w:val="Compact"/>
              <w:jc w:val="left"/>
            </w:pPr>
            <w:r>
              <w:t xml:space="preserve">001</w:t>
            </w:r>
          </w:p>
        </w:tc>
        <w:tc>
          <w:tcPr/>
          <w:p>
            <w:pPr>
              <w:pStyle w:val="Compact"/>
              <w:jc w:val="left"/>
            </w:pPr>
            <w:r>
              <w:t xml:space="preserve">人 (Man)</w:t>
            </w:r>
          </w:p>
        </w:tc>
        <w:tc>
          <w:tcPr/>
          <w:p>
            <w:pPr>
              <w:pStyle w:val="Compact"/>
              <w:jc w:val="right"/>
            </w:pPr>
            <w:r>
              <w:t xml:space="preserve">614</w:t>
            </w:r>
          </w:p>
        </w:tc>
        <w:tc>
          <w:tcPr/>
          <w:p>
            <w:pPr>
              <w:pStyle w:val="Compact"/>
              <w:jc w:val="right"/>
            </w:pPr>
            <w:r>
              <w:t xml:space="preserve">205</w:t>
            </w:r>
          </w:p>
        </w:tc>
        <w:tc>
          <w:tcPr/>
          <w:p>
            <w:pPr>
              <w:pStyle w:val="Compact"/>
              <w:jc w:val="right"/>
            </w:pPr>
            <w:r>
              <w:t xml:space="preserve">28</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856</w:t>
            </w:r>
          </w:p>
        </w:tc>
        <w:tc>
          <w:tcPr/>
          <w:p>
            <w:pPr>
              <w:pStyle w:val="Compact"/>
              <w:jc w:val="right"/>
            </w:pPr>
            <w:r>
              <w:t xml:space="preserve">1,153</w:t>
            </w:r>
          </w:p>
        </w:tc>
      </w:tr>
      <w:tr>
        <w:tc>
          <w:tcPr/>
          <w:p>
            <w:pPr>
              <w:pStyle w:val="Compact"/>
              <w:jc w:val="left"/>
            </w:pPr>
            <w:r>
              <w:t xml:space="preserve">002</w:t>
            </w:r>
          </w:p>
        </w:tc>
        <w:tc>
          <w:tcPr/>
          <w:p>
            <w:pPr>
              <w:pStyle w:val="Compact"/>
              <w:jc w:val="left"/>
            </w:pPr>
            <w:r>
              <w:t xml:space="preserve">彳 (Step)</w:t>
            </w:r>
          </w:p>
        </w:tc>
        <w:tc>
          <w:tcPr/>
          <w:p>
            <w:pPr>
              <w:pStyle w:val="Compact"/>
              <w:jc w:val="right"/>
            </w:pPr>
            <w:r>
              <w:t xml:space="preserve">144</w:t>
            </w:r>
          </w:p>
        </w:tc>
        <w:tc>
          <w:tcPr/>
          <w:p>
            <w:pPr>
              <w:pStyle w:val="Compact"/>
              <w:jc w:val="right"/>
            </w:pPr>
            <w:r>
              <w:t xml:space="preserve">38</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185</w:t>
            </w:r>
          </w:p>
        </w:tc>
        <w:tc>
          <w:tcPr/>
          <w:p>
            <w:pPr>
              <w:pStyle w:val="Compact"/>
              <w:jc w:val="right"/>
            </w:pPr>
            <w:r>
              <w:t xml:space="preserve">229</w:t>
            </w:r>
          </w:p>
        </w:tc>
      </w:tr>
      <w:tr>
        <w:tc>
          <w:tcPr/>
          <w:p>
            <w:pPr>
              <w:pStyle w:val="Compact"/>
              <w:jc w:val="left"/>
            </w:pPr>
            <w:r>
              <w:t xml:space="preserve">003</w:t>
            </w:r>
          </w:p>
        </w:tc>
        <w:tc>
          <w:tcPr/>
          <w:p>
            <w:pPr>
              <w:pStyle w:val="Compact"/>
              <w:jc w:val="left"/>
            </w:pPr>
            <w:r>
              <w:t xml:space="preserve">辵 (Walk)</w:t>
            </w:r>
          </w:p>
        </w:tc>
        <w:tc>
          <w:tcPr/>
          <w:p>
            <w:pPr>
              <w:pStyle w:val="Compact"/>
              <w:jc w:val="right"/>
            </w:pPr>
            <w:r>
              <w:t xml:space="preserve">368</w:t>
            </w:r>
          </w:p>
        </w:tc>
        <w:tc>
          <w:tcPr/>
          <w:p>
            <w:pPr>
              <w:pStyle w:val="Compact"/>
              <w:jc w:val="right"/>
            </w:pPr>
            <w:r>
              <w:t xml:space="preserve">81</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w:t>
            </w:r>
          </w:p>
        </w:tc>
        <w:tc>
          <w:tcPr/>
          <w:p>
            <w:pPr>
              <w:pStyle w:val="Compact"/>
              <w:jc w:val="right"/>
            </w:pPr>
            <w:r>
              <w:t xml:space="preserve">1</w:t>
            </w:r>
          </w:p>
        </w:tc>
        <w:tc>
          <w:tcPr/>
          <w:p>
            <w:pPr>
              <w:pStyle w:val="Compact"/>
              <w:jc w:val="right"/>
            </w:pPr>
            <w:r>
              <w:t xml:space="preserve">462</w:t>
            </w:r>
          </w:p>
        </w:tc>
        <w:tc>
          <w:tcPr/>
          <w:p>
            <w:pPr>
              <w:pStyle w:val="Compact"/>
              <w:jc w:val="right"/>
            </w:pPr>
            <w:r>
              <w:t xml:space="preserve">575</w:t>
            </w:r>
          </w:p>
        </w:tc>
      </w:tr>
      <w:tr>
        <w:tc>
          <w:tcPr/>
          <w:p>
            <w:pPr>
              <w:pStyle w:val="Compact"/>
              <w:jc w:val="left"/>
            </w:pPr>
            <w:r>
              <w:t xml:space="preserve">004</w:t>
            </w:r>
          </w:p>
        </w:tc>
        <w:tc>
          <w:tcPr/>
          <w:p>
            <w:pPr>
              <w:pStyle w:val="Compact"/>
              <w:jc w:val="left"/>
            </w:pPr>
            <w:r>
              <w:t xml:space="preserve">匚 (Box Frame)</w:t>
            </w:r>
          </w:p>
        </w:tc>
        <w:tc>
          <w:tcPr/>
          <w:p>
            <w:pPr>
              <w:pStyle w:val="Compact"/>
              <w:jc w:val="right"/>
            </w:pPr>
            <w:r>
              <w:t xml:space="preserve">48</w:t>
            </w:r>
          </w:p>
        </w:tc>
        <w:tc>
          <w:tcPr/>
          <w:p>
            <w:pPr>
              <w:pStyle w:val="Compact"/>
              <w:jc w:val="right"/>
            </w:pPr>
            <w:r>
              <w:t xml:space="preserve">5</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55</w:t>
            </w:r>
          </w:p>
        </w:tc>
        <w:tc>
          <w:tcPr/>
          <w:p>
            <w:pPr>
              <w:pStyle w:val="Compact"/>
              <w:jc w:val="right"/>
            </w:pPr>
            <w:r>
              <w:t xml:space="preserve">64</w:t>
            </w:r>
          </w:p>
        </w:tc>
      </w:tr>
      <w:tr>
        <w:tc>
          <w:tcPr/>
          <w:p>
            <w:pPr>
              <w:pStyle w:val="Compact"/>
              <w:jc w:val="left"/>
            </w:pPr>
            <w:r>
              <w:t xml:space="preserve">005</w:t>
            </w:r>
          </w:p>
        </w:tc>
        <w:tc>
          <w:tcPr/>
          <w:p>
            <w:pPr>
              <w:pStyle w:val="Compact"/>
              <w:jc w:val="left"/>
            </w:pPr>
            <w:r>
              <w:t xml:space="preserve">走 (Run)</w:t>
            </w:r>
          </w:p>
        </w:tc>
        <w:tc>
          <w:tcPr/>
          <w:p>
            <w:pPr>
              <w:pStyle w:val="Compact"/>
              <w:jc w:val="right"/>
            </w:pPr>
            <w:r>
              <w:t xml:space="preserve">162</w:t>
            </w:r>
          </w:p>
        </w:tc>
        <w:tc>
          <w:tcPr/>
          <w:p>
            <w:pPr>
              <w:pStyle w:val="Compact"/>
              <w:jc w:val="right"/>
            </w:pPr>
            <w:r>
              <w:t xml:space="preserve">16</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180</w:t>
            </w:r>
          </w:p>
        </w:tc>
        <w:tc>
          <w:tcPr/>
          <w:p>
            <w:pPr>
              <w:pStyle w:val="Compact"/>
              <w:jc w:val="right"/>
            </w:pPr>
            <w:r>
              <w:t xml:space="preserve">201</w:t>
            </w:r>
          </w:p>
        </w:tc>
      </w:tr>
      <w:tr>
        <w:tc>
          <w:tcPr/>
          <w:p>
            <w:pPr>
              <w:pStyle w:val="Compact"/>
              <w:jc w:val="left"/>
            </w:pPr>
            <w:r>
              <w:t xml:space="preserve">006</w:t>
            </w:r>
          </w:p>
        </w:tc>
        <w:tc>
          <w:tcPr/>
          <w:p>
            <w:pPr>
              <w:pStyle w:val="Compact"/>
              <w:jc w:val="left"/>
            </w:pPr>
            <w:r>
              <w:t xml:space="preserve">麥 (Wheat)</w:t>
            </w:r>
          </w:p>
        </w:tc>
        <w:tc>
          <w:tcPr/>
          <w:p>
            <w:pPr>
              <w:pStyle w:val="Compact"/>
              <w:jc w:val="right"/>
            </w:pPr>
            <w:r>
              <w:t xml:space="preserve">72</w:t>
            </w:r>
          </w:p>
        </w:tc>
        <w:tc>
          <w:tcPr/>
          <w:p>
            <w:pPr>
              <w:pStyle w:val="Compact"/>
              <w:jc w:val="right"/>
            </w:pPr>
            <w:r>
              <w:t xml:space="preserve">12</w:t>
            </w:r>
          </w:p>
        </w:tc>
        <w:tc>
          <w:tcPr/>
          <w:p>
            <w:pPr>
              <w:pStyle w:val="Compact"/>
              <w:jc w:val="right"/>
            </w:pPr>
            <w:r>
              <w:t xml:space="preserve">1</w:t>
            </w:r>
          </w:p>
        </w:tc>
        <w:tc>
          <w:tcPr/>
          <w:p>
            <w:pPr>
              <w:pStyle w:val="Compact"/>
              <w:jc w:val="right"/>
            </w:pPr>
            <w:r>
              <w:t xml:space="preserve">3</w:t>
            </w:r>
          </w:p>
        </w:tc>
        <w:tc>
          <w:tcPr/>
          <w:p>
            <w:pPr>
              <w:pStyle w:val="Compact"/>
              <w:jc w:val="right"/>
            </w:pPr>
            <w:r>
              <w:t xml:space="preserve">1</w:t>
            </w:r>
          </w:p>
        </w:tc>
        <w:tc>
          <w:tcPr/>
          <w:p>
            <w:pPr>
              <w:pStyle w:val="Compact"/>
              <w:jc w:val="right"/>
            </w:pPr>
            <w:r>
              <w:t xml:space="preserve">0</w:t>
            </w:r>
          </w:p>
        </w:tc>
        <w:tc>
          <w:tcPr/>
          <w:p>
            <w:pPr>
              <w:pStyle w:val="Compact"/>
              <w:jc w:val="right"/>
            </w:pPr>
            <w:r>
              <w:t xml:space="preserve">89</w:t>
            </w:r>
          </w:p>
        </w:tc>
        <w:tc>
          <w:tcPr/>
          <w:p>
            <w:pPr>
              <w:pStyle w:val="Compact"/>
              <w:jc w:val="right"/>
            </w:pPr>
            <w:r>
              <w:t xml:space="preserve">116</w:t>
            </w:r>
          </w:p>
        </w:tc>
      </w:tr>
      <w:tr>
        <w:tc>
          <w:tcPr/>
          <w:p>
            <w:pPr>
              <w:pStyle w:val="Compact"/>
              <w:jc w:val="left"/>
            </w:pPr>
            <w:r>
              <w:t xml:space="preserve">007</w:t>
            </w:r>
          </w:p>
        </w:tc>
        <w:tc>
          <w:tcPr/>
          <w:p>
            <w:pPr>
              <w:pStyle w:val="Compact"/>
              <w:jc w:val="left"/>
            </w:pPr>
            <w:r>
              <w:t xml:space="preserve">一 (One)</w:t>
            </w:r>
          </w:p>
        </w:tc>
        <w:tc>
          <w:tcPr/>
          <w:p>
            <w:pPr>
              <w:pStyle w:val="Compact"/>
              <w:jc w:val="right"/>
            </w:pPr>
            <w:r>
              <w:t xml:space="preserve">65</w:t>
            </w:r>
          </w:p>
        </w:tc>
        <w:tc>
          <w:tcPr/>
          <w:p>
            <w:pPr>
              <w:pStyle w:val="Compact"/>
              <w:jc w:val="right"/>
            </w:pPr>
            <w:r>
              <w:t xml:space="preserve">65</w:t>
            </w:r>
          </w:p>
        </w:tc>
        <w:tc>
          <w:tcPr/>
          <w:p>
            <w:pPr>
              <w:pStyle w:val="Compact"/>
              <w:jc w:val="right"/>
            </w:pPr>
            <w:r>
              <w:t xml:space="preserve">3</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135</w:t>
            </w:r>
          </w:p>
        </w:tc>
        <w:tc>
          <w:tcPr/>
          <w:p>
            <w:pPr>
              <w:pStyle w:val="Compact"/>
              <w:jc w:val="right"/>
            </w:pPr>
            <w:r>
              <w:t xml:space="preserve">212</w:t>
            </w:r>
          </w:p>
        </w:tc>
      </w:tr>
      <w:tr>
        <w:tc>
          <w:tcPr/>
          <w:p>
            <w:pPr>
              <w:pStyle w:val="Compact"/>
              <w:jc w:val="left"/>
            </w:pPr>
            <w:r>
              <w:t xml:space="preserve">008</w:t>
            </w:r>
          </w:p>
        </w:tc>
        <w:tc>
          <w:tcPr/>
          <w:p>
            <w:pPr>
              <w:pStyle w:val="Compact"/>
              <w:jc w:val="left"/>
            </w:pPr>
            <w:r>
              <w:t xml:space="preserve">丨 (Line)</w:t>
            </w:r>
          </w:p>
        </w:tc>
        <w:tc>
          <w:tcPr/>
          <w:p>
            <w:pPr>
              <w:pStyle w:val="Compact"/>
              <w:jc w:val="right"/>
            </w:pPr>
            <w:r>
              <w:t xml:space="preserve">46</w:t>
            </w:r>
          </w:p>
        </w:tc>
        <w:tc>
          <w:tcPr/>
          <w:p>
            <w:pPr>
              <w:pStyle w:val="Compact"/>
              <w:jc w:val="right"/>
            </w:pPr>
            <w:r>
              <w:t xml:space="preserve">20</w:t>
            </w:r>
          </w:p>
        </w:tc>
        <w:tc>
          <w:tcPr/>
          <w:p>
            <w:pPr>
              <w:pStyle w:val="Compact"/>
              <w:jc w:val="right"/>
            </w:pPr>
            <w:r>
              <w:t xml:space="preserve">2</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69</w:t>
            </w:r>
          </w:p>
        </w:tc>
        <w:tc>
          <w:tcPr/>
          <w:p>
            <w:pPr>
              <w:pStyle w:val="Compact"/>
              <w:jc w:val="right"/>
            </w:pPr>
            <w:r>
              <w:t xml:space="preserve">96</w:t>
            </w:r>
          </w:p>
        </w:tc>
      </w:tr>
      <w:tr>
        <w:tc>
          <w:tcPr/>
          <w:p>
            <w:pPr>
              <w:pStyle w:val="Compact"/>
              <w:jc w:val="left"/>
            </w:pPr>
            <w:r>
              <w:t xml:space="preserve">009</w:t>
            </w:r>
          </w:p>
        </w:tc>
        <w:tc>
          <w:tcPr/>
          <w:p>
            <w:pPr>
              <w:pStyle w:val="Compact"/>
              <w:jc w:val="left"/>
            </w:pPr>
            <w:r>
              <w:t xml:space="preserve">十 (Ten)</w:t>
            </w:r>
          </w:p>
        </w:tc>
        <w:tc>
          <w:tcPr/>
          <w:p>
            <w:pPr>
              <w:pStyle w:val="Compact"/>
              <w:jc w:val="right"/>
            </w:pPr>
            <w:r>
              <w:t xml:space="preserve">58</w:t>
            </w:r>
          </w:p>
        </w:tc>
        <w:tc>
          <w:tcPr/>
          <w:p>
            <w:pPr>
              <w:pStyle w:val="Compact"/>
              <w:jc w:val="right"/>
            </w:pPr>
            <w:r>
              <w:t xml:space="preserve">21</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81</w:t>
            </w:r>
          </w:p>
        </w:tc>
        <w:tc>
          <w:tcPr/>
          <w:p>
            <w:pPr>
              <w:pStyle w:val="Compact"/>
              <w:jc w:val="right"/>
            </w:pPr>
            <w:r>
              <w:t xml:space="preserve">106</w:t>
            </w:r>
          </w:p>
        </w:tc>
      </w:tr>
      <w:tr>
        <w:tc>
          <w:tcPr/>
          <w:p>
            <w:pPr>
              <w:pStyle w:val="Compact"/>
              <w:jc w:val="left"/>
            </w:pPr>
            <w:r>
              <w:t xml:space="preserve">010</w:t>
            </w:r>
          </w:p>
        </w:tc>
        <w:tc>
          <w:tcPr/>
          <w:p>
            <w:pPr>
              <w:pStyle w:val="Compact"/>
              <w:jc w:val="left"/>
            </w:pPr>
            <w:r>
              <w:t xml:space="preserve">身 (Body)</w:t>
            </w:r>
          </w:p>
        </w:tc>
        <w:tc>
          <w:tcPr/>
          <w:p>
            <w:pPr>
              <w:pStyle w:val="Compact"/>
              <w:jc w:val="right"/>
            </w:pPr>
            <w:r>
              <w:t xml:space="preserve">73</w:t>
            </w:r>
          </w:p>
        </w:tc>
        <w:tc>
          <w:tcPr/>
          <w:p>
            <w:pPr>
              <w:pStyle w:val="Compact"/>
              <w:jc w:val="right"/>
            </w:pPr>
            <w:r>
              <w:t xml:space="preserve">6</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80</w:t>
            </w:r>
          </w:p>
        </w:tc>
        <w:tc>
          <w:tcPr/>
          <w:p>
            <w:pPr>
              <w:pStyle w:val="Compact"/>
              <w:jc w:val="right"/>
            </w:pPr>
            <w:r>
              <w:t xml:space="preserve">88</w:t>
            </w:r>
          </w:p>
        </w:tc>
      </w:tr>
    </w:tbl>
    <w:p>
      <w:pPr>
        <w:pStyle w:val="BodyText"/>
      </w:pPr>
      <w:r>
        <w:rPr>
          <w:iCs/>
          <w:i/>
          <w:bCs/>
          <w:b/>
        </w:rPr>
        <w:t xml:space="preserve">Butsuchū</w:t>
      </w:r>
      <w:r>
        <w:t xml:space="preserve"> </w:t>
      </w:r>
      <w:r>
        <w:rPr>
          <w:bCs/>
          <w:b/>
        </w:rPr>
        <w:t xml:space="preserve">(仏中 – Middle</w:t>
      </w:r>
      <w:r>
        <w:rPr>
          <w:bCs/>
          <w:b/>
        </w:rPr>
        <w:t xml:space="preserve"> </w:t>
      </w:r>
      <w:r>
        <w:rPr>
          <w:bCs/>
          <w:b/>
        </w:rPr>
        <w:t xml:space="preserve">“</w:t>
      </w:r>
      <w:r>
        <w:rPr>
          <w:bCs/>
          <w:b/>
        </w:rPr>
        <w:t xml:space="preserve">Buddha</w:t>
      </w:r>
      <w:r>
        <w:rPr>
          <w:bCs/>
          <w:b/>
        </w:rPr>
        <w:t xml:space="preserve">”</w:t>
      </w:r>
      <w:r>
        <w:rPr>
          <w:bCs/>
          <w:b/>
        </w:rPr>
        <w:t xml:space="preserve"> </w:t>
      </w:r>
      <w:r>
        <w:rPr>
          <w:bCs/>
          <w:b/>
        </w:rPr>
        <w:t xml:space="preserve">Fascicle)</w:t>
      </w:r>
      <w:r>
        <w:t xml:space="preserve"> </w:t>
      </w:r>
      <w:r>
        <w:t xml:space="preserve">| No. | Radical | 1-char | 2-char | 3-char | 4-char | 5-char | 6+ char | No. of Entries | No. of Chars |</w:t>
      </w:r>
      <w:r>
        <w:t xml:space="preserve"> </w:t>
      </w:r>
      <w:r>
        <w:t xml:space="preserve">|—–|———|——-:|——-:|——-:|——-:|——-:|——–:|—————:|————-:|</w:t>
      </w:r>
      <w:r>
        <w:t xml:space="preserve"> </w:t>
      </w:r>
      <w:r>
        <w:t xml:space="preserve">| 011 | 耳 (Ear) | 114 | 12 | 2 | 1 | 1 | 0 | 130 | 153 |</w:t>
      </w:r>
      <w:r>
        <w:t xml:space="preserve"> </w:t>
      </w:r>
      <w:r>
        <w:t xml:space="preserve">| 012 | 女 (Woman) | 421 | 94 | 8 | 3 | 1 | 0 | 527 | 650 |</w:t>
      </w:r>
      <w:r>
        <w:t xml:space="preserve"> </w:t>
      </w:r>
      <w:r>
        <w:t xml:space="preserve">| 013 | 舌 (Tongue) | 26 | 5 | 2 | 1 | 1 | 0 | 35 | 51 |</w:t>
      </w:r>
      <w:r>
        <w:t xml:space="preserve"> </w:t>
      </w:r>
      <w:r>
        <w:t xml:space="preserve">| 014 | 口 (Mouth) | 857 | 147 | 17 | 9 | 4 | 2 | 1,036 | 1,275 |</w:t>
      </w:r>
      <w:r>
        <w:t xml:space="preserve"> </w:t>
      </w:r>
      <w:r>
        <w:t xml:space="preserve">| 015 | 目 (Eye) | 399 | 55 | 4 | 2 | 0 | 3 | 463 | 552 |</w:t>
      </w:r>
      <w:r>
        <w:t xml:space="preserve"> </w:t>
      </w:r>
      <w:r>
        <w:t xml:space="preserve">| 016 | 鼻 (Nose) | 30 | 6 | 1 | 0 | 0 | 0 | 37 | 45 |</w:t>
      </w:r>
      <w:r>
        <w:t xml:space="preserve"> </w:t>
      </w:r>
      <w:r>
        <w:t xml:space="preserve">| 017 | 見 (See) | 117 | 10 | 0 | 0 | 0 | 0 | 127 | 137 |</w:t>
      </w:r>
      <w:r>
        <w:t xml:space="preserve"> </w:t>
      </w:r>
      <w:r>
        <w:t xml:space="preserve">| 018 | 日 (Sun) | 450 | 96 | 7 | 2 | 1 | 0 | 556 | 676 |</w:t>
      </w:r>
      <w:r>
        <w:t xml:space="preserve"> </w:t>
      </w:r>
      <w:r>
        <w:t xml:space="preserve">| 019 | 田 (Field) | 129 | 29 | 2 | 0 | 0 | 0 | 160 | 193 |</w:t>
      </w:r>
      <w:r>
        <w:t xml:space="preserve"> </w:t>
      </w:r>
      <w:r>
        <w:t xml:space="preserve">| 020 | 肉 (Flesh) | 580 | 119 | 12 | 2 | 1 | 3 | 717 | 888 |</w:t>
      </w:r>
    </w:p>
    <w:p>
      <w:pPr>
        <w:pStyle w:val="BodyText"/>
      </w:pPr>
      <w:r>
        <w:rPr>
          <w:iCs/>
          <w:i/>
          <w:bCs/>
          <w:b/>
        </w:rPr>
        <w:t xml:space="preserve">Butsuge-hon</w:t>
      </w:r>
      <w:r>
        <w:t xml:space="preserve"> </w:t>
      </w:r>
      <w:r>
        <w:rPr>
          <w:bCs/>
          <w:b/>
        </w:rPr>
        <w:t xml:space="preserve">(仏下本 – Lower</w:t>
      </w:r>
      <w:r>
        <w:rPr>
          <w:bCs/>
          <w:b/>
        </w:rPr>
        <w:t xml:space="preserve"> </w:t>
      </w:r>
      <w:r>
        <w:rPr>
          <w:bCs/>
          <w:b/>
        </w:rPr>
        <w:t xml:space="preserve">“</w:t>
      </w:r>
      <w:r>
        <w:rPr>
          <w:bCs/>
          <w:b/>
        </w:rPr>
        <w:t xml:space="preserve">Buddha</w:t>
      </w:r>
      <w:r>
        <w:rPr>
          <w:bCs/>
          <w:b/>
        </w:rPr>
        <w:t xml:space="preserve">”</w:t>
      </w:r>
      <w:r>
        <w:rPr>
          <w:bCs/>
          <w:b/>
        </w:rPr>
        <w:t xml:space="preserve"> </w:t>
      </w:r>
      <w:r>
        <w:rPr>
          <w:bCs/>
          <w:b/>
        </w:rPr>
        <w:t xml:space="preserve">Fascicle, First Part)</w:t>
      </w:r>
      <w:r>
        <w:t xml:space="preserve"> </w:t>
      </w:r>
      <w:r>
        <w:t xml:space="preserve">| No. | Radical | 1-char | 2-char | 3-char | 4-char | 5-char | 6+ char | No. of Entries | No. of Chars |</w:t>
      </w:r>
      <w:r>
        <w:t xml:space="preserve"> </w:t>
      </w:r>
      <w:r>
        <w:t xml:space="preserve">|—–|———|——-:|——-:|——-:|——-:|——-:|——–:|—————:|————-:|</w:t>
      </w:r>
      <w:r>
        <w:t xml:space="preserve"> </w:t>
      </w:r>
      <w:r>
        <w:t xml:space="preserve">| 021 | 舟 (Boat) | 86 | 16 | 1 | 1 | 0 | 0 | 104 | 125 |</w:t>
      </w:r>
      <w:r>
        <w:t xml:space="preserve"> </w:t>
      </w:r>
      <w:r>
        <w:t xml:space="preserve">| 022 | 骨 (Bone)| 96 | 18 | 3 | 0 | 0 | 0 | 117 | 141 |</w:t>
      </w:r>
      <w:r>
        <w:t xml:space="preserve"> </w:t>
      </w:r>
      <w:r>
        <w:t xml:space="preserve">| 023 | 角 (Horn) | 104 | 20 | 2 | 0 | 0 | 0 | 126 | 150 |</w:t>
      </w:r>
      <w:r>
        <w:t xml:space="preserve"> </w:t>
      </w:r>
      <w:r>
        <w:t xml:space="preserve">| 024 | 貝 (Shell) | 187 | 23 | 4 | 0 | 0 | 1 | 215 | 251 |</w:t>
      </w:r>
      <w:r>
        <w:t xml:space="preserve"> </w:t>
      </w:r>
      <w:r>
        <w:t xml:space="preserve">| 025 | 頁 (Head) | 230 | 54 | 2 | 0 | 0 | 1 | 287 | 352 |</w:t>
      </w:r>
      <w:r>
        <w:t xml:space="preserve"> </w:t>
      </w:r>
      <w:r>
        <w:t xml:space="preserve">| 026 | 彡 (Bristle) | 22 | 2 | 2 | 0 | 0 | 0 | 26 | 32 |</w:t>
      </w:r>
      <w:r>
        <w:t xml:space="preserve"> </w:t>
      </w:r>
      <w:r>
        <w:t xml:space="preserve">| 027 | 髟 (Hair) | 127 | 28 | 5 | 2 | 3 | 0 | 165 | 221 |</w:t>
      </w:r>
      <w:r>
        <w:t xml:space="preserve"> </w:t>
      </w:r>
      <w:r>
        <w:t xml:space="preserve">| 028 | 手 (Hand) | 886 | 220 | 37 | 3 | 2 | 1 | 1,149 | 1,467 |</w:t>
      </w:r>
      <w:r>
        <w:t xml:space="preserve"> </w:t>
      </w:r>
      <w:r>
        <w:t xml:space="preserve">| 029 | 木 (Tree) | 1,044 | 243 | 40 | 6 | 0 | 1 | 1,334 | 1,680 |</w:t>
      </w:r>
      <w:r>
        <w:t xml:space="preserve"> </w:t>
      </w:r>
      <w:r>
        <w:t xml:space="preserve">| 030 | 犬 (Dog) | 245 | 53 | 4 | 3 | 0 | 0 | 305 | 375 |</w:t>
      </w:r>
    </w:p>
    <w:p>
      <w:pPr>
        <w:pStyle w:val="BodyText"/>
      </w:pPr>
      <w:r>
        <w:rPr>
          <w:iCs/>
          <w:i/>
          <w:bCs/>
          <w:b/>
        </w:rPr>
        <w:t xml:space="preserve">Butsuge-matsu</w:t>
      </w:r>
      <w:r>
        <w:t xml:space="preserve"> </w:t>
      </w:r>
      <w:r>
        <w:rPr>
          <w:bCs/>
          <w:b/>
        </w:rPr>
        <w:t xml:space="preserve">(仏下末 – Lower</w:t>
      </w:r>
      <w:r>
        <w:rPr>
          <w:bCs/>
          <w:b/>
        </w:rPr>
        <w:t xml:space="preserve"> </w:t>
      </w:r>
      <w:r>
        <w:rPr>
          <w:bCs/>
          <w:b/>
        </w:rPr>
        <w:t xml:space="preserve">“</w:t>
      </w:r>
      <w:r>
        <w:rPr>
          <w:bCs/>
          <w:b/>
        </w:rPr>
        <w:t xml:space="preserve">Buddha</w:t>
      </w:r>
      <w:r>
        <w:rPr>
          <w:bCs/>
          <w:b/>
        </w:rPr>
        <w:t xml:space="preserve">”</w:t>
      </w:r>
      <w:r>
        <w:rPr>
          <w:bCs/>
          <w:b/>
        </w:rPr>
        <w:t xml:space="preserve"> </w:t>
      </w:r>
      <w:r>
        <w:rPr>
          <w:bCs/>
          <w:b/>
        </w:rPr>
        <w:t xml:space="preserve">Fascicle, Last Part)</w:t>
      </w:r>
      <w:r>
        <w:t xml:space="preserve"> </w:t>
      </w:r>
      <w:r>
        <w:t xml:space="preserve">| No. | Radical | 1-char | 2-char | 3-char | 4-char | 5-char | 6+ char | No. of Entries | No. of Chars |</w:t>
      </w:r>
      <w:r>
        <w:t xml:space="preserve"> </w:t>
      </w:r>
      <w:r>
        <w:t xml:space="preserve">|—–|———|——-:|——-:|——-:|——-:|——-:|——–:|—————:|————-:|</w:t>
      </w:r>
      <w:r>
        <w:t xml:space="preserve"> </w:t>
      </w:r>
      <w:r>
        <w:t xml:space="preserve">| 031 | 牛 (Cow) | 156 | 20 | 2 | 0 | 0 | 0 | 178 | 202 |</w:t>
      </w:r>
      <w:r>
        <w:t xml:space="preserve"> </w:t>
      </w:r>
      <w:r>
        <w:t xml:space="preserve">| 032 | 片 (Slice) | 56 | 9 | 0 | 0 | 0 | 0 | 65 | 74 |</w:t>
      </w:r>
      <w:r>
        <w:t xml:space="preserve"> </w:t>
      </w:r>
      <w:r>
        <w:t xml:space="preserve">| 033 | 豸 (Small Beast) | 116 | 14 | 0 | 0 | 0 | 0 | 130 | 144 |</w:t>
      </w:r>
      <w:r>
        <w:t xml:space="preserve"> </w:t>
      </w:r>
      <w:r>
        <w:t xml:space="preserve">| 034 | 乙 (Twisting stroke) | 22 | 10 | 0 | 0 | 0 | 0 | 32 | 42 |</w:t>
      </w:r>
      <w:r>
        <w:t xml:space="preserve"> </w:t>
      </w:r>
      <w:r>
        <w:t xml:space="preserve">| 035 | 儿 (Legs) | 156 | 52 | 10 | 3 | 0 | 0 | 221 | 302 |</w:t>
      </w:r>
      <w:r>
        <w:t xml:space="preserve"> </w:t>
      </w:r>
      <w:r>
        <w:t xml:space="preserve">| 036 | 𠬞 (Joined Hands) | 90 | 16 | 1 | 0 | 0 | 0 | 107 | 125 |</w:t>
      </w:r>
      <w:r>
        <w:t xml:space="preserve"> </w:t>
      </w:r>
      <w:r>
        <w:t xml:space="preserve">| 037 | 八 (Eight) | 77 | 26 | 1 | 5 | 0 | 0 | 109 | 152 |</w:t>
      </w:r>
      <w:r>
        <w:t xml:space="preserve"> </w:t>
      </w:r>
      <w:r>
        <w:t xml:space="preserve">| 038 | 大 (Big) | 119 | 19 | 3 | 0 | 0 | 0 | 141 | 166 |</w:t>
      </w:r>
      <w:r>
        <w:t xml:space="preserve"> </w:t>
      </w:r>
      <w:r>
        <w:t xml:space="preserve">| 039 | 火 (Fire) | 407 | 91 | 11 | 1 | 1 | 2 | 513 | 648 |</w:t>
      </w:r>
      <w:r>
        <w:t xml:space="preserve"> </w:t>
      </w:r>
      <w:r>
        <w:t xml:space="preserve">| 040 | 黒 (Black) | 88 | 7 | 0 | 0 | 0 | 1 | 96 | 108 |</w:t>
      </w:r>
    </w:p>
    <w:p>
      <w:pPr>
        <w:pStyle w:val="BodyText"/>
      </w:pPr>
      <w:r>
        <w:rPr>
          <w:iCs/>
          <w:i/>
          <w:bCs/>
          <w:b/>
        </w:rPr>
        <w:t xml:space="preserve">Hōjō</w:t>
      </w:r>
      <w:r>
        <w:t xml:space="preserve"> </w:t>
      </w:r>
      <w:r>
        <w:rPr>
          <w:bCs/>
          <w:b/>
        </w:rPr>
        <w:t xml:space="preserve">(法上 – Upper</w:t>
      </w:r>
      <w:r>
        <w:rPr>
          <w:bCs/>
          <w:b/>
        </w:rPr>
        <w:t xml:space="preserve"> </w:t>
      </w:r>
      <w:r>
        <w:rPr>
          <w:bCs/>
          <w:b/>
        </w:rPr>
        <w:t xml:space="preserve">“</w:t>
      </w:r>
      <w:r>
        <w:rPr>
          <w:bCs/>
          <w:b/>
        </w:rPr>
        <w:t xml:space="preserve">Dharma</w:t>
      </w:r>
      <w:r>
        <w:rPr>
          <w:bCs/>
          <w:b/>
        </w:rPr>
        <w:t xml:space="preserve">”</w:t>
      </w:r>
      <w:r>
        <w:rPr>
          <w:bCs/>
          <w:b/>
        </w:rPr>
        <w:t xml:space="preserve"> </w:t>
      </w:r>
      <w:r>
        <w:rPr>
          <w:bCs/>
          <w:b/>
        </w:rPr>
        <w:t xml:space="preserve">Fascicle)</w:t>
      </w:r>
      <w:r>
        <w:t xml:space="preserve"> </w:t>
      </w:r>
      <w:r>
        <w:t xml:space="preserve">| No. | Radical | 1-char | 2-char | 3-char | 4-char | 5-char | 6+ char | No. of Entries | No. of Chars |</w:t>
      </w:r>
      <w:r>
        <w:t xml:space="preserve"> </w:t>
      </w:r>
      <w:r>
        <w:t xml:space="preserve">|—–|———|——-:|——-:|——-:|——-:|——-:|——–:|—————:|————-:|</w:t>
      </w:r>
      <w:r>
        <w:t xml:space="preserve"> </w:t>
      </w:r>
      <w:r>
        <w:t xml:space="preserve">| 041 | 水 (Water) | 1,137 | 149 | 27 | 4 | 0 | 4 | 1,321 | 1,564 |</w:t>
      </w:r>
      <w:r>
        <w:t xml:space="preserve"> </w:t>
      </w:r>
      <w:r>
        <w:t xml:space="preserve">| 042 | 冫 (Ice) | 75 | 7 | 3 | 0 | 0 | 0 | 85 | 98 |</w:t>
      </w:r>
      <w:r>
        <w:t xml:space="preserve"> </w:t>
      </w:r>
      <w:r>
        <w:t xml:space="preserve">| 043 | 言 (Speech) | 615 | 74 | 9 | 0 | 1 | 0 | 699 | 795 |</w:t>
      </w:r>
      <w:r>
        <w:t xml:space="preserve"> </w:t>
      </w:r>
      <w:r>
        <w:t xml:space="preserve">| 044 | 足 (Foot) | 418 | 62 | 9 | 2 | 1 | 1 | 493 | 589 |</w:t>
      </w:r>
      <w:r>
        <w:t xml:space="preserve"> </w:t>
      </w:r>
      <w:r>
        <w:t xml:space="preserve">| 045 | 立 (Stand) | 79 | 17 | 0 | 0 | 0 | 0 | 96 | 113 |</w:t>
      </w:r>
      <w:r>
        <w:t xml:space="preserve"> </w:t>
      </w:r>
      <w:r>
        <w:t xml:space="preserve">| 046 | 豆 (Bean) | 62 | 19 | 4 | 0 | 0 | 0 | 85 | 112 |</w:t>
      </w:r>
      <w:r>
        <w:t xml:space="preserve"> </w:t>
      </w:r>
      <w:r>
        <w:t xml:space="preserve">| 047 | 卜 (Divination) | 97 | 26 | 1 | 0 | 0 | 0 | 124 | 152 |</w:t>
      </w:r>
      <w:r>
        <w:t xml:space="preserve"> </w:t>
      </w:r>
      <w:r>
        <w:t xml:space="preserve">| 048 | 面 (Face) | 47 | 6 | 1 | 0 | 0 | 0 | 54 | 62 |</w:t>
      </w:r>
      <w:r>
        <w:t xml:space="preserve"> </w:t>
      </w:r>
      <w:r>
        <w:t xml:space="preserve">| 049 | 齒 (Tooth) | 94 | 18 | 2 | 1 | 1 | 2 | 118 | 157 |</w:t>
      </w:r>
      <w:r>
        <w:t xml:space="preserve"> </w:t>
      </w:r>
      <w:r>
        <w:t xml:space="preserve">| 050 | 山 (Mountain) | 430 | 59 | 5 | 1 | 1 | 1 | 497 | 584 |</w:t>
      </w:r>
    </w:p>
    <w:p>
      <w:pPr>
        <w:pStyle w:val="BodyText"/>
      </w:pPr>
      <w:r>
        <w:rPr>
          <w:iCs/>
          <w:i/>
          <w:bCs/>
          <w:b/>
        </w:rPr>
        <w:t xml:space="preserve">Hōchū</w:t>
      </w:r>
      <w:r>
        <w:t xml:space="preserve"> </w:t>
      </w:r>
      <w:r>
        <w:rPr>
          <w:bCs/>
          <w:b/>
        </w:rPr>
        <w:t xml:space="preserve">(法中 – Middle</w:t>
      </w:r>
      <w:r>
        <w:rPr>
          <w:bCs/>
          <w:b/>
        </w:rPr>
        <w:t xml:space="preserve"> </w:t>
      </w:r>
      <w:r>
        <w:rPr>
          <w:bCs/>
          <w:b/>
        </w:rPr>
        <w:t xml:space="preserve">“</w:t>
      </w:r>
      <w:r>
        <w:rPr>
          <w:bCs/>
          <w:b/>
        </w:rPr>
        <w:t xml:space="preserve">Dharma</w:t>
      </w:r>
      <w:r>
        <w:rPr>
          <w:bCs/>
          <w:b/>
        </w:rPr>
        <w:t xml:space="preserve">”</w:t>
      </w:r>
      <w:r>
        <w:rPr>
          <w:bCs/>
          <w:b/>
        </w:rPr>
        <w:t xml:space="preserve"> </w:t>
      </w:r>
      <w:r>
        <w:rPr>
          <w:bCs/>
          <w:b/>
        </w:rPr>
        <w:t xml:space="preserve">Fascicle)</w:t>
      </w:r>
      <w:r>
        <w:t xml:space="preserve"> </w:t>
      </w:r>
      <w:r>
        <w:t xml:space="preserve">| No. | Radical | 1-char | 2-char | 3-char | 4-char | 5-char | 6+ char | No. of Entries | No. of Chars |</w:t>
      </w:r>
      <w:r>
        <w:t xml:space="preserve"> </w:t>
      </w:r>
      <w:r>
        <w:t xml:space="preserve">|—–|———|——-:|——-:|——-:|——-:|——-:|——–:|—————:|————-:|</w:t>
      </w:r>
      <w:r>
        <w:t xml:space="preserve"> </w:t>
      </w:r>
      <w:r>
        <w:t xml:space="preserve">| 051 | 石 (Stone) | 307 | 56 | 6 | 3 | 0 | 4 | 376 | 472 |</w:t>
      </w:r>
      <w:r>
        <w:t xml:space="preserve"> </w:t>
      </w:r>
      <w:r>
        <w:t xml:space="preserve">| 052 | 玉 (Jade) | 294 | 76 | 8 | 1 | 3 | 1 | 383 | 496 |</w:t>
      </w:r>
      <w:r>
        <w:t xml:space="preserve"> </w:t>
      </w:r>
      <w:r>
        <w:t xml:space="preserve">| 053 | 色 (Colour) | 23 | 7 | 0 | 0 | 0 | 0 | 30 | 37 |</w:t>
      </w:r>
      <w:r>
        <w:t xml:space="preserve"> </w:t>
      </w:r>
      <w:r>
        <w:t xml:space="preserve">| 054 | 邑 (Town/City) | 306 | 13 | 5 | 3 | 0 | 0 | 327 | 359 |</w:t>
      </w:r>
      <w:r>
        <w:t xml:space="preserve"> </w:t>
      </w:r>
      <w:r>
        <w:t xml:space="preserve">| 055 | 阜 (Mound) | 235 | 40 | 3 | 0 | 1 | 0 | 279 | 329 |</w:t>
      </w:r>
      <w:r>
        <w:t xml:space="preserve"> </w:t>
      </w:r>
      <w:r>
        <w:t xml:space="preserve">| 056 | 土 (Earth) | 496 | 77 | 5 | 4 | 1 | 2 | 585 | 700 |</w:t>
      </w:r>
      <w:r>
        <w:t xml:space="preserve"> </w:t>
      </w:r>
      <w:r>
        <w:t xml:space="preserve">| 057 | 心 (Heart) | 730 | 161 | 13 | 1 | 2 | 1 | 908 | 1,111 |</w:t>
      </w:r>
      <w:r>
        <w:t xml:space="preserve"> </w:t>
      </w:r>
      <w:r>
        <w:t xml:space="preserve">| 058 | 巾 (Cloth) | 212 | 42 | 7 | 0 | 0 | 0 | 261 | 317 |</w:t>
      </w:r>
      <w:r>
        <w:t xml:space="preserve"> </w:t>
      </w:r>
      <w:r>
        <w:t xml:space="preserve">| 059 | 糸 (Silk) | 631 | 94 | 8 | 3 | 0 | 0 | 736 | 855 |</w:t>
      </w:r>
      <w:r>
        <w:t xml:space="preserve"> </w:t>
      </w:r>
      <w:r>
        <w:t xml:space="preserve">| 060 | 衣 (Clothes) | 389 | 56 | 6 | 0 | 0 | 0 | 451 | 519 |</w:t>
      </w:r>
    </w:p>
    <w:p>
      <w:pPr>
        <w:pStyle w:val="BodyText"/>
      </w:pPr>
      <w:r>
        <w:rPr>
          <w:iCs/>
          <w:i/>
          <w:bCs/>
          <w:b/>
        </w:rPr>
        <w:t xml:space="preserve">Hōge</w:t>
      </w:r>
      <w:r>
        <w:t xml:space="preserve"> </w:t>
      </w:r>
      <w:r>
        <w:rPr>
          <w:bCs/>
          <w:b/>
        </w:rPr>
        <w:t xml:space="preserve">(法下 – Lower</w:t>
      </w:r>
      <w:r>
        <w:rPr>
          <w:bCs/>
          <w:b/>
        </w:rPr>
        <w:t xml:space="preserve"> </w:t>
      </w:r>
      <w:r>
        <w:rPr>
          <w:bCs/>
          <w:b/>
        </w:rPr>
        <w:t xml:space="preserve">“</w:t>
      </w:r>
      <w:r>
        <w:rPr>
          <w:bCs/>
          <w:b/>
        </w:rPr>
        <w:t xml:space="preserve">Dharma</w:t>
      </w:r>
      <w:r>
        <w:rPr>
          <w:bCs/>
          <w:b/>
        </w:rPr>
        <w:t xml:space="preserve">”</w:t>
      </w:r>
      <w:r>
        <w:rPr>
          <w:bCs/>
          <w:b/>
        </w:rPr>
        <w:t xml:space="preserve"> </w:t>
      </w:r>
      <w:r>
        <w:rPr>
          <w:bCs/>
          <w:b/>
        </w:rPr>
        <w:t xml:space="preserve">Fascicle)</w:t>
      </w:r>
      <w:r>
        <w:t xml:space="preserve"> </w:t>
      </w:r>
      <w:r>
        <w:t xml:space="preserve">| No. | Radical | 1-char | 2-char | 3-char | 4-char | 5-char | 6+ char | No. of Entries | No. of Chars |</w:t>
      </w:r>
      <w:r>
        <w:t xml:space="preserve"> </w:t>
      </w:r>
      <w:r>
        <w:t xml:space="preserve">|—–|———|——-:|——-:|——-:|——-:|——-:|——–:|—————:|————-:|</w:t>
      </w:r>
      <w:r>
        <w:t xml:space="preserve"> </w:t>
      </w:r>
      <w:r>
        <w:t xml:space="preserve">| 061 | 示 (Altar/Display) | 198 | 27 | 6 | 0 | 1 | 0 | 232 | 275 |</w:t>
      </w:r>
      <w:r>
        <w:t xml:space="preserve"> </w:t>
      </w:r>
      <w:r>
        <w:t xml:space="preserve">| 062 | 禾 (Grain Stalk) | 454 | 53 | 5 | 3 | 0 | 1 | 516 | 593 |</w:t>
      </w:r>
      <w:r>
        <w:t xml:space="preserve"> </w:t>
      </w:r>
      <w:r>
        <w:t xml:space="preserve">| 063 | 米 (Rice) | 194 | 42 | 9 | 1 | 1 | 1 | 248 | 321 |</w:t>
      </w:r>
      <w:r>
        <w:t xml:space="preserve"> </w:t>
      </w:r>
      <w:r>
        <w:t xml:space="preserve">| 064 | 丶 (Dot) | 79 | 39 | 4 | 0 | 0 | 0 | 122 | 169 |</w:t>
      </w:r>
      <w:r>
        <w:t xml:space="preserve"> </w:t>
      </w:r>
      <w:r>
        <w:t xml:space="preserve">| 065 | 宀 (Roof) | 215 | 81 | 10 | 0 | 0 | 1 | 307 | 415 |</w:t>
      </w:r>
      <w:r>
        <w:t xml:space="preserve"> </w:t>
      </w:r>
      <w:r>
        <w:t xml:space="preserve">| 066 | 勹 (Wrap) | 29 | 4 | 0 | 0 | 0 | 0 | 33 | 37 |</w:t>
      </w:r>
      <w:r>
        <w:t xml:space="preserve"> </w:t>
      </w:r>
      <w:r>
        <w:t xml:space="preserve">| 067 | 穴 (Cave) | 162 | 27 | 2 | 0 | 0 | 0 | 191 | 222 |</w:t>
      </w:r>
      <w:r>
        <w:t xml:space="preserve"> </w:t>
      </w:r>
      <w:r>
        <w:t xml:space="preserve">| 068 | 雨 (Rain) | 177 | 43 | 6 | 1 | 1 | 0 | 228 | 290 |</w:t>
      </w:r>
      <w:r>
        <w:t xml:space="preserve"> </w:t>
      </w:r>
      <w:r>
        <w:t xml:space="preserve">| 069 | 門 (Gate) | 208 | 40 | 3 | 0 | 0 | 1 | 252 | 306 |</w:t>
      </w:r>
      <w:r>
        <w:t xml:space="preserve"> </w:t>
      </w:r>
      <w:r>
        <w:t xml:space="preserve">| 070 | 囗 (Enclosure) | 67 | 18 | 1 | 0 | 0 | 0 | 86 | 106 |</w:t>
      </w:r>
      <w:r>
        <w:t xml:space="preserve"> </w:t>
      </w:r>
      <w:r>
        <w:t xml:space="preserve">| 071 | 尸 (Corpse) | 149 | 34 | 7 | 2 | 0 | 2 | 194 | 260 |</w:t>
      </w:r>
      <w:r>
        <w:t xml:space="preserve"> </w:t>
      </w:r>
      <w:r>
        <w:t xml:space="preserve">| 072 | 虍 (Tiger) | 67 | 14 | 7 | 1 | 0 | 1 | 90 | 127 |</w:t>
      </w:r>
      <w:r>
        <w:t xml:space="preserve"> </w:t>
      </w:r>
      <w:r>
        <w:t xml:space="preserve">| 073 | 广 (Shelter) | 233 | 59 | 12 | 0 | 1 | 0 | 305 | 392 |</w:t>
      </w:r>
      <w:r>
        <w:t xml:space="preserve"> </w:t>
      </w:r>
      <w:r>
        <w:t xml:space="preserve">| 074 | 鹿 (Deer) | 33 | 18 | 6 | 1 | 0 | 0 | 58 | 91 |</w:t>
      </w:r>
      <w:r>
        <w:t xml:space="preserve"> </w:t>
      </w:r>
      <w:r>
        <w:t xml:space="preserve">| 075 | 疒 (Sickness) | 234 | 138 | 23 | 1 | 1 | 2 | 399 | 603 |</w:t>
      </w:r>
      <w:r>
        <w:t xml:space="preserve"> </w:t>
      </w:r>
      <w:r>
        <w:t xml:space="preserve">| 076 | 歹 (Death) | 121 | 59 | 9 | 0 | 0 | 0 | 189 | 266 |</w:t>
      </w:r>
      <w:r>
        <w:t xml:space="preserve"> </w:t>
      </w:r>
      <w:r>
        <w:t xml:space="preserve">| 077 | 子 (Child) | 44 | 26 | 24 | 0 | 0 | 0 | 94 | 168 |</w:t>
      </w:r>
      <w:r>
        <w:t xml:space="preserve"> </w:t>
      </w:r>
      <w:r>
        <w:t xml:space="preserve">| 078 | 斗 (Dipper) | 22 | 9 | 0 | 0 | 0 | 0 | 31 | 40 |</w:t>
      </w:r>
      <w:r>
        <w:t xml:space="preserve"> </w:t>
      </w:r>
      <w:r>
        <w:t xml:space="preserve">| 079 | 倝 (Rising Sun) | 17 | 6 | 0 | 0 | 0 | 0 | 23 | 29 |</w:t>
      </w:r>
      <w:r>
        <w:t xml:space="preserve"> </w:t>
      </w:r>
      <w:r>
        <w:t xml:space="preserve">| 080 | 寸 (Inch) | 18 | 23 | 0 | 0 | 0 | 0 | 41 | 64 |</w:t>
      </w:r>
    </w:p>
    <w:p>
      <w:pPr>
        <w:pStyle w:val="BodyText"/>
      </w:pPr>
      <w:r>
        <w:rPr>
          <w:iCs/>
          <w:i/>
          <w:bCs/>
          <w:b/>
        </w:rPr>
        <w:t xml:space="preserve">Sōjō</w:t>
      </w:r>
      <w:r>
        <w:t xml:space="preserve"> </w:t>
      </w:r>
      <w:r>
        <w:rPr>
          <w:bCs/>
          <w:b/>
        </w:rPr>
        <w:t xml:space="preserve">(僧上 – Upper</w:t>
      </w:r>
      <w:r>
        <w:rPr>
          <w:bCs/>
          <w:b/>
        </w:rPr>
        <w:t xml:space="preserve"> </w:t>
      </w:r>
      <w:r>
        <w:rPr>
          <w:bCs/>
          <w:b/>
        </w:rPr>
        <w:t xml:space="preserve">“</w:t>
      </w:r>
      <w:r>
        <w:rPr>
          <w:bCs/>
          <w:b/>
        </w:rPr>
        <w:t xml:space="preserve">Sangha</w:t>
      </w:r>
      <w:r>
        <w:rPr>
          <w:bCs/>
          <w:b/>
        </w:rPr>
        <w:t xml:space="preserve">”</w:t>
      </w:r>
      <w:r>
        <w:rPr>
          <w:bCs/>
          <w:b/>
        </w:rPr>
        <w:t xml:space="preserve"> </w:t>
      </w:r>
      <w:r>
        <w:rPr>
          <w:bCs/>
          <w:b/>
        </w:rPr>
        <w:t xml:space="preserve">Fascicle)</w:t>
      </w:r>
      <w:r>
        <w:t xml:space="preserve"> </w:t>
      </w:r>
      <w:r>
        <w:t xml:space="preserve">| No. | Radical | 1-char | 2-char | 3-char | 4-char | 5-char | 6+ char | No. of Entries | No. of Chars |</w:t>
      </w:r>
      <w:r>
        <w:t xml:space="preserve"> </w:t>
      </w:r>
      <w:r>
        <w:t xml:space="preserve">|—–|———|——-:|——-:|——-:|——-:|——-:|——–:|—————:|————-:|</w:t>
      </w:r>
      <w:r>
        <w:t xml:space="preserve"> </w:t>
      </w:r>
      <w:r>
        <w:t xml:space="preserve">| 081 | 艸 (Grass) | 986 | 513 | 95 | 10 | 4 | 1 | 1,609 | 2,363 |</w:t>
      </w:r>
      <w:r>
        <w:t xml:space="preserve"> </w:t>
      </w:r>
      <w:r>
        <w:t xml:space="preserve">| 082 | 竹 (Bomboo) | 300 | 159 | 30 | 1 | 2 | 0 | 492 | 722 |</w:t>
      </w:r>
      <w:r>
        <w:t xml:space="preserve"> </w:t>
      </w:r>
      <w:r>
        <w:t xml:space="preserve">| 083 | 力 (Power) | 73 | 30 | 2 | 0 | 0 | 0 | 105 | 139 |</w:t>
      </w:r>
      <w:r>
        <w:t xml:space="preserve"> </w:t>
      </w:r>
      <w:r>
        <w:t xml:space="preserve">| 084 | 刀 (Sword) | 151 | 79 | 9 | 1 | 0 | 0 | 240 | 340 |</w:t>
      </w:r>
      <w:r>
        <w:t xml:space="preserve"> </w:t>
      </w:r>
      <w:r>
        <w:t xml:space="preserve">| 085 | 羽 (Feather) | 68 | 30 | 5 | 1 | 0 | 0 | 104 | 147 |</w:t>
      </w:r>
      <w:r>
        <w:t xml:space="preserve"> </w:t>
      </w:r>
      <w:r>
        <w:t xml:space="preserve">| 086 | 毛 (Fur) | 59 | 30 | 8 | 4 | 0 | 2 | 103 | 173 |</w:t>
      </w:r>
      <w:r>
        <w:t xml:space="preserve"> </w:t>
      </w:r>
      <w:r>
        <w:t xml:space="preserve">| 087 | 食 (Eat) | 120 | 73 | 17 | 1 | 0 | 2 | 213 | 333 |</w:t>
      </w:r>
      <w:r>
        <w:t xml:space="preserve"> </w:t>
      </w:r>
      <w:r>
        <w:t xml:space="preserve">| 088 | 金 (Metal) | 469 | 186 | 19 | 6 | 0 | 0 | 680 | 922 |</w:t>
      </w:r>
    </w:p>
    <w:p>
      <w:pPr>
        <w:pStyle w:val="BodyText"/>
      </w:pPr>
      <w:r>
        <w:rPr>
          <w:iCs/>
          <w:i/>
          <w:bCs/>
          <w:b/>
        </w:rPr>
        <w:t xml:space="preserve">Sōchū</w:t>
      </w:r>
      <w:r>
        <w:t xml:space="preserve"> </w:t>
      </w:r>
      <w:r>
        <w:rPr>
          <w:bCs/>
          <w:b/>
        </w:rPr>
        <w:t xml:space="preserve">(僧中 – Middle</w:t>
      </w:r>
      <w:r>
        <w:rPr>
          <w:bCs/>
          <w:b/>
        </w:rPr>
        <w:t xml:space="preserve"> </w:t>
      </w:r>
      <w:r>
        <w:rPr>
          <w:bCs/>
          <w:b/>
        </w:rPr>
        <w:t xml:space="preserve">“</w:t>
      </w:r>
      <w:r>
        <w:rPr>
          <w:bCs/>
          <w:b/>
        </w:rPr>
        <w:t xml:space="preserve">Sangha</w:t>
      </w:r>
      <w:r>
        <w:rPr>
          <w:bCs/>
          <w:b/>
        </w:rPr>
        <w:t xml:space="preserve">”</w:t>
      </w:r>
      <w:r>
        <w:rPr>
          <w:bCs/>
          <w:b/>
        </w:rPr>
        <w:t xml:space="preserve"> </w:t>
      </w:r>
      <w:r>
        <w:rPr>
          <w:bCs/>
          <w:b/>
        </w:rPr>
        <w:t xml:space="preserve">Fascicle)</w:t>
      </w:r>
      <w:r>
        <w:t xml:space="preserve"> </w:t>
      </w:r>
      <w:r>
        <w:t xml:space="preserve">| No. | Radical | 1-char | 2-char | 3-char | 4-char | 5-char | 6+ char | No. of Entries | No. of Chars |</w:t>
      </w:r>
      <w:r>
        <w:t xml:space="preserve"> </w:t>
      </w:r>
      <w:r>
        <w:t xml:space="preserve">|—–|———|——-:|——-:|——-:|——-:|——-:|——–:|—————:|————-:|</w:t>
      </w:r>
      <w:r>
        <w:t xml:space="preserve"> </w:t>
      </w:r>
      <w:r>
        <w:t xml:space="preserve">| 089 | 亼 (Assemble) | 49 | 31 | 0 | 1 | 0 | 0 | 81 | 115 |</w:t>
      </w:r>
      <w:r>
        <w:t xml:space="preserve"> </w:t>
      </w:r>
      <w:r>
        <w:t xml:space="preserve">| 090 | 爪 (Claw) | 34 | 18 | 1 | 0 | 1 | 0 | 54 | 78 |</w:t>
      </w:r>
      <w:r>
        <w:t xml:space="preserve"> </w:t>
      </w:r>
      <w:r>
        <w:t xml:space="preserve">| 091 | 网 (Net) | 73 | 39 | 8 | 1 | 0 | 1 | 122 | 188 |</w:t>
      </w:r>
      <w:r>
        <w:t xml:space="preserve"> </w:t>
      </w:r>
      <w:r>
        <w:t xml:space="preserve">| 092 | 皿 (Dish) | 73 | 37 | 4 | 1 | 0 | 0 | 115 | 163 |</w:t>
      </w:r>
      <w:r>
        <w:t xml:space="preserve"> </w:t>
      </w:r>
      <w:r>
        <w:t xml:space="preserve">| 093 | 瓦 (Tile) | 73 | 39 | 7 | 1 | 0 | 0 | 120 | 176 |</w:t>
      </w:r>
      <w:r>
        <w:t xml:space="preserve"> </w:t>
      </w:r>
      <w:r>
        <w:t xml:space="preserve">| 094 | 缶 (Can) | 35 | 6 | 0 | 0 | 0 | 0 | 41 | 47 |</w:t>
      </w:r>
      <w:r>
        <w:t xml:space="preserve"> </w:t>
      </w:r>
      <w:r>
        <w:t xml:space="preserve">| 095 | 弓 (Bow) | 61 | 32 | 7 | 1 | 0 | 0 | 101 | 150 |</w:t>
      </w:r>
      <w:r>
        <w:t xml:space="preserve"> </w:t>
      </w:r>
      <w:r>
        <w:t xml:space="preserve">| 096 | 㫃 (Fluttering Flags) | 54 | 18 | 1 | 0 | 0 | 0 | 73 | 93 |</w:t>
      </w:r>
      <w:r>
        <w:t xml:space="preserve"> </w:t>
      </w:r>
      <w:r>
        <w:t xml:space="preserve">| 097 | 矢 (Arrow) | 30 | 6 | 1 | 0 | 0 | 0 | 37 | 45 |</w:t>
      </w:r>
      <w:r>
        <w:t xml:space="preserve"> </w:t>
      </w:r>
      <w:r>
        <w:t xml:space="preserve">| 098 | 斤 (Axe) | 48 | 10 | 0 | 1 | 0 | 0 | 59 | 72 |</w:t>
      </w:r>
      <w:r>
        <w:t xml:space="preserve"> </w:t>
      </w:r>
      <w:r>
        <w:t xml:space="preserve">| 099 | 矛 (Spear) | 25 | 14 | 0 | 0 | 0 | 0 | 39 | 53 |</w:t>
      </w:r>
      <w:r>
        <w:t xml:space="preserve"> </w:t>
      </w:r>
      <w:r>
        <w:t xml:space="preserve">| 100 | 戈 (Halberd) | 93 | 31 | 2 | 2 | 0 | 1 | 129 | 175 |</w:t>
      </w:r>
      <w:r>
        <w:t xml:space="preserve"> </w:t>
      </w:r>
      <w:r>
        <w:t xml:space="preserve">| 101 | 欠 (Yawn) | 87 | 32 | 3 | 1 | 0 | 0 | 123 | 164 |</w:t>
      </w:r>
      <w:r>
        <w:t xml:space="preserve"> </w:t>
      </w:r>
      <w:r>
        <w:t xml:space="preserve">| 102 | 又 (Right Hand) | 50 | 30 | 5 | 0 | 0 | 0 | 85 | 125 |</w:t>
      </w:r>
      <w:r>
        <w:t xml:space="preserve"> </w:t>
      </w:r>
      <w:r>
        <w:t xml:space="preserve">| 103 | 攴 (Strike) | 157 | 58 | 8 | 2 | 0 | 0 | 225 | 305 |</w:t>
      </w:r>
      <w:r>
        <w:t xml:space="preserve"> </w:t>
      </w:r>
      <w:r>
        <w:t xml:space="preserve">| 104 | 殳 (Weapon) | 62 | 15 | 4 | 0 | 0 | 0 | 81 | 104 |</w:t>
      </w:r>
      <w:r>
        <w:t xml:space="preserve"> </w:t>
      </w:r>
      <w:r>
        <w:t xml:space="preserve">| 105 | 皮 (Skin) | 54 | 32 | 2 | 0 | 0 | 1 | 89 | 130 |</w:t>
      </w:r>
      <w:r>
        <w:t xml:space="preserve"> </w:t>
      </w:r>
      <w:r>
        <w:t xml:space="preserve">| 106 | 革 (Leather) | 134 | 70 | 14 | 0 | 1 | 1 | 220 | 328 |</w:t>
      </w:r>
      <w:r>
        <w:t xml:space="preserve"> </w:t>
      </w:r>
      <w:r>
        <w:t xml:space="preserve">| 107 | 韋 (Tanned Leather) | 34 | 19 | 1 | 0 | 0 | 0 | 54 | 75 |</w:t>
      </w:r>
      <w:r>
        <w:t xml:space="preserve"> </w:t>
      </w:r>
      <w:r>
        <w:t xml:space="preserve">| 108 | 車 (Cart) | 147 | 74 | 8 | 4 | 0 | 0 | 233 | 335 |</w:t>
      </w:r>
      <w:r>
        <w:t xml:space="preserve"> </w:t>
      </w:r>
      <w:r>
        <w:t xml:space="preserve">| 109 | 羊 (Sheep) | 47 | 25 | 6 | 1 | 0 | 0 | 79 | 119 |</w:t>
      </w:r>
      <w:r>
        <w:t xml:space="preserve"> </w:t>
      </w:r>
      <w:r>
        <w:t xml:space="preserve">| 110 | 馬 (Horse) | 188 | 87 | 14 | 1 | 1 | 1 | 292 | 419 |</w:t>
      </w:r>
      <w:r>
        <w:t xml:space="preserve"> </w:t>
      </w:r>
      <w:r>
        <w:t xml:space="preserve">| 111 | 鳥 (Bird) | 307 | 184 | 35 | 6 | 1 | 0 | 533 | 809 |</w:t>
      </w:r>
      <w:r>
        <w:t xml:space="preserve"> </w:t>
      </w:r>
      <w:r>
        <w:t xml:space="preserve">| 112 | 隹 (Short-tailed Bird) | 59 | 32 | 2 | 0 | 0 | 0 | 93 | 129 |</w:t>
      </w:r>
    </w:p>
    <w:p>
      <w:pPr>
        <w:pStyle w:val="BodyText"/>
      </w:pPr>
      <w:r>
        <w:rPr>
          <w:iCs/>
          <w:i/>
          <w:bCs/>
          <w:b/>
        </w:rPr>
        <w:t xml:space="preserve">Sōge</w:t>
      </w:r>
      <w:r>
        <w:t xml:space="preserve"> </w:t>
      </w:r>
      <w:r>
        <w:rPr>
          <w:bCs/>
          <w:b/>
        </w:rPr>
        <w:t xml:space="preserve">(僧下 – Lower</w:t>
      </w:r>
      <w:r>
        <w:rPr>
          <w:bCs/>
          <w:b/>
        </w:rPr>
        <w:t xml:space="preserve"> </w:t>
      </w:r>
      <w:r>
        <w:rPr>
          <w:bCs/>
          <w:b/>
        </w:rPr>
        <w:t xml:space="preserve">“</w:t>
      </w:r>
      <w:r>
        <w:rPr>
          <w:bCs/>
          <w:b/>
        </w:rPr>
        <w:t xml:space="preserve">Sangha</w:t>
      </w:r>
      <w:r>
        <w:rPr>
          <w:bCs/>
          <w:b/>
        </w:rPr>
        <w:t xml:space="preserve">”</w:t>
      </w:r>
      <w:r>
        <w:rPr>
          <w:bCs/>
          <w:b/>
        </w:rPr>
        <w:t xml:space="preserve"> </w:t>
      </w:r>
      <w:r>
        <w:rPr>
          <w:bCs/>
          <w:b/>
        </w:rPr>
        <w:t xml:space="preserve">Fascicle)</w:t>
      </w:r>
      <w:r>
        <w:t xml:space="preserve"> </w:t>
      </w:r>
      <w:r>
        <w:t xml:space="preserve">| No. | Radical | 1-char | 2-char | 3-char | 4-char | 5-char | 6+ char | No. of Entries | No. of Chars |</w:t>
      </w:r>
      <w:r>
        <w:t xml:space="preserve"> </w:t>
      </w:r>
      <w:r>
        <w:t xml:space="preserve">|—–|———|——-:|——-:|——-:|——-:|——-:|——–:|—————:|————-:|</w:t>
      </w:r>
      <w:r>
        <w:t xml:space="preserve"> </w:t>
      </w:r>
      <w:r>
        <w:t xml:space="preserve">| 113 | 魚 (Fish) | 232 | 104 | 41 | 2 | 0 | 0 | 379 | 571 |</w:t>
      </w:r>
      <w:r>
        <w:t xml:space="preserve"> </w:t>
      </w:r>
      <w:r>
        <w:t xml:space="preserve">| 114 | 虫 (Insect) | 365 | 257 | 27 | 9 | 1 | 5 | 664 | 1,041 |</w:t>
      </w:r>
      <w:r>
        <w:t xml:space="preserve"> </w:t>
      </w:r>
      <w:r>
        <w:t xml:space="preserve">| 115 | 鼠 (Rat) | 34 | 20 | 6 | 1 | 0 | 0 | 61 | 96 |</w:t>
      </w:r>
      <w:r>
        <w:t xml:space="preserve"> </w:t>
      </w:r>
      <w:r>
        <w:t xml:space="preserve">| 116 | 龜 (Turtle) | 23 | 13 | 4 | 0 | 0 | 0 | 40 | 61 |</w:t>
      </w:r>
      <w:r>
        <w:t xml:space="preserve"> </w:t>
      </w:r>
      <w:r>
        <w:t xml:space="preserve">| 117 | 鬼 (Ghost) | 51 | 18 | 1 | 2 | 1 | 2 | 75 | 121 |</w:t>
      </w:r>
      <w:r>
        <w:t xml:space="preserve"> </w:t>
      </w:r>
      <w:r>
        <w:t xml:space="preserve">| 118 | 風 (Wind) | 70 | 32 | 6 | 2 | 0 | 0 | 110 | 160 |</w:t>
      </w:r>
      <w:r>
        <w:t xml:space="preserve"> </w:t>
      </w:r>
      <w:r>
        <w:t xml:space="preserve">| 119 | 酉 (Wine) | 146 | 53 | 9 | 0 | 0 | 1 | 209 | 289 |</w:t>
      </w:r>
      <w:r>
        <w:t xml:space="preserve"> </w:t>
      </w:r>
      <w:r>
        <w:t xml:space="preserve">| 120 | 雑 (Miscellaneous) | 1,075 | 332 | 73 | 14 | 4 | 3 | 1,501 | 2,057 |</w:t>
      </w:r>
    </w:p>
    <w:p>
      <w:pPr>
        <w:pStyle w:val="BodyText"/>
      </w:pPr>
      <w:r>
        <w:rPr>
          <w:bCs/>
          <w:b/>
        </w:rPr>
        <w:t xml:space="preserve">Overall Total</w:t>
      </w:r>
      <w:r>
        <w:t xml:space="preserve"> </w:t>
      </w:r>
      <w:r>
        <w:t xml:space="preserve">| |</w:t>
      </w:r>
      <w:r>
        <w:t xml:space="preserve"> </w:t>
      </w:r>
      <w:r>
        <w:rPr>
          <w:bCs/>
          <w:b/>
        </w:rPr>
        <w:t xml:space="preserve">Total</w:t>
      </w:r>
      <w:r>
        <w:t xml:space="preserve"> </w:t>
      </w:r>
      <w:r>
        <w:t xml:space="preserve">| 1-char | 2-char | 3-char | 4-char | 5-char | 6+ char | No. of Entries | No. of Chars |</w:t>
      </w:r>
      <w:r>
        <w:t xml:space="preserve"> </w:t>
      </w:r>
      <w:r>
        <w:t xml:space="preserve">|—–|———|——-:|——-:|——-:|——-:|——-:|——–:|—————:|————-:|</w:t>
      </w:r>
      <w:r>
        <w:t xml:space="preserve"> </w:t>
      </w:r>
      <w:r>
        <w:t xml:space="preserve">| | | 24,681 | 6,670 | 977 | 167 | 50 | 65 | 32,610 | 42,344 |</w:t>
      </w:r>
    </w:p>
    <w:bookmarkEnd w:id="500"/>
    <w:bookmarkStart w:id="501" w:name="X71251ef5a69bbc8066399aa3ee590afc201c18b"/>
    <w:p>
      <w:pPr>
        <w:pStyle w:val="Heading3"/>
      </w:pPr>
      <w:r>
        <w:rPr>
          <w:rStyle w:val="SectionNumber"/>
        </w:rPr>
        <w:t xml:space="preserve">21.6.14</w:t>
      </w:r>
      <w:r>
        <w:tab/>
      </w:r>
      <w:r>
        <w:t xml:space="preserve">Addendum</w:t>
      </w:r>
    </w:p>
    <w:p>
      <w:pPr>
        <w:pStyle w:val="FirstParagraph"/>
      </w:pPr>
      <w:r>
        <w:t xml:space="preserve">Regarding</w:t>
      </w:r>
      <w:r>
        <w:t xml:space="preserve"> </w:t>
      </w:r>
      <w:r>
        <w:rPr>
          <w:rStyle w:val="VerbatimChar"/>
        </w:rPr>
        <w:t xml:space="preserve">K10108221</w:t>
      </w:r>
      <w:r>
        <w:t xml:space="preserve"> </w:t>
      </w:r>
      <w:r>
        <w:t xml:space="preserve">‘</w:t>
      </w:r>
      <w:r>
        <w:t xml:space="preserve">陟厘</w:t>
      </w:r>
      <w:r>
        <w:t xml:space="preserve">’</w:t>
      </w:r>
      <w:r>
        <w:t xml:space="preserve">:</w:t>
      </w:r>
    </w:p>
    <w:p>
      <w:pPr>
        <w:pStyle w:val="BodyText"/>
      </w:pPr>
      <w:r>
        <w:t xml:space="preserve">The Kanchi-in manuscript presents</w:t>
      </w:r>
      <w:r>
        <w:t xml:space="preserve"> </w:t>
      </w:r>
      <w:r>
        <w:t xml:space="preserve">‘</w:t>
      </w:r>
      <w:r>
        <w:t xml:space="preserve">⿱陟厘</w:t>
      </w:r>
      <w:r>
        <w:t xml:space="preserve">’</w:t>
      </w:r>
      <w:r>
        <w:t xml:space="preserve"> </w:t>
      </w:r>
      <w:r>
        <w:t xml:space="preserve">(a ligature-like form combining</w:t>
      </w:r>
      <w:r>
        <w:t xml:space="preserve"> </w:t>
      </w:r>
      <w:r>
        <w:t xml:space="preserve">‘</w:t>
      </w:r>
      <w:r>
        <w:t xml:space="preserve">陟</w:t>
      </w:r>
      <w:r>
        <w:t xml:space="preserve">’</w:t>
      </w:r>
      <w:r>
        <w:t xml:space="preserve"> </w:t>
      </w:r>
      <w:r>
        <w:t xml:space="preserve">and</w:t>
      </w:r>
      <w:r>
        <w:t xml:space="preserve"> </w:t>
      </w:r>
      <w:r>
        <w:t xml:space="preserve">‘</w:t>
      </w:r>
      <w:r>
        <w:t xml:space="preserve">厘</w:t>
      </w:r>
      <w:r>
        <w:t xml:space="preserve">’</w:t>
      </w:r>
      <w:r>
        <w:t xml:space="preserve">) as a single character, and Masamune’s Index and Kusakawa’s</w:t>
      </w:r>
      <w:r>
        <w:t xml:space="preserve"> </w:t>
      </w:r>
      <w:r>
        <w:rPr>
          <w:iCs/>
          <w:i/>
        </w:rPr>
        <w:t xml:space="preserve">Wakun Shūsei</w:t>
      </w:r>
      <w:r>
        <w:t xml:space="preserve"> </w:t>
      </w:r>
      <w:r>
        <w:t xml:space="preserve">follow this interpretation.</w:t>
      </w:r>
      <w:r>
        <w:t xml:space="preserve"> </w:t>
      </w:r>
      <w:r>
        <w:t xml:space="preserve">Mochizuki’s</w:t>
      </w:r>
      <w:r>
        <w:t xml:space="preserve"> </w:t>
      </w:r>
      <w:r>
        <w:rPr>
          <w:iCs/>
          <w:i/>
        </w:rPr>
        <w:t xml:space="preserve">Wakun Shūsei</w:t>
      </w:r>
      <w:r>
        <w:t xml:space="preserve">, however, treats</w:t>
      </w:r>
      <w:r>
        <w:t xml:space="preserve"> </w:t>
      </w:r>
      <w:r>
        <w:t xml:space="preserve">‘</w:t>
      </w:r>
      <w:r>
        <w:t xml:space="preserve">陟厘</w:t>
      </w:r>
      <w:r>
        <w:t xml:space="preserve">’</w:t>
      </w:r>
      <w:r>
        <w:t xml:space="preserve"> </w:t>
      </w:r>
      <w:r>
        <w:t xml:space="preserve">as two separate characters.</w:t>
      </w:r>
      <w:r>
        <w:t xml:space="preserve"> </w:t>
      </w:r>
      <w:r>
        <w:t xml:space="preserve">The Dōen-bon manuscript of the</w:t>
      </w:r>
      <w:r>
        <w:t xml:space="preserve"> </w:t>
      </w:r>
      <w:r>
        <w:rPr>
          <w:iCs/>
          <w:i/>
        </w:rPr>
        <w:t xml:space="preserve">Wamyō Ruijushō</w:t>
      </w:r>
      <w:r>
        <w:t xml:space="preserve"> </w:t>
      </w:r>
      <w:r>
        <w:t xml:space="preserve">(Volume 17,</w:t>
      </w:r>
      <w:r>
        <w:t xml:space="preserve"> </w:t>
      </w:r>
      <w:r>
        <w:t xml:space="preserve">“</w:t>
      </w:r>
      <w:r>
        <w:t xml:space="preserve">Vegetables</w:t>
      </w:r>
      <w:r>
        <w:t xml:space="preserve">”</w:t>
      </w:r>
      <w:r>
        <w:t xml:space="preserve"> </w:t>
      </w:r>
      <w:r>
        <w:t xml:space="preserve">section) has an entry for</w:t>
      </w:r>
      <w:r>
        <w:t xml:space="preserve"> </w:t>
      </w:r>
      <w:r>
        <w:t xml:space="preserve">‘</w:t>
      </w:r>
      <w:r>
        <w:t xml:space="preserve">陟𨤲</w:t>
      </w:r>
      <w:r>
        <w:t xml:space="preserve">’</w:t>
      </w:r>
      <w:r>
        <w:t xml:space="preserve"> </w:t>
      </w:r>
      <w:r>
        <w:t xml:space="preserve">with the annotation:</w:t>
      </w:r>
      <w:r>
        <w:t xml:space="preserve"> </w:t>
      </w:r>
      <w:r>
        <w:t xml:space="preserve">“</w:t>
      </w:r>
      <w:r>
        <w:t xml:space="preserve">音緾 一本作厘 和名 阿乎乃利</w:t>
      </w:r>
      <w:r>
        <w:t xml:space="preserve">”</w:t>
      </w:r>
      <w:r>
        <w:t xml:space="preserve"> </w:t>
      </w:r>
      <w:r>
        <w:t xml:space="preserve">(Pronunciation</w:t>
      </w:r>
      <w:r>
        <w:t xml:space="preserve"> </w:t>
      </w:r>
      <w:r>
        <w:rPr>
          <w:iCs/>
          <w:i/>
        </w:rPr>
        <w:t xml:space="preserve">ten</w:t>
      </w:r>
      <w:r>
        <w:t xml:space="preserve"> </w:t>
      </w:r>
      <w:r>
        <w:t xml:space="preserve">[for 陟]; one manuscript has 厘 [for 𨤲]; Japanese name:</w:t>
      </w:r>
      <w:r>
        <w:t xml:space="preserve"> </w:t>
      </w:r>
      <w:r>
        <w:rPr>
          <w:iCs/>
          <w:i/>
        </w:rPr>
        <w:t xml:space="preserve">Awonori</w:t>
      </w:r>
      <w:r>
        <w:t xml:space="preserve">).</w:t>
      </w:r>
      <w:r>
        <w:t xml:space="preserve"> </w:t>
      </w:r>
      <w:r>
        <w:t xml:space="preserve">The</w:t>
      </w:r>
      <w:r>
        <w:t xml:space="preserve"> </w:t>
      </w:r>
      <w:r>
        <w:rPr>
          <w:iCs/>
          <w:i/>
        </w:rPr>
        <w:t xml:space="preserve">Shinsen Jikyō</w:t>
      </w:r>
      <w:r>
        <w:t xml:space="preserve"> </w:t>
      </w:r>
      <w:r>
        <w:t xml:space="preserve">shows</w:t>
      </w:r>
      <w:r>
        <w:t xml:space="preserve"> </w:t>
      </w:r>
      <w:r>
        <w:t xml:space="preserve">‘</w:t>
      </w:r>
      <w:r>
        <w:t xml:space="preserve">陟釐 青乃利</w:t>
      </w:r>
      <w:r>
        <w:t xml:space="preserve">’</w:t>
      </w:r>
      <w:r>
        <w:t xml:space="preserve"> </w:t>
      </w:r>
      <w:r>
        <w:t xml:space="preserve">(</w:t>
      </w:r>
      <w:r>
        <w:rPr>
          <w:iCs/>
          <w:i/>
        </w:rPr>
        <w:t xml:space="preserve">Shokuri Aonori</w:t>
      </w:r>
      <w:r>
        <w:t xml:space="preserve">) (under</w:t>
      </w:r>
      <w:r>
        <w:t xml:space="preserve"> </w:t>
      </w:r>
      <w:r>
        <w:t xml:space="preserve">“</w:t>
      </w:r>
      <w:r>
        <w:t xml:space="preserve">Miscellaneous characters for temporary needs</w:t>
      </w:r>
      <w:r>
        <w:t xml:space="preserve">”</w:t>
      </w:r>
      <w:r>
        <w:t xml:space="preserve"> </w:t>
      </w:r>
      <w:r>
        <w:t xml:space="preserve">- 臨時雑要字,</w:t>
      </w:r>
      <w:r>
        <w:t xml:space="preserve"> </w:t>
      </w:r>
      <w:r>
        <w:rPr>
          <w:iCs/>
          <w:i/>
        </w:rPr>
        <w:t xml:space="preserve">rinji zatsuyō ji</w:t>
      </w:r>
      <w:r>
        <w:t xml:space="preserve">).</w:t>
      </w:r>
      <w:r>
        <w:t xml:space="preserve"> </w:t>
      </w:r>
      <w:r>
        <w:t xml:space="preserve">The</w:t>
      </w:r>
      <w:r>
        <w:t xml:space="preserve"> </w:t>
      </w:r>
      <w:r>
        <w:rPr>
          <w:iCs/>
          <w:i/>
        </w:rPr>
        <w:t xml:space="preserve">Iroha Jiruishō</w:t>
      </w:r>
      <w:r>
        <w:t xml:space="preserve"> </w:t>
      </w:r>
      <w:r>
        <w:t xml:space="preserve">(Maeda-bon) has</w:t>
      </w:r>
      <w:r>
        <w:t xml:space="preserve"> </w:t>
      </w:r>
      <w:r>
        <w:t xml:space="preserve">‘</w:t>
      </w:r>
      <w:r>
        <w:t xml:space="preserve">陟𨤲 アヲノリ</w:t>
      </w:r>
      <w:r>
        <w:t xml:space="preserve">’</w:t>
      </w:r>
      <w:r>
        <w:t xml:space="preserve"> </w:t>
      </w:r>
      <w:r>
        <w:t xml:space="preserve">(</w:t>
      </w:r>
      <w:r>
        <w:rPr>
          <w:iCs/>
          <w:i/>
        </w:rPr>
        <w:t xml:space="preserve">Shokuri Awonori</w:t>
      </w:r>
      <w:r>
        <w:t xml:space="preserve">) (under</w:t>
      </w:r>
      <w:r>
        <w:t xml:space="preserve"> </w:t>
      </w:r>
      <w:r>
        <w:t xml:space="preserve">“</w:t>
      </w:r>
      <w:r>
        <w:t xml:space="preserve">ア – Plants</w:t>
      </w:r>
      <w:r>
        <w:t xml:space="preserve">”</w:t>
      </w:r>
      <w:r>
        <w:t xml:space="preserve">).</w:t>
      </w:r>
      <w:r>
        <w:t xml:space="preserve"> </w:t>
      </w:r>
      <w:r>
        <w:t xml:space="preserve">Considering this evidence, it seems appropriate to interpret</w:t>
      </w:r>
      <w:r>
        <w:t xml:space="preserve"> </w:t>
      </w:r>
      <w:r>
        <w:t xml:space="preserve">‘</w:t>
      </w:r>
      <w:r>
        <w:t xml:space="preserve">陟厘</w:t>
      </w:r>
      <w:r>
        <w:t xml:space="preserve">’</w:t>
      </w:r>
      <w:r>
        <w:t xml:space="preserve"> </w:t>
      </w:r>
      <w:r>
        <w:t xml:space="preserve">in the Kanchi-in manuscript as two separate characters.</w:t>
      </w:r>
    </w:p>
    <w:p>
      <w:pPr>
        <w:pStyle w:val="BodyText"/>
      </w:pPr>
      <w:r>
        <w:t xml:space="preserve">This interpretation would affect the calculation of the total headword character count (</w:t>
      </w:r>
      <w:r>
        <w:rPr>
          <w:iCs/>
          <w:i/>
        </w:rPr>
        <w:t xml:space="preserve">keishutsuji-sū</w:t>
      </w:r>
      <w:r>
        <w:t xml:space="preserve">), but this has not been reflected in the data tables presented above.</w:t>
      </w:r>
      <w:r>
        <w:t xml:space="preserve"> </w:t>
      </w:r>
      <w:r>
        <w:t xml:space="preserve">(Noted December 15, 2022).</w:t>
      </w:r>
    </w:p>
    <w:p>
      <w:pPr>
        <w:pStyle w:val="BodyText"/>
      </w:pPr>
      <w:r>
        <w:t xml:space="preserve">March 14, 2024: Corrected errors in the aggregated numerical figures (in the preceding tables).</w:t>
      </w:r>
    </w:p>
    <w:bookmarkEnd w:id="501"/>
    <w:bookmarkEnd w:id="502"/>
    <w:bookmarkEnd w:id="503"/>
    <w:bookmarkEnd w:id="504"/>
    <w:bookmarkStart w:id="610" w:name="Xe212f27da4adea3ae1aa505be16c9cff8a25143"/>
    <w:bookmarkStart w:id="609" w:name="X2b331d91f09ffad305e22b71cc1451ac54db67a"/>
    <w:p>
      <w:pPr>
        <w:pStyle w:val="Heading1"/>
      </w:pPr>
      <w:r>
        <w:rPr>
          <w:rStyle w:val="SectionNumber"/>
        </w:rPr>
        <w:t xml:space="preserve">22</w:t>
      </w:r>
      <w:r>
        <w:tab/>
      </w:r>
      <w:r>
        <w:t xml:space="preserve">Types and Notation Formats of Character Form Notes</w:t>
      </w:r>
    </w:p>
    <w:p>
      <w:pPr>
        <w:pStyle w:val="FirstParagraph"/>
      </w:pPr>
      <w:r>
        <w:t xml:space="preserve">This section explains the types of annotations such as</w:t>
      </w:r>
      <w:r>
        <w:t xml:space="preserve"> </w:t>
      </w:r>
      <w:r>
        <w:t xml:space="preserve">‘</w:t>
      </w:r>
      <w:r>
        <w:t xml:space="preserve">正</w:t>
      </w:r>
      <w:r>
        <w:t xml:space="preserve">’</w:t>
      </w:r>
      <w:r>
        <w:t xml:space="preserve"> </w:t>
      </w:r>
      <w:r>
        <w:t xml:space="preserve">(standard),</w:t>
      </w:r>
      <w:r>
        <w:t xml:space="preserve"> </w:t>
      </w:r>
      <w:r>
        <w:t xml:space="preserve">‘</w:t>
      </w:r>
      <w:r>
        <w:t xml:space="preserve">通</w:t>
      </w:r>
      <w:r>
        <w:t xml:space="preserve">’</w:t>
      </w:r>
      <w:r>
        <w:t xml:space="preserve"> </w:t>
      </w:r>
      <w:r>
        <w:t xml:space="preserve">(common), and</w:t>
      </w:r>
      <w:r>
        <w:t xml:space="preserve"> </w:t>
      </w:r>
      <w:r>
        <w:t xml:space="preserve">‘</w:t>
      </w:r>
      <w:r>
        <w:t xml:space="preserve">俗</w:t>
      </w:r>
      <w:r>
        <w:t xml:space="preserve">’</w:t>
      </w:r>
      <w:r>
        <w:t xml:space="preserve"> </w:t>
      </w:r>
      <w:r>
        <w:t xml:space="preserve">(popular/vulgar), as well as the notational relationship between these annotations and the characters they annotate. It also examines the recorded content using</w:t>
      </w:r>
      <w:r>
        <w:t xml:space="preserve"> </w:t>
      </w:r>
      <w:r>
        <w:t xml:space="preserve">‘</w:t>
      </w:r>
      <w:r>
        <w:t xml:space="preserve">滴</w:t>
      </w:r>
      <w:r>
        <w:t xml:space="preserve">’</w:t>
      </w:r>
      <w:r>
        <w:t xml:space="preserve"> </w:t>
      </w:r>
      <w:r>
        <w:t xml:space="preserve">as an example, providing material for considering how annotations should be created.</w:t>
      </w:r>
    </w:p>
    <w:bookmarkStart w:id="507" w:name="Xd63cbc3da53f14f41425d4077027dd6f59d14f4"/>
    <w:p>
      <w:pPr>
        <w:pStyle w:val="Heading2"/>
      </w:pPr>
      <w:r>
        <w:rPr>
          <w:rStyle w:val="SectionNumber"/>
        </w:rPr>
        <w:t xml:space="preserve">22.1</w:t>
      </w:r>
      <w:r>
        <w:tab/>
      </w:r>
      <w:r>
        <w:t xml:space="preserve">Form Classification Tags and Notation Formats</w:t>
      </w:r>
    </w:p>
    <w:p>
      <w:pPr>
        <w:pStyle w:val="FirstParagraph"/>
      </w:pPr>
      <w:r>
        <w:t xml:space="preserve">Lee Kyeong Won</w:t>
      </w:r>
      <w:r>
        <w:rPr>
          <w:rStyle w:val="FootnoteReference"/>
        </w:rPr>
        <w:footnoteReference w:id="505"/>
      </w:r>
      <w:r>
        <w:t xml:space="preserve"> </w:t>
      </w:r>
      <w:r>
        <w:t xml:space="preserve">refers to annotations such as</w:t>
      </w:r>
      <w:r>
        <w:t xml:space="preserve"> </w:t>
      </w:r>
      <w:r>
        <w:t xml:space="preserve">‘</w:t>
      </w:r>
      <w:r>
        <w:t xml:space="preserve">正</w:t>
      </w:r>
      <w:r>
        <w:t xml:space="preserve">’</w:t>
      </w:r>
      <w:r>
        <w:t xml:space="preserve"> </w:t>
      </w:r>
      <w:r>
        <w:t xml:space="preserve">(standard),</w:t>
      </w:r>
      <w:r>
        <w:t xml:space="preserve"> </w:t>
      </w:r>
      <w:r>
        <w:t xml:space="preserve">‘</w:t>
      </w:r>
      <w:r>
        <w:t xml:space="preserve">通</w:t>
      </w:r>
      <w:r>
        <w:t xml:space="preserve">’</w:t>
      </w:r>
      <w:r>
        <w:t xml:space="preserve"> </w:t>
      </w:r>
      <w:r>
        <w:t xml:space="preserve">(common), and</w:t>
      </w:r>
      <w:r>
        <w:t xml:space="preserve"> </w:t>
      </w:r>
      <w:r>
        <w:t xml:space="preserve">‘</w:t>
      </w:r>
      <w:r>
        <w:t xml:space="preserve">俗</w:t>
      </w:r>
      <w:r>
        <w:t xml:space="preserve">’</w:t>
      </w:r>
      <w:r>
        <w:t xml:space="preserve"> </w:t>
      </w:r>
      <w:r>
        <w:t xml:space="preserve">(popular/vulgar) as a</w:t>
      </w:r>
      <w:r>
        <w:t xml:space="preserve"> </w:t>
      </w:r>
      <w:r>
        <w:rPr>
          <w:rStyle w:val="VerbatimChar"/>
          <w:bCs/>
          <w:b/>
        </w:rPr>
        <w:t xml:space="preserve">Form Classification Tag</w:t>
      </w:r>
      <w:r>
        <w:t xml:space="preserve"> </w:t>
      </w:r>
      <w:r>
        <w:t xml:space="preserve">(字級,</w:t>
      </w:r>
      <w:r>
        <w:t xml:space="preserve"> </w:t>
      </w:r>
      <w:r>
        <w:rPr>
          <w:iCs/>
          <w:i/>
        </w:rPr>
        <w:t xml:space="preserve">zìjí</w:t>
      </w:r>
      <w:r>
        <w:t xml:space="preserve">).</w:t>
      </w:r>
    </w:p>
    <w:p>
      <w:pPr>
        <w:pStyle w:val="BodyText"/>
      </w:pPr>
      <w:r>
        <w:t xml:space="preserve">Regarding the notation formats of</w:t>
      </w:r>
      <w:r>
        <w:t xml:space="preserve"> </w:t>
      </w:r>
      <w:r>
        <w:rPr>
          <w:rStyle w:val="VerbatimChar"/>
          <w:bCs/>
          <w:b/>
        </w:rPr>
        <w:t xml:space="preserve">Notes on Character Form</w:t>
      </w:r>
      <w:r>
        <w:t xml:space="preserve"> </w:t>
      </w:r>
      <w:r>
        <w:t xml:space="preserve">and the types of</w:t>
      </w:r>
      <w:r>
        <w:t xml:space="preserve"> </w:t>
      </w:r>
      <w:r>
        <w:rPr>
          <w:rStyle w:val="VerbatimChar"/>
          <w:bCs/>
          <w:b/>
        </w:rPr>
        <w:t xml:space="preserve">Form Classification Tags</w:t>
      </w:r>
      <w:r>
        <w:t xml:space="preserve">, there is a study by Zhang Xinfang</w:t>
      </w:r>
      <w:r>
        <w:rPr>
          <w:rStyle w:val="FootnoteReference"/>
        </w:rPr>
        <w:footnoteReference w:id="506"/>
      </w:r>
      <w:r>
        <w:t xml:space="preserve">. That study narrows its focus to six notation formats and seven</w:t>
      </w:r>
      <w:r>
        <w:t xml:space="preserve"> </w:t>
      </w:r>
      <w:r>
        <w:rPr>
          <w:rStyle w:val="VerbatimChar"/>
          <w:bCs/>
          <w:b/>
        </w:rPr>
        <w:t xml:space="preserve">Form Classification Tags</w:t>
      </w:r>
      <w:r>
        <w:t xml:space="preserve">, and organizes their patterns of occurrence.</w:t>
      </w:r>
    </w:p>
    <w:p>
      <w:pPr>
        <w:pStyle w:val="BodyText"/>
      </w:pPr>
      <w:r>
        <w:t xml:space="preserve">Here, let us introduce the figures surveyed in the Kanchi-in manuscript. The scope of the survey is the</w:t>
      </w:r>
      <w:r>
        <w:t xml:space="preserve"> </w:t>
      </w:r>
      <w:r>
        <w:t xml:space="preserve">“</w:t>
      </w:r>
      <w:r>
        <w:t xml:space="preserve">水</w:t>
      </w:r>
      <w:r>
        <w:t xml:space="preserve">”</w:t>
      </w:r>
      <w:r>
        <w:t xml:space="preserve"> </w:t>
      </w:r>
      <w:r>
        <w:t xml:space="preserve">(water),</w:t>
      </w:r>
      <w:r>
        <w:t xml:space="preserve"> </w:t>
      </w:r>
      <w:r>
        <w:t xml:space="preserve">“</w:t>
      </w:r>
      <w:r>
        <w:t xml:space="preserve">冫</w:t>
      </w:r>
      <w:r>
        <w:t xml:space="preserve">”</w:t>
      </w:r>
      <w:r>
        <w:t xml:space="preserve"> </w:t>
      </w:r>
      <w:r>
        <w:t xml:space="preserve">(ice), and</w:t>
      </w:r>
      <w:r>
        <w:t xml:space="preserve"> </w:t>
      </w:r>
      <w:r>
        <w:t xml:space="preserve">“</w:t>
      </w:r>
      <w:r>
        <w:t xml:space="preserve">言</w:t>
      </w:r>
      <w:r>
        <w:t xml:space="preserve">”</w:t>
      </w:r>
      <w:r>
        <w:t xml:space="preserve"> </w:t>
      </w:r>
      <w:r>
        <w:t xml:space="preserve">(speech) radical sections, which are common to both the Zushoryō and Renjō-in manuscripts.</w:t>
      </w:r>
    </w:p>
    <w:p>
      <w:pPr>
        <w:pStyle w:val="BodyText"/>
      </w:pPr>
      <w:r>
        <w:t xml:space="preserve">In the revised compilation of the</w:t>
      </w:r>
      <w:r>
        <w:t xml:space="preserve"> </w:t>
      </w:r>
      <w:r>
        <w:rPr>
          <w:iCs/>
          <w:i/>
        </w:rPr>
        <w:t xml:space="preserve">Ruiju Myōgishō</w:t>
      </w:r>
      <w:r>
        <w:t xml:space="preserve">, the character forms appearing within the</w:t>
      </w:r>
      <w:r>
        <w:t xml:space="preserve"> </w:t>
      </w:r>
      <w:r>
        <w:rPr>
          <w:rStyle w:val="VerbatimChar"/>
          <w:bCs/>
          <w:b/>
        </w:rPr>
        <w:t xml:space="preserve">Original Glosses</w:t>
      </w:r>
      <w:r>
        <w:t xml:space="preserve"> </w:t>
      </w:r>
      <w:r>
        <w:t xml:space="preserve">are divided into the following six types according to their notation format. Here,</w:t>
      </w:r>
      <w:r>
        <w:t xml:space="preserve"> </w:t>
      </w:r>
      <w:r>
        <w:t xml:space="preserve">‘</w:t>
      </w:r>
      <w:r>
        <w:t xml:space="preserve">○</w:t>
      </w:r>
      <w:r>
        <w:t xml:space="preserve">’</w:t>
      </w:r>
      <w:r>
        <w:t xml:space="preserve"> </w:t>
      </w:r>
      <w:r>
        <w:t xml:space="preserve">indicates a character form and</w:t>
      </w:r>
      <w:r>
        <w:t xml:space="preserve"> </w:t>
      </w:r>
      <w:r>
        <w:t xml:space="preserve">‘</w:t>
      </w:r>
      <w:r>
        <w:t xml:space="preserve">★</w:t>
      </w:r>
      <w:r>
        <w:t xml:space="preserve">’</w:t>
      </w:r>
      <w:r>
        <w:t xml:space="preserve"> </w:t>
      </w:r>
      <w:r>
        <w:t xml:space="preserve">indicates a</w:t>
      </w:r>
      <w:r>
        <w:t xml:space="preserve"> </w:t>
      </w:r>
      <w:r>
        <w:rPr>
          <w:rStyle w:val="VerbatimChar"/>
          <w:bCs/>
          <w:b/>
        </w:rPr>
        <w:t xml:space="preserve">Form Classification Tag</w:t>
      </w:r>
      <w:r>
        <w:t xml:space="preserve">.</w:t>
      </w:r>
    </w:p>
    <w:p>
      <w:pPr>
        <w:numPr>
          <w:ilvl w:val="0"/>
          <w:numId w:val="1231"/>
        </w:numPr>
        <w:pStyle w:val="Compact"/>
      </w:pPr>
      <w:r>
        <w:t xml:space="preserve">○★</w:t>
      </w:r>
    </w:p>
    <w:p>
      <w:pPr>
        <w:numPr>
          <w:ilvl w:val="0"/>
          <w:numId w:val="1231"/>
        </w:numPr>
        <w:pStyle w:val="Compact"/>
      </w:pPr>
      <w:r>
        <w:t xml:space="preserve">★○</w:t>
      </w:r>
    </w:p>
    <w:p>
      <w:pPr>
        <w:numPr>
          <w:ilvl w:val="0"/>
          <w:numId w:val="1231"/>
        </w:numPr>
        <w:pStyle w:val="Compact"/>
      </w:pPr>
      <w:r>
        <w:t xml:space="preserve">★為○</w:t>
      </w:r>
    </w:p>
    <w:p>
      <w:pPr>
        <w:numPr>
          <w:ilvl w:val="0"/>
          <w:numId w:val="1231"/>
        </w:numPr>
        <w:pStyle w:val="Compact"/>
      </w:pPr>
      <w:r>
        <w:t xml:space="preserve">★作○</w:t>
      </w:r>
    </w:p>
    <w:p>
      <w:pPr>
        <w:numPr>
          <w:ilvl w:val="0"/>
          <w:numId w:val="1231"/>
        </w:numPr>
        <w:pStyle w:val="Compact"/>
      </w:pPr>
      <w:r>
        <w:t xml:space="preserve">★○字</w:t>
      </w:r>
    </w:p>
    <w:p>
      <w:pPr>
        <w:numPr>
          <w:ilvl w:val="0"/>
          <w:numId w:val="1231"/>
        </w:numPr>
        <w:pStyle w:val="Compact"/>
      </w:pPr>
      <w:r>
        <w:t xml:space="preserve">★為○字</w:t>
      </w:r>
    </w:p>
    <w:p>
      <w:pPr>
        <w:pStyle w:val="FirstParagraph"/>
      </w:pPr>
      <w:r>
        <w:t xml:space="preserve">The</w:t>
      </w:r>
      <w:r>
        <w:t xml:space="preserve"> </w:t>
      </w:r>
      <w:r>
        <w:rPr>
          <w:rStyle w:val="VerbatimChar"/>
          <w:bCs/>
          <w:b/>
        </w:rPr>
        <w:t xml:space="preserve">Form Classification Tags</w:t>
      </w:r>
      <w:r>
        <w:t xml:space="preserve"> </w:t>
      </w:r>
      <w:r>
        <w:t xml:space="preserve">are considered to be of the following seven types.</w:t>
      </w:r>
    </w:p>
    <w:p>
      <w:pPr>
        <w:numPr>
          <w:ilvl w:val="0"/>
          <w:numId w:val="1232"/>
        </w:numPr>
        <w:pStyle w:val="Compact"/>
      </w:pPr>
      <w:r>
        <w:t xml:space="preserve">正 (standard)</w:t>
      </w:r>
    </w:p>
    <w:p>
      <w:pPr>
        <w:numPr>
          <w:ilvl w:val="0"/>
          <w:numId w:val="1232"/>
        </w:numPr>
        <w:pStyle w:val="Compact"/>
      </w:pPr>
      <w:r>
        <w:t xml:space="preserve">俗 (popular/vulgar)</w:t>
      </w:r>
    </w:p>
    <w:p>
      <w:pPr>
        <w:numPr>
          <w:ilvl w:val="0"/>
          <w:numId w:val="1232"/>
        </w:numPr>
        <w:pStyle w:val="Compact"/>
      </w:pPr>
      <w:r>
        <w:t xml:space="preserve">通 (common)</w:t>
      </w:r>
    </w:p>
    <w:p>
      <w:pPr>
        <w:numPr>
          <w:ilvl w:val="0"/>
          <w:numId w:val="1232"/>
        </w:numPr>
        <w:pStyle w:val="Compact"/>
      </w:pPr>
      <w:r>
        <w:t xml:space="preserve">今 (current/present form)</w:t>
      </w:r>
    </w:p>
    <w:p>
      <w:pPr>
        <w:numPr>
          <w:ilvl w:val="0"/>
          <w:numId w:val="1232"/>
        </w:numPr>
        <w:pStyle w:val="Compact"/>
      </w:pPr>
      <w:r>
        <w:t xml:space="preserve">或 (alternative)</w:t>
      </w:r>
    </w:p>
    <w:p>
      <w:pPr>
        <w:numPr>
          <w:ilvl w:val="0"/>
          <w:numId w:val="1232"/>
        </w:numPr>
        <w:pStyle w:val="Compact"/>
      </w:pPr>
      <w:r>
        <w:t xml:space="preserve">古 (archaic)</w:t>
      </w:r>
    </w:p>
    <w:p>
      <w:pPr>
        <w:numPr>
          <w:ilvl w:val="0"/>
          <w:numId w:val="1232"/>
        </w:numPr>
        <w:pStyle w:val="Compact"/>
      </w:pPr>
      <w:r>
        <w:t xml:space="preserve">俗通 (popular/vulgar &amp; common)</w:t>
      </w:r>
    </w:p>
    <w:bookmarkEnd w:id="507"/>
    <w:bookmarkStart w:id="508" w:name="X129c6ea9822be1bc9adcae87f4022dcaa0d8906"/>
    <w:p>
      <w:pPr>
        <w:pStyle w:val="Heading2"/>
      </w:pPr>
      <w:r>
        <w:rPr>
          <w:rStyle w:val="SectionNumber"/>
        </w:rPr>
        <w:t xml:space="preserve">22.2</w:t>
      </w:r>
      <w:r>
        <w:tab/>
      </w:r>
      <w:r>
        <w:t xml:space="preserve">Notation Status in the Kanchi-in Manuscript (Water, Ice, Speech Radicals)</w:t>
      </w:r>
    </w:p>
    <w:p>
      <w:pPr>
        <w:pStyle w:val="FirstParagraph"/>
      </w:pPr>
      <w:r>
        <w:t xml:space="preserve">Summarizing the notation status of character forms appearing within the</w:t>
      </w:r>
      <w:r>
        <w:t xml:space="preserve"> </w:t>
      </w:r>
      <w:r>
        <w:rPr>
          <w:rStyle w:val="VerbatimChar"/>
          <w:bCs/>
          <w:b/>
        </w:rPr>
        <w:t xml:space="preserve">Original Glosses</w:t>
      </w:r>
      <w:r>
        <w:t xml:space="preserve">, for the scope of the</w:t>
      </w:r>
      <w:r>
        <w:t xml:space="preserve"> </w:t>
      </w:r>
      <w:r>
        <w:t xml:space="preserve">“</w:t>
      </w:r>
      <w:r>
        <w:t xml:space="preserve">水</w:t>
      </w:r>
      <w:r>
        <w:t xml:space="preserve">”</w:t>
      </w:r>
      <w:r>
        <w:t xml:space="preserve"> </w:t>
      </w:r>
      <w:r>
        <w:t xml:space="preserve">(water),</w:t>
      </w:r>
      <w:r>
        <w:t xml:space="preserve"> </w:t>
      </w:r>
      <w:r>
        <w:t xml:space="preserve">“</w:t>
      </w:r>
      <w:r>
        <w:t xml:space="preserve">冫</w:t>
      </w:r>
      <w:r>
        <w:t xml:space="preserve">”</w:t>
      </w:r>
      <w:r>
        <w:t xml:space="preserve"> </w:t>
      </w:r>
      <w:r>
        <w:t xml:space="preserve">(ice), and</w:t>
      </w:r>
      <w:r>
        <w:t xml:space="preserve"> </w:t>
      </w:r>
      <w:r>
        <w:t xml:space="preserve">“</w:t>
      </w:r>
      <w:r>
        <w:t xml:space="preserve">言</w:t>
      </w:r>
      <w:r>
        <w:t xml:space="preserve">”</w:t>
      </w:r>
      <w:r>
        <w:t xml:space="preserve"> </w:t>
      </w:r>
      <w:r>
        <w:t xml:space="preserve">(speech) radical sections in the Kanchi-in manuscript, produces the table below. The classification and figures are based on Zhang Xinfang’s survey.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Notation Format</w:t>
            </w:r>
          </w:p>
        </w:tc>
        <w:tc>
          <w:tcPr/>
          <w:p>
            <w:pPr>
              <w:pStyle w:val="Compact"/>
              <w:jc w:val="left"/>
            </w:pPr>
            <w:r>
              <w:t xml:space="preserve">Form Classification Tag</w:t>
            </w:r>
          </w:p>
        </w:tc>
        <w:tc>
          <w:tcPr/>
          <w:p>
            <w:pPr>
              <w:pStyle w:val="Compact"/>
              <w:jc w:val="right"/>
            </w:pPr>
            <w:r>
              <w:t xml:space="preserve">Instances</w:t>
            </w:r>
          </w:p>
        </w:tc>
      </w:tr>
      <w:tr>
        <w:tc>
          <w:tcPr/>
          <w:p>
            <w:pPr>
              <w:pStyle w:val="Compact"/>
              <w:jc w:val="left"/>
            </w:pPr>
            <w:r>
              <w:t xml:space="preserve">○★</w:t>
            </w:r>
          </w:p>
        </w:tc>
        <w:tc>
          <w:tcPr/>
          <w:p>
            <w:pPr>
              <w:pStyle w:val="Compact"/>
              <w:jc w:val="left"/>
            </w:pPr>
            <w:r>
              <w:t xml:space="preserve">○正</w:t>
            </w:r>
          </w:p>
        </w:tc>
        <w:tc>
          <w:tcPr/>
          <w:p>
            <w:pPr>
              <w:pStyle w:val="Compact"/>
              <w:jc w:val="right"/>
            </w:pPr>
            <w:r>
              <w:t xml:space="preserve">17</w:t>
            </w:r>
          </w:p>
        </w:tc>
      </w:tr>
      <w:tr>
        <w:tc>
          <w:tcPr/>
          <w:p>
            <w:pPr>
              <w:pStyle w:val="Compact"/>
            </w:pPr>
          </w:p>
        </w:tc>
        <w:tc>
          <w:tcPr/>
          <w:p>
            <w:pPr>
              <w:pStyle w:val="Compact"/>
              <w:jc w:val="left"/>
            </w:pPr>
            <w:r>
              <w:t xml:space="preserve">○俗</w:t>
            </w:r>
          </w:p>
        </w:tc>
        <w:tc>
          <w:tcPr/>
          <w:p>
            <w:pPr>
              <w:pStyle w:val="Compact"/>
              <w:jc w:val="right"/>
            </w:pPr>
            <w:r>
              <w:t xml:space="preserve">8</w:t>
            </w:r>
          </w:p>
        </w:tc>
      </w:tr>
      <w:tr>
        <w:tc>
          <w:tcPr/>
          <w:p>
            <w:pPr>
              <w:pStyle w:val="Compact"/>
            </w:pPr>
          </w:p>
        </w:tc>
        <w:tc>
          <w:tcPr/>
          <w:p>
            <w:pPr>
              <w:pStyle w:val="Compact"/>
              <w:jc w:val="left"/>
            </w:pPr>
            <w:r>
              <w:t xml:space="preserve">○今</w:t>
            </w:r>
          </w:p>
        </w:tc>
        <w:tc>
          <w:tcPr/>
          <w:p>
            <w:pPr>
              <w:pStyle w:val="Compact"/>
              <w:jc w:val="right"/>
            </w:pPr>
            <w:r>
              <w:t xml:space="preserve">2</w:t>
            </w:r>
          </w:p>
        </w:tc>
      </w:tr>
      <w:tr>
        <w:tc>
          <w:tcPr/>
          <w:p>
            <w:pPr>
              <w:pStyle w:val="Compact"/>
            </w:pPr>
          </w:p>
        </w:tc>
        <w:tc>
          <w:tcPr/>
          <w:p>
            <w:pPr>
              <w:pStyle w:val="Compact"/>
              <w:jc w:val="left"/>
            </w:pPr>
            <w:r>
              <w:t xml:space="preserve">○或</w:t>
            </w:r>
          </w:p>
        </w:tc>
        <w:tc>
          <w:tcPr/>
          <w:p>
            <w:pPr>
              <w:pStyle w:val="Compact"/>
              <w:jc w:val="right"/>
            </w:pPr>
            <w:r>
              <w:t xml:space="preserve">25</w:t>
            </w:r>
          </w:p>
        </w:tc>
      </w:tr>
      <w:tr>
        <w:tc>
          <w:tcPr/>
          <w:p>
            <w:pPr>
              <w:pStyle w:val="Compact"/>
            </w:pPr>
          </w:p>
        </w:tc>
        <w:tc>
          <w:tcPr/>
          <w:p>
            <w:pPr>
              <w:pStyle w:val="Compact"/>
              <w:jc w:val="left"/>
            </w:pPr>
            <w:r>
              <w:t xml:space="preserve">○古</w:t>
            </w:r>
          </w:p>
        </w:tc>
        <w:tc>
          <w:tcPr/>
          <w:p>
            <w:pPr>
              <w:pStyle w:val="Compact"/>
              <w:jc w:val="right"/>
            </w:pPr>
            <w:r>
              <w:t xml:space="preserve">2</w:t>
            </w:r>
          </w:p>
        </w:tc>
      </w:tr>
      <w:tr>
        <w:tc>
          <w:tcPr/>
          <w:p>
            <w:pPr>
              <w:pStyle w:val="Compact"/>
            </w:pPr>
          </w:p>
        </w:tc>
        <w:tc>
          <w:tcPr/>
          <w:p>
            <w:pPr>
              <w:pStyle w:val="Compact"/>
              <w:jc w:val="left"/>
            </w:pPr>
            <w:r>
              <w:t xml:space="preserve">○俗通</w:t>
            </w:r>
          </w:p>
        </w:tc>
        <w:tc>
          <w:tcPr/>
          <w:p>
            <w:pPr>
              <w:pStyle w:val="Compact"/>
              <w:jc w:val="right"/>
            </w:pPr>
            <w:r>
              <w:t xml:space="preserve">1</w:t>
            </w:r>
          </w:p>
        </w:tc>
      </w:tr>
      <w:tr>
        <w:tc>
          <w:tcPr/>
          <w:p>
            <w:pPr>
              <w:pStyle w:val="Compact"/>
            </w:pPr>
          </w:p>
        </w:tc>
        <w:tc>
          <w:tcPr/>
          <w:p>
            <w:pPr>
              <w:pStyle w:val="Compact"/>
              <w:jc w:val="left"/>
            </w:pPr>
            <w:r>
              <w:t xml:space="preserve">Subtotal</w:t>
            </w:r>
          </w:p>
        </w:tc>
        <w:tc>
          <w:tcPr/>
          <w:p>
            <w:pPr>
              <w:pStyle w:val="Compact"/>
              <w:jc w:val="right"/>
            </w:pPr>
            <w:r>
              <w:t xml:space="preserve">55</w:t>
            </w:r>
          </w:p>
        </w:tc>
      </w:tr>
      <w:tr>
        <w:tc>
          <w:tcPr/>
          <w:p>
            <w:pPr>
              <w:pStyle w:val="Compact"/>
              <w:jc w:val="left"/>
            </w:pPr>
            <w:r>
              <w:t xml:space="preserve">★○</w:t>
            </w:r>
          </w:p>
        </w:tc>
        <w:tc>
          <w:tcPr/>
          <w:p>
            <w:pPr>
              <w:pStyle w:val="Compact"/>
              <w:jc w:val="left"/>
            </w:pPr>
            <w:r>
              <w:t xml:space="preserve">正○</w:t>
            </w:r>
          </w:p>
        </w:tc>
        <w:tc>
          <w:tcPr/>
          <w:p>
            <w:pPr>
              <w:pStyle w:val="Compact"/>
              <w:jc w:val="right"/>
            </w:pPr>
            <w:r>
              <w:t xml:space="preserve">2</w:t>
            </w:r>
          </w:p>
        </w:tc>
      </w:tr>
      <w:tr>
        <w:tc>
          <w:tcPr/>
          <w:p>
            <w:pPr>
              <w:pStyle w:val="Compact"/>
            </w:pPr>
          </w:p>
        </w:tc>
        <w:tc>
          <w:tcPr/>
          <w:p>
            <w:pPr>
              <w:pStyle w:val="Compact"/>
              <w:jc w:val="left"/>
            </w:pPr>
            <w:r>
              <w:t xml:space="preserve">俗○</w:t>
            </w:r>
          </w:p>
        </w:tc>
        <w:tc>
          <w:tcPr/>
          <w:p>
            <w:pPr>
              <w:pStyle w:val="Compact"/>
              <w:jc w:val="right"/>
            </w:pPr>
            <w:r>
              <w:t xml:space="preserve">8</w:t>
            </w:r>
          </w:p>
        </w:tc>
      </w:tr>
      <w:tr>
        <w:tc>
          <w:tcPr/>
          <w:p>
            <w:pPr>
              <w:pStyle w:val="Compact"/>
            </w:pPr>
          </w:p>
        </w:tc>
        <w:tc>
          <w:tcPr/>
          <w:p>
            <w:pPr>
              <w:pStyle w:val="Compact"/>
              <w:jc w:val="left"/>
            </w:pPr>
            <w:r>
              <w:t xml:space="preserve">或○</w:t>
            </w:r>
          </w:p>
        </w:tc>
        <w:tc>
          <w:tcPr/>
          <w:p>
            <w:pPr>
              <w:pStyle w:val="Compact"/>
              <w:jc w:val="right"/>
            </w:pPr>
            <w:r>
              <w:t xml:space="preserve">1</w:t>
            </w:r>
          </w:p>
        </w:tc>
      </w:tr>
      <w:tr>
        <w:tc>
          <w:tcPr/>
          <w:p>
            <w:pPr>
              <w:pStyle w:val="Compact"/>
            </w:pPr>
          </w:p>
        </w:tc>
        <w:tc>
          <w:tcPr/>
          <w:p>
            <w:pPr>
              <w:pStyle w:val="Compact"/>
              <w:jc w:val="left"/>
            </w:pPr>
            <w:r>
              <w:t xml:space="preserve">古○</w:t>
            </w:r>
          </w:p>
        </w:tc>
        <w:tc>
          <w:tcPr/>
          <w:p>
            <w:pPr>
              <w:pStyle w:val="Compact"/>
              <w:jc w:val="right"/>
            </w:pPr>
            <w:r>
              <w:t xml:space="preserve">1</w:t>
            </w:r>
          </w:p>
        </w:tc>
      </w:tr>
      <w:tr>
        <w:tc>
          <w:tcPr/>
          <w:p>
            <w:pPr>
              <w:pStyle w:val="Compact"/>
            </w:pPr>
          </w:p>
        </w:tc>
        <w:tc>
          <w:tcPr/>
          <w:p>
            <w:pPr>
              <w:pStyle w:val="Compact"/>
              <w:jc w:val="left"/>
            </w:pPr>
            <w:r>
              <w:t xml:space="preserve">Subtotal</w:t>
            </w:r>
          </w:p>
        </w:tc>
        <w:tc>
          <w:tcPr/>
          <w:p>
            <w:pPr>
              <w:pStyle w:val="Compact"/>
              <w:jc w:val="right"/>
            </w:pPr>
            <w:r>
              <w:t xml:space="preserve">12</w:t>
            </w:r>
          </w:p>
        </w:tc>
      </w:tr>
      <w:tr>
        <w:tc>
          <w:tcPr/>
          <w:p>
            <w:pPr>
              <w:pStyle w:val="Compact"/>
              <w:jc w:val="left"/>
            </w:pPr>
            <w:r>
              <w:t xml:space="preserve">★為○</w:t>
            </w:r>
          </w:p>
        </w:tc>
        <w:tc>
          <w:tcPr/>
          <w:p>
            <w:pPr>
              <w:pStyle w:val="Compact"/>
              <w:jc w:val="left"/>
            </w:pPr>
            <w:r>
              <w:t xml:space="preserve">或為○</w:t>
            </w:r>
          </w:p>
        </w:tc>
        <w:tc>
          <w:tcPr/>
          <w:p>
            <w:pPr>
              <w:pStyle w:val="Compact"/>
              <w:jc w:val="right"/>
            </w:pPr>
            <w:r>
              <w:t xml:space="preserve">1</w:t>
            </w:r>
          </w:p>
        </w:tc>
      </w:tr>
      <w:tr>
        <w:tc>
          <w:tcPr/>
          <w:p>
            <w:pPr>
              <w:pStyle w:val="Compact"/>
            </w:pPr>
          </w:p>
        </w:tc>
        <w:tc>
          <w:tcPr/>
          <w:p>
            <w:pPr>
              <w:pStyle w:val="Compact"/>
              <w:jc w:val="left"/>
            </w:pPr>
            <w:r>
              <w:t xml:space="preserve">Subtotal</w:t>
            </w:r>
          </w:p>
        </w:tc>
        <w:tc>
          <w:tcPr/>
          <w:p>
            <w:pPr>
              <w:pStyle w:val="Compact"/>
              <w:jc w:val="right"/>
            </w:pPr>
            <w:r>
              <w:t xml:space="preserve">1</w:t>
            </w:r>
          </w:p>
        </w:tc>
      </w:tr>
      <w:tr>
        <w:tc>
          <w:tcPr/>
          <w:p>
            <w:pPr>
              <w:pStyle w:val="Compact"/>
              <w:jc w:val="left"/>
            </w:pPr>
            <w:r>
              <w:t xml:space="preserve">★作○</w:t>
            </w:r>
          </w:p>
        </w:tc>
        <w:tc>
          <w:tcPr/>
          <w:p>
            <w:pPr>
              <w:pStyle w:val="Compact"/>
              <w:jc w:val="left"/>
            </w:pPr>
            <w:r>
              <w:t xml:space="preserve">或作○</w:t>
            </w:r>
          </w:p>
        </w:tc>
        <w:tc>
          <w:tcPr/>
          <w:p>
            <w:pPr>
              <w:pStyle w:val="Compact"/>
              <w:jc w:val="right"/>
            </w:pPr>
            <w:r>
              <w:t xml:space="preserve">1</w:t>
            </w:r>
          </w:p>
        </w:tc>
      </w:tr>
      <w:tr>
        <w:tc>
          <w:tcPr/>
          <w:p>
            <w:pPr>
              <w:pStyle w:val="Compact"/>
            </w:pPr>
          </w:p>
        </w:tc>
        <w:tc>
          <w:tcPr/>
          <w:p>
            <w:pPr>
              <w:pStyle w:val="Compact"/>
              <w:jc w:val="left"/>
            </w:pPr>
            <w:r>
              <w:t xml:space="preserve">Subtotal</w:t>
            </w:r>
          </w:p>
        </w:tc>
        <w:tc>
          <w:tcPr/>
          <w:p>
            <w:pPr>
              <w:pStyle w:val="Compact"/>
              <w:jc w:val="right"/>
            </w:pPr>
            <w:r>
              <w:t xml:space="preserve">1</w:t>
            </w:r>
          </w:p>
        </w:tc>
      </w:tr>
      <w:tr>
        <w:tc>
          <w:tcPr/>
          <w:p>
            <w:pPr>
              <w:pStyle w:val="Compact"/>
              <w:jc w:val="left"/>
            </w:pPr>
            <w:r>
              <w:t xml:space="preserve">★○字</w:t>
            </w:r>
          </w:p>
        </w:tc>
        <w:tc>
          <w:tcPr/>
          <w:p>
            <w:pPr>
              <w:pStyle w:val="Compact"/>
              <w:jc w:val="left"/>
            </w:pPr>
            <w:r>
              <w:t xml:space="preserve">正○字</w:t>
            </w:r>
          </w:p>
        </w:tc>
        <w:tc>
          <w:tcPr/>
          <w:p>
            <w:pPr>
              <w:pStyle w:val="Compact"/>
              <w:jc w:val="right"/>
            </w:pPr>
            <w:r>
              <w:t xml:space="preserve">11</w:t>
            </w:r>
          </w:p>
        </w:tc>
      </w:tr>
      <w:tr>
        <w:tc>
          <w:tcPr/>
          <w:p>
            <w:pPr>
              <w:pStyle w:val="Compact"/>
            </w:pPr>
          </w:p>
        </w:tc>
        <w:tc>
          <w:tcPr/>
          <w:p>
            <w:pPr>
              <w:pStyle w:val="Compact"/>
              <w:jc w:val="left"/>
            </w:pPr>
            <w:r>
              <w:t xml:space="preserve">俗○字</w:t>
            </w:r>
          </w:p>
        </w:tc>
        <w:tc>
          <w:tcPr/>
          <w:p>
            <w:pPr>
              <w:pStyle w:val="Compact"/>
              <w:jc w:val="right"/>
            </w:pPr>
            <w:r>
              <w:t xml:space="preserve">149</w:t>
            </w:r>
          </w:p>
        </w:tc>
      </w:tr>
      <w:tr>
        <w:tc>
          <w:tcPr/>
          <w:p>
            <w:pPr>
              <w:pStyle w:val="Compact"/>
            </w:pPr>
          </w:p>
        </w:tc>
        <w:tc>
          <w:tcPr/>
          <w:p>
            <w:pPr>
              <w:pStyle w:val="Compact"/>
              <w:jc w:val="left"/>
            </w:pPr>
            <w:r>
              <w:t xml:space="preserve">通○字</w:t>
            </w:r>
          </w:p>
        </w:tc>
        <w:tc>
          <w:tcPr/>
          <w:p>
            <w:pPr>
              <w:pStyle w:val="Compact"/>
              <w:jc w:val="right"/>
            </w:pPr>
            <w:r>
              <w:t xml:space="preserve">2</w:t>
            </w:r>
          </w:p>
        </w:tc>
      </w:tr>
      <w:tr>
        <w:tc>
          <w:tcPr/>
          <w:p>
            <w:pPr>
              <w:pStyle w:val="Compact"/>
            </w:pPr>
          </w:p>
        </w:tc>
        <w:tc>
          <w:tcPr/>
          <w:p>
            <w:pPr>
              <w:pStyle w:val="Compact"/>
              <w:jc w:val="left"/>
            </w:pPr>
            <w:r>
              <w:t xml:space="preserve">今○字</w:t>
            </w:r>
          </w:p>
        </w:tc>
        <w:tc>
          <w:tcPr/>
          <w:p>
            <w:pPr>
              <w:pStyle w:val="Compact"/>
              <w:jc w:val="right"/>
            </w:pPr>
            <w:r>
              <w:t xml:space="preserve">2</w:t>
            </w:r>
          </w:p>
        </w:tc>
      </w:tr>
      <w:tr>
        <w:tc>
          <w:tcPr/>
          <w:p>
            <w:pPr>
              <w:pStyle w:val="Compact"/>
            </w:pPr>
          </w:p>
        </w:tc>
        <w:tc>
          <w:tcPr/>
          <w:p>
            <w:pPr>
              <w:pStyle w:val="Compact"/>
              <w:jc w:val="left"/>
            </w:pPr>
            <w:r>
              <w:t xml:space="preserve">或○字</w:t>
            </w:r>
          </w:p>
        </w:tc>
        <w:tc>
          <w:tcPr/>
          <w:p>
            <w:pPr>
              <w:pStyle w:val="Compact"/>
              <w:jc w:val="right"/>
            </w:pPr>
            <w:r>
              <w:t xml:space="preserve">25</w:t>
            </w:r>
          </w:p>
        </w:tc>
      </w:tr>
      <w:tr>
        <w:tc>
          <w:tcPr/>
          <w:p>
            <w:pPr>
              <w:pStyle w:val="Compact"/>
            </w:pPr>
          </w:p>
        </w:tc>
        <w:tc>
          <w:tcPr/>
          <w:p>
            <w:pPr>
              <w:pStyle w:val="Compact"/>
              <w:jc w:val="left"/>
            </w:pPr>
            <w:r>
              <w:t xml:space="preserve">古○字</w:t>
            </w:r>
          </w:p>
        </w:tc>
        <w:tc>
          <w:tcPr/>
          <w:p>
            <w:pPr>
              <w:pStyle w:val="Compact"/>
              <w:jc w:val="right"/>
            </w:pPr>
            <w:r>
              <w:t xml:space="preserve">4</w:t>
            </w:r>
          </w:p>
        </w:tc>
      </w:tr>
      <w:tr>
        <w:tc>
          <w:tcPr/>
          <w:p>
            <w:pPr>
              <w:pStyle w:val="Compact"/>
            </w:pPr>
          </w:p>
        </w:tc>
        <w:tc>
          <w:tcPr/>
          <w:p>
            <w:pPr>
              <w:pStyle w:val="Compact"/>
              <w:jc w:val="left"/>
            </w:pPr>
            <w:r>
              <w:t xml:space="preserve">俗通○字</w:t>
            </w:r>
          </w:p>
        </w:tc>
        <w:tc>
          <w:tcPr/>
          <w:p>
            <w:pPr>
              <w:pStyle w:val="Compact"/>
              <w:jc w:val="right"/>
            </w:pPr>
            <w:r>
              <w:t xml:space="preserve">1</w:t>
            </w:r>
          </w:p>
        </w:tc>
      </w:tr>
      <w:tr>
        <w:tc>
          <w:tcPr/>
          <w:p>
            <w:pPr>
              <w:pStyle w:val="Compact"/>
            </w:pPr>
          </w:p>
        </w:tc>
        <w:tc>
          <w:tcPr/>
          <w:p>
            <w:pPr>
              <w:pStyle w:val="Compact"/>
              <w:jc w:val="left"/>
            </w:pPr>
            <w:r>
              <w:t xml:space="preserve">Subtotal</w:t>
            </w:r>
          </w:p>
        </w:tc>
        <w:tc>
          <w:tcPr/>
          <w:p>
            <w:pPr>
              <w:pStyle w:val="Compact"/>
              <w:jc w:val="right"/>
            </w:pPr>
            <w:r>
              <w:t xml:space="preserve">194</w:t>
            </w:r>
          </w:p>
        </w:tc>
      </w:tr>
      <w:tr>
        <w:tc>
          <w:tcPr/>
          <w:p>
            <w:pPr>
              <w:pStyle w:val="Compact"/>
              <w:jc w:val="left"/>
            </w:pPr>
            <w:r>
              <w:t xml:space="preserve">★為○字</w:t>
            </w:r>
          </w:p>
        </w:tc>
        <w:tc>
          <w:tcPr/>
          <w:p>
            <w:pPr>
              <w:pStyle w:val="Compact"/>
              <w:jc w:val="left"/>
            </w:pPr>
            <w:r>
              <w:t xml:space="preserve">今為○字</w:t>
            </w:r>
          </w:p>
        </w:tc>
        <w:tc>
          <w:tcPr/>
          <w:p>
            <w:pPr>
              <w:pStyle w:val="Compact"/>
              <w:jc w:val="right"/>
            </w:pPr>
            <w:r>
              <w:t xml:space="preserve">1</w:t>
            </w:r>
          </w:p>
        </w:tc>
      </w:tr>
      <w:tr>
        <w:tc>
          <w:tcPr/>
          <w:p>
            <w:pPr>
              <w:pStyle w:val="Compact"/>
            </w:pPr>
          </w:p>
        </w:tc>
        <w:tc>
          <w:tcPr/>
          <w:p>
            <w:pPr>
              <w:pStyle w:val="Compact"/>
              <w:jc w:val="left"/>
            </w:pPr>
            <w:r>
              <w:t xml:space="preserve">Subtotal</w:t>
            </w:r>
          </w:p>
        </w:tc>
        <w:tc>
          <w:tcPr/>
          <w:p>
            <w:pPr>
              <w:pStyle w:val="Compact"/>
              <w:jc w:val="right"/>
            </w:pPr>
            <w:r>
              <w:t xml:space="preserve">1</w:t>
            </w:r>
          </w:p>
        </w:tc>
      </w:tr>
      <w:tr>
        <w:tc>
          <w:tcPr/>
          <w:p>
            <w:pPr>
              <w:pStyle w:val="Compact"/>
            </w:pPr>
          </w:p>
        </w:tc>
        <w:tc>
          <w:tcPr/>
          <w:p>
            <w:pPr>
              <w:pStyle w:val="Compact"/>
              <w:jc w:val="left"/>
            </w:pPr>
            <w:r>
              <w:t xml:space="preserve">Total</w:t>
            </w:r>
          </w:p>
        </w:tc>
        <w:tc>
          <w:tcPr/>
          <w:p>
            <w:pPr>
              <w:pStyle w:val="Compact"/>
              <w:jc w:val="right"/>
            </w:pPr>
            <w:r>
              <w:t xml:space="preserve">264</w:t>
            </w:r>
          </w:p>
        </w:tc>
      </w:tr>
    </w:tbl>
    <w:bookmarkEnd w:id="508"/>
    <w:bookmarkStart w:id="608" w:name="X3e185fe03bb0ccab8c3153335b67fbcb42633e6"/>
    <w:p>
      <w:pPr>
        <w:pStyle w:val="Heading2"/>
      </w:pPr>
      <w:r>
        <w:rPr>
          <w:rStyle w:val="SectionNumber"/>
        </w:rPr>
        <w:t xml:space="preserve">22.3</w:t>
      </w:r>
      <w:r>
        <w:tab/>
      </w:r>
      <w:r>
        <w:t xml:space="preserve">‘</w:t>
      </w:r>
      <w:r>
        <w:t xml:space="preserve">滴</w:t>
      </w:r>
      <w:r>
        <w:t xml:space="preserve">’</w:t>
      </w:r>
      <w:r>
        <w:t xml:space="preserve"> </w:t>
      </w:r>
      <w:r>
        <w:t xml:space="preserve">and Its Related Items</w:t>
      </w:r>
    </w:p>
    <w:bookmarkStart w:id="556" w:name="X4b4d4d7e7edf2e2fdff81bff3b6002f528342eb"/>
    <w:p>
      <w:pPr>
        <w:pStyle w:val="Heading3"/>
      </w:pPr>
      <w:r>
        <w:rPr>
          <w:rStyle w:val="SectionNumber"/>
        </w:rPr>
        <w:t xml:space="preserve">22.3.1</w:t>
      </w:r>
      <w:r>
        <w:tab/>
      </w:r>
      <w:r>
        <w:t xml:space="preserve">The Kanchi-in Manuscript’s Record of</w:t>
      </w:r>
      <w:r>
        <w:t xml:space="preserve"> </w:t>
      </w:r>
      <w:r>
        <w:t xml:space="preserve">‘</w:t>
      </w:r>
      <w:r>
        <w:t xml:space="preserve">滴</w:t>
      </w:r>
      <w:r>
        <w:t xml:space="preserve">’</w:t>
      </w:r>
    </w:p>
    <w:p>
      <w:pPr>
        <w:pStyle w:val="FirstParagraph"/>
      </w:pPr>
      <w:r>
        <w:t xml:space="preserve">Let us take up</w:t>
      </w:r>
      <w:r>
        <w:t xml:space="preserve"> </w:t>
      </w:r>
      <w:r>
        <w:t xml:space="preserve">‘</w:t>
      </w:r>
      <w:r>
        <w:t xml:space="preserve">滴</w:t>
      </w:r>
      <w:r>
        <w:t xml:space="preserve">’</w:t>
      </w:r>
      <w:r>
        <w:t xml:space="preserve"> </w:t>
      </w:r>
      <w:r>
        <w:t xml:space="preserve">(Kanchi-in manuscript,</w:t>
      </w:r>
      <w:r>
        <w:t xml:space="preserve"> </w:t>
      </w:r>
      <w:r>
        <w:rPr>
          <w:iCs/>
          <w:i/>
        </w:rPr>
        <w:t xml:space="preserve">Hōjō</w:t>
      </w:r>
      <w:r>
        <w:t xml:space="preserve"> </w:t>
      </w:r>
      <w:r>
        <w:t xml:space="preserve">23), the example cited by Zhang Xinfang, and examine the state of its notation format and</w:t>
      </w:r>
      <w:r>
        <w:t xml:space="preserve"> </w:t>
      </w:r>
      <w:r>
        <w:rPr>
          <w:rStyle w:val="VerbatimChar"/>
          <w:bCs/>
          <w:b/>
        </w:rPr>
        <w:t xml:space="preserve">Form Classification Tag</w:t>
      </w:r>
      <w:r>
        <w:t xml:space="preserve">.</w:t>
      </w:r>
      <w:r>
        <w:t xml:space="preserve"> </w:t>
      </w:r>
      <w:r>
        <w:rPr>
          <w:rStyle w:val="VerbatimChar"/>
          <w:bCs/>
          <w:b/>
        </w:rPr>
        <w:t xml:space="preserve">Notes on Character Form</w:t>
      </w:r>
      <w:r>
        <w:t xml:space="preserve"> </w:t>
      </w:r>
      <w:r>
        <w:t xml:space="preserve">are shown in</w:t>
      </w:r>
      <w:r>
        <w:t xml:space="preserve"> </w:t>
      </w:r>
      <w:r>
        <w:rPr>
          <w:bCs/>
          <w:b/>
        </w:rPr>
        <w:t xml:space="preserve">bold</w:t>
      </w:r>
      <w:r>
        <w:t xml:space="preserve">.</w:t>
      </w:r>
    </w:p>
    <w:p>
      <w:pPr>
        <w:pStyle w:val="BodyText"/>
      </w:pPr>
      <w:r>
        <w:drawing>
          <wp:inline>
            <wp:extent cx="635000" cy="635000"/>
            <wp:effectExtent b="0" l="0" r="0" t="0"/>
            <wp:docPr descr="滴" title="" id="510" name="Picture"/>
            <a:graphic>
              <a:graphicData uri="http://schemas.openxmlformats.org/drawingml/2006/picture">
                <pic:pic>
                  <pic:nvPicPr>
                    <pic:cNvPr descr="https://glyphwiki.org/glyph/hdic_hkrm-05023611.50px.png" id="511" name="Picture"/>
                    <pic:cNvPicPr>
                      <a:picLocks noChangeArrowheads="1" noChangeAspect="1"/>
                    </pic:cNvPicPr>
                  </pic:nvPicPr>
                  <pic:blipFill>
                    <a:blip r:embed="rId509"/>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drawing>
          <wp:inline>
            <wp:extent cx="635000" cy="635000"/>
            <wp:effectExtent b="0" l="0" r="0" t="0"/>
            <wp:docPr descr="𤁷" title="" id="513" name="Picture"/>
            <a:graphic>
              <a:graphicData uri="http://schemas.openxmlformats.org/drawingml/2006/picture">
                <pic:pic>
                  <pic:nvPicPr>
                    <pic:cNvPr descr="https://glyphwiki.org/glyph/hdic_hkrm-05023612.50px.png" id="514" name="Picture"/>
                    <pic:cNvPicPr>
                      <a:picLocks noChangeArrowheads="1" noChangeAspect="1"/>
                    </pic:cNvPicPr>
                  </pic:nvPicPr>
                  <pic:blipFill>
                    <a:blip r:embed="rId512"/>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二正</w:t>
      </w:r>
      <w:r>
        <w:t xml:space="preserve"> </w:t>
      </w:r>
      <w:r>
        <w:drawing>
          <wp:inline>
            <wp:extent cx="635000" cy="635000"/>
            <wp:effectExtent b="0" l="0" r="0" t="0"/>
            <wp:docPr descr="𣾪" title="" id="516" name="Picture"/>
            <a:graphic>
              <a:graphicData uri="http://schemas.openxmlformats.org/drawingml/2006/picture">
                <pic:pic>
                  <pic:nvPicPr>
                    <pic:cNvPr descr="https://glyphwiki.org/glyph/hdic_hkrm-05023620.50px.png" id="517" name="Picture"/>
                    <pic:cNvPicPr>
                      <a:picLocks noChangeArrowheads="1" noChangeAspect="1"/>
                    </pic:cNvPicPr>
                  </pic:nvPicPr>
                  <pic:blipFill>
                    <a:blip r:embed="rId515"/>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或</w:t>
      </w:r>
      <w:r>
        <w:t xml:space="preserve"> </w:t>
      </w:r>
      <w:r>
        <w:drawing>
          <wp:inline>
            <wp:extent cx="635000" cy="635000"/>
            <wp:effectExtent b="0" l="0" r="0" t="0"/>
            <wp:docPr descr="渧" title="" id="519" name="Picture"/>
            <a:graphic>
              <a:graphicData uri="http://schemas.openxmlformats.org/drawingml/2006/picture">
                <pic:pic>
                  <pic:nvPicPr>
                    <pic:cNvPr descr="https://glyphwiki.org/glyph/hdic_hkrm-05023631.50px.png" id="520" name="Picture"/>
                    <pic:cNvPicPr>
                      <a:picLocks noChangeArrowheads="1" noChangeAspect="1"/>
                    </pic:cNvPicPr>
                  </pic:nvPicPr>
                  <pic:blipFill>
                    <a:blip r:embed="rId518"/>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drawing>
          <wp:inline>
            <wp:extent cx="635000" cy="635000"/>
            <wp:effectExtent b="0" l="0" r="0" t="0"/>
            <wp:docPr descr="滳" title="" id="522" name="Picture"/>
            <a:graphic>
              <a:graphicData uri="http://schemas.openxmlformats.org/drawingml/2006/picture">
                <pic:pic>
                  <pic:nvPicPr>
                    <pic:cNvPr descr="https://glyphwiki.org/glyph/hdic_hkrm-05023632.50px.png" id="523" name="Picture"/>
                    <pic:cNvPicPr>
                      <a:picLocks noChangeArrowheads="1" noChangeAspect="1"/>
                    </pic:cNvPicPr>
                  </pic:nvPicPr>
                  <pic:blipFill>
                    <a:blip r:embed="rId521"/>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二俗</w:t>
      </w:r>
      <w:r>
        <w:t xml:space="preserve"> </w:t>
      </w:r>
      <w:r>
        <w:drawing>
          <wp:inline>
            <wp:extent cx="635000" cy="635000"/>
            <wp:effectExtent b="0" l="0" r="0" t="0"/>
            <wp:docPr descr="渧" title="" id="525" name="Picture"/>
            <a:graphic>
              <a:graphicData uri="http://schemas.openxmlformats.org/drawingml/2006/picture">
                <pic:pic>
                  <pic:nvPicPr>
                    <pic:cNvPr descr="https://glyphwiki.org/glyph/hdic_hkrm-05023710.50px.png" id="526" name="Picture"/>
                    <pic:cNvPicPr>
                      <a:picLocks noChangeArrowheads="1" noChangeAspect="1"/>
                    </pic:cNvPicPr>
                  </pic:nvPicPr>
                  <pic:blipFill>
                    <a:blip r:embed="rId524"/>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俗滳字</w:t>
      </w:r>
    </w:p>
    <w:p>
      <w:pPr>
        <w:pStyle w:val="BodyText"/>
      </w:pPr>
      <w:r>
        <w:t xml:space="preserve">Since Zhang Xinfang’s presentation is simplified, the full text of the</w:t>
      </w:r>
      <w:r>
        <w:t xml:space="preserve"> </w:t>
      </w:r>
      <w:r>
        <w:rPr>
          <w:rStyle w:val="VerbatimChar"/>
          <w:bCs/>
          <w:b/>
        </w:rPr>
        <w:t xml:space="preserve">Original Glosses</w:t>
      </w:r>
      <w:r>
        <w:t xml:space="preserve"> </w:t>
      </w:r>
      <w:r>
        <w:t xml:space="preserve">is given below. Line breaks have been inserted as appropriate, and numbers have been assigned.</w:t>
      </w:r>
    </w:p>
    <w:p>
      <w:pPr>
        <w:numPr>
          <w:ilvl w:val="0"/>
          <w:numId w:val="1233"/>
        </w:numPr>
        <w:pStyle w:val="Compact"/>
      </w:pPr>
      <w:r>
        <w:drawing>
          <wp:inline>
            <wp:extent cx="635000" cy="635000"/>
            <wp:effectExtent b="0" l="0" r="0" t="0"/>
            <wp:docPr descr="滴" title="" id="527" name="Picture"/>
            <a:graphic>
              <a:graphicData uri="http://schemas.openxmlformats.org/drawingml/2006/picture">
                <pic:pic>
                  <pic:nvPicPr>
                    <pic:cNvPr descr="https://glyphwiki.org/glyph/hdic_hkrm-05023611.50px.png" id="528" name="Picture"/>
                    <pic:cNvPicPr>
                      <a:picLocks noChangeArrowheads="1" noChangeAspect="1"/>
                    </pic:cNvPicPr>
                  </pic:nvPicPr>
                  <pic:blipFill>
                    <a:blip r:embed="rId509"/>
                    <a:stretch>
                      <a:fillRect/>
                    </a:stretch>
                  </pic:blipFill>
                  <pic:spPr bwMode="auto">
                    <a:xfrm>
                      <a:off x="0" y="0"/>
                      <a:ext cx="635000" cy="635000"/>
                    </a:xfrm>
                    <a:prstGeom prst="rect">
                      <a:avLst/>
                    </a:prstGeom>
                    <a:noFill/>
                    <a:ln w="9525">
                      <a:noFill/>
                      <a:headEnd/>
                      <a:tailEnd/>
                    </a:ln>
                  </pic:spPr>
                </pic:pic>
              </a:graphicData>
            </a:graphic>
          </wp:inline>
        </w:drawing>
      </w:r>
      <w:r>
        <w:drawing>
          <wp:inline>
            <wp:extent cx="635000" cy="635000"/>
            <wp:effectExtent b="0" l="0" r="0" t="0"/>
            <wp:docPr descr="𤁷" title="" id="529" name="Picture"/>
            <a:graphic>
              <a:graphicData uri="http://schemas.openxmlformats.org/drawingml/2006/picture">
                <pic:pic>
                  <pic:nvPicPr>
                    <pic:cNvPr descr="https://glyphwiki.org/glyph/hdic_hkrm-05023612.50px.png" id="530" name="Picture"/>
                    <pic:cNvPicPr>
                      <a:picLocks noChangeArrowheads="1" noChangeAspect="1"/>
                    </pic:cNvPicPr>
                  </pic:nvPicPr>
                  <pic:blipFill>
                    <a:blip r:embed="rId512"/>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二正</w:t>
      </w:r>
      <w:r>
        <w:t xml:space="preserve">　丁狄反　シタヽル(LL__)　音的　アマツヒ</w:t>
      </w:r>
    </w:p>
    <w:p>
      <w:pPr>
        <w:numPr>
          <w:ilvl w:val="0"/>
          <w:numId w:val="1233"/>
        </w:numPr>
        <w:pStyle w:val="Compact"/>
      </w:pPr>
      <w:r>
        <w:drawing>
          <wp:inline>
            <wp:extent cx="635000" cy="635000"/>
            <wp:effectExtent b="0" l="0" r="0" t="0"/>
            <wp:docPr descr="𣾪" title="" id="531" name="Picture"/>
            <a:graphic>
              <a:graphicData uri="http://schemas.openxmlformats.org/drawingml/2006/picture">
                <pic:pic>
                  <pic:nvPicPr>
                    <pic:cNvPr descr="https://glyphwiki.org/glyph/hdic_hkrm-05023620.50px.png" id="532" name="Picture"/>
                    <pic:cNvPicPr>
                      <a:picLocks noChangeArrowheads="1" noChangeAspect="1"/>
                    </pic:cNvPicPr>
                  </pic:nvPicPr>
                  <pic:blipFill>
                    <a:blip r:embed="rId515"/>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或</w:t>
      </w:r>
      <w:r>
        <w:br/>
      </w:r>
    </w:p>
    <w:p>
      <w:pPr>
        <w:numPr>
          <w:ilvl w:val="0"/>
          <w:numId w:val="1233"/>
        </w:numPr>
        <w:pStyle w:val="Compact"/>
      </w:pPr>
      <w:r>
        <w:drawing>
          <wp:inline>
            <wp:extent cx="635000" cy="635000"/>
            <wp:effectExtent b="0" l="0" r="0" t="0"/>
            <wp:docPr descr="渧" title="" id="533" name="Picture"/>
            <a:graphic>
              <a:graphicData uri="http://schemas.openxmlformats.org/drawingml/2006/picture">
                <pic:pic>
                  <pic:nvPicPr>
                    <pic:cNvPr descr="https://glyphwiki.org/glyph/hdic_hkrm-05023631.50px.png" id="534" name="Picture"/>
                    <pic:cNvPicPr>
                      <a:picLocks noChangeArrowheads="1" noChangeAspect="1"/>
                    </pic:cNvPicPr>
                  </pic:nvPicPr>
                  <pic:blipFill>
                    <a:blip r:embed="rId518"/>
                    <a:stretch>
                      <a:fillRect/>
                    </a:stretch>
                  </pic:blipFill>
                  <pic:spPr bwMode="auto">
                    <a:xfrm>
                      <a:off x="0" y="0"/>
                      <a:ext cx="635000" cy="635000"/>
                    </a:xfrm>
                    <a:prstGeom prst="rect">
                      <a:avLst/>
                    </a:prstGeom>
                    <a:noFill/>
                    <a:ln w="9525">
                      <a:noFill/>
                      <a:headEnd/>
                      <a:tailEnd/>
                    </a:ln>
                  </pic:spPr>
                </pic:pic>
              </a:graphicData>
            </a:graphic>
          </wp:inline>
        </w:drawing>
      </w:r>
      <w:r>
        <w:drawing>
          <wp:inline>
            <wp:extent cx="635000" cy="635000"/>
            <wp:effectExtent b="0" l="0" r="0" t="0"/>
            <wp:docPr descr="滳" title="" id="535" name="Picture"/>
            <a:graphic>
              <a:graphicData uri="http://schemas.openxmlformats.org/drawingml/2006/picture">
                <pic:pic>
                  <pic:nvPicPr>
                    <pic:cNvPr descr="https://glyphwiki.org/glyph/hdic_hkrm-05023632.50px.png" id="536" name="Picture"/>
                    <pic:cNvPicPr>
                      <a:picLocks noChangeArrowheads="1" noChangeAspect="1"/>
                    </pic:cNvPicPr>
                  </pic:nvPicPr>
                  <pic:blipFill>
                    <a:blip r:embed="rId521"/>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二俗</w:t>
      </w:r>
      <w:r>
        <w:br/>
      </w:r>
    </w:p>
    <w:p>
      <w:pPr>
        <w:numPr>
          <w:ilvl w:val="0"/>
          <w:numId w:val="1233"/>
        </w:numPr>
        <w:pStyle w:val="Compact"/>
      </w:pPr>
      <w:r>
        <w:drawing>
          <wp:inline>
            <wp:extent cx="635000" cy="635000"/>
            <wp:effectExtent b="0" l="0" r="0" t="0"/>
            <wp:docPr descr="滳" title="" id="538" name="Picture"/>
            <a:graphic>
              <a:graphicData uri="http://schemas.openxmlformats.org/drawingml/2006/picture">
                <pic:pic>
                  <pic:nvPicPr>
                    <pic:cNvPr descr="https://glyphwiki.org/glyph/hdic_hkrm-05023640.50px.png" id="539" name="Picture"/>
                    <pic:cNvPicPr>
                      <a:picLocks noChangeArrowheads="1" noChangeAspect="1"/>
                    </pic:cNvPicPr>
                  </pic:nvPicPr>
                  <pic:blipFill>
                    <a:blip r:embed="rId537"/>
                    <a:stretch>
                      <a:fillRect/>
                    </a:stretch>
                  </pic:blipFill>
                  <pic:spPr bwMode="auto">
                    <a:xfrm>
                      <a:off x="0" y="0"/>
                      <a:ext cx="635000" cy="635000"/>
                    </a:xfrm>
                    <a:prstGeom prst="rect">
                      <a:avLst/>
                    </a:prstGeom>
                    <a:noFill/>
                    <a:ln w="9525">
                      <a:noFill/>
                      <a:headEnd/>
                      <a:tailEnd/>
                    </a:ln>
                  </pic:spPr>
                </pic:pic>
              </a:graphicData>
            </a:graphic>
          </wp:inline>
        </w:drawing>
      </w:r>
      <w:r>
        <w:t xml:space="preserve">音商　阿懸名</w:t>
      </w:r>
      <w:r>
        <w:br/>
      </w:r>
    </w:p>
    <w:p>
      <w:pPr>
        <w:numPr>
          <w:ilvl w:val="0"/>
          <w:numId w:val="1233"/>
        </w:numPr>
        <w:pStyle w:val="Compact"/>
      </w:pPr>
      <w:r>
        <w:drawing>
          <wp:inline>
            <wp:extent cx="635000" cy="635000"/>
            <wp:effectExtent b="0" l="0" r="0" t="0"/>
            <wp:docPr descr="渧" title="" id="540" name="Picture"/>
            <a:graphic>
              <a:graphicData uri="http://schemas.openxmlformats.org/drawingml/2006/picture">
                <pic:pic>
                  <pic:nvPicPr>
                    <pic:cNvPr descr="https://glyphwiki.org/glyph/hdic_hkrm-05023710.50px.png" id="541" name="Picture"/>
                    <pic:cNvPicPr>
                      <a:picLocks noChangeArrowheads="1" noChangeAspect="1"/>
                    </pic:cNvPicPr>
                  </pic:nvPicPr>
                  <pic:blipFill>
                    <a:blip r:embed="rId524"/>
                    <a:stretch>
                      <a:fillRect/>
                    </a:stretch>
                  </pic:blipFill>
                  <pic:spPr bwMode="auto">
                    <a:xfrm>
                      <a:off x="0" y="0"/>
                      <a:ext cx="635000" cy="635000"/>
                    </a:xfrm>
                    <a:prstGeom prst="rect">
                      <a:avLst/>
                    </a:prstGeom>
                    <a:noFill/>
                    <a:ln w="9525">
                      <a:noFill/>
                      <a:headEnd/>
                      <a:tailEnd/>
                    </a:ln>
                  </pic:spPr>
                </pic:pic>
              </a:graphicData>
            </a:graphic>
          </wp:inline>
        </w:drawing>
      </w:r>
      <w:r>
        <w:t xml:space="preserve">音帝　音テイ(LH)　シタヽル(LLLVL)　アマツヒ　水ツミ　又都歴反　</w:t>
      </w:r>
      <w:r>
        <w:rPr>
          <w:bCs/>
          <w:b/>
        </w:rPr>
        <w:t xml:space="preserve">俗滳字</w:t>
      </w:r>
    </w:p>
    <w:p>
      <w:pPr>
        <w:pStyle w:val="FirstParagraph"/>
      </w:pPr>
      <w:r>
        <w:t xml:space="preserve">Items 1, 2, and 3 are all in the</w:t>
      </w:r>
      <w:r>
        <w:t xml:space="preserve"> </w:t>
      </w:r>
      <w:r>
        <w:t xml:space="preserve">‘</w:t>
      </w:r>
      <w:r>
        <w:t xml:space="preserve">○★</w:t>
      </w:r>
      <w:r>
        <w:t xml:space="preserve">’</w:t>
      </w:r>
      <w:r>
        <w:t xml:space="preserve"> </w:t>
      </w:r>
      <w:r>
        <w:t xml:space="preserve">notation format. Based on the</w:t>
      </w:r>
      <w:r>
        <w:t xml:space="preserve"> </w:t>
      </w:r>
      <w:r>
        <w:rPr>
          <w:rStyle w:val="VerbatimChar"/>
          <w:bCs/>
          <w:b/>
        </w:rPr>
        <w:t xml:space="preserve">Phonetic Gloss</w:t>
      </w:r>
      <w:r>
        <w:t xml:space="preserve"> </w:t>
      </w:r>
      <w:r>
        <w:t xml:space="preserve">‘</w:t>
      </w:r>
      <w:r>
        <w:t xml:space="preserve">丁狄反</w:t>
      </w:r>
      <w:r>
        <w:t xml:space="preserve">’</w:t>
      </w:r>
      <w:r>
        <w:t xml:space="preserve"> </w:t>
      </w:r>
      <w:r>
        <w:t xml:space="preserve">and the</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w:t>
      </w:r>
      <w:r>
        <w:t xml:space="preserve">シタヽル</w:t>
      </w:r>
      <w:r>
        <w:t xml:space="preserve">’</w:t>
      </w:r>
      <w:r>
        <w:t xml:space="preserve"> </w:t>
      </w:r>
      <w:r>
        <w:t xml:space="preserve">in item 1, this is presumably</w:t>
      </w:r>
      <w:r>
        <w:t xml:space="preserve"> </w:t>
      </w:r>
      <w:r>
        <w:drawing>
          <wp:inline>
            <wp:extent cx="635000" cy="635000"/>
            <wp:effectExtent b="0" l="0" r="0" t="0"/>
            <wp:docPr descr="滴" title="" id="543" name="Picture"/>
            <a:graphic>
              <a:graphicData uri="http://schemas.openxmlformats.org/drawingml/2006/picture">
                <pic:pic>
                  <pic:nvPicPr>
                    <pic:cNvPr descr="https://glyphwiki.org/glyph/u6ef4.50px.png" id="544" name="Picture"/>
                    <pic:cNvPicPr>
                      <a:picLocks noChangeArrowheads="1" noChangeAspect="1"/>
                    </pic:cNvPicPr>
                  </pic:nvPicPr>
                  <pic:blipFill>
                    <a:blip r:embed="rId542"/>
                    <a:stretch>
                      <a:fillRect/>
                    </a:stretch>
                  </pic:blipFill>
                  <pic:spPr bwMode="auto">
                    <a:xfrm>
                      <a:off x="0" y="0"/>
                      <a:ext cx="635000" cy="635000"/>
                    </a:xfrm>
                    <a:prstGeom prst="rect">
                      <a:avLst/>
                    </a:prstGeom>
                    <a:noFill/>
                    <a:ln w="9525">
                      <a:noFill/>
                      <a:headEnd/>
                      <a:tailEnd/>
                    </a:ln>
                  </pic:spPr>
                </pic:pic>
              </a:graphicData>
            </a:graphic>
          </wp:inline>
        </w:drawing>
      </w:r>
      <w:r>
        <w:t xml:space="preserve">.</w:t>
      </w:r>
      <w:r>
        <w:t xml:space="preserve"> </w:t>
      </w:r>
      <w:r>
        <w:t xml:space="preserve">‘</w:t>
      </w:r>
      <w:r>
        <w:t xml:space="preserve">滴</w:t>
      </w:r>
      <w:r>
        <w:t xml:space="preserve">’</w:t>
      </w:r>
      <w:r>
        <w:t xml:space="preserve"> </w:t>
      </w:r>
      <w:r>
        <w:t xml:space="preserve">is also given the glyph form</w:t>
      </w:r>
      <w:r>
        <w:t xml:space="preserve"> </w:t>
      </w:r>
      <w:r>
        <w:drawing>
          <wp:inline>
            <wp:extent cx="635000" cy="635000"/>
            <wp:effectExtent b="0" l="0" r="0" t="0"/>
            <wp:docPr descr="滴" title="" id="545" name="Picture"/>
            <a:graphic>
              <a:graphicData uri="http://schemas.openxmlformats.org/drawingml/2006/picture">
                <pic:pic>
                  <pic:nvPicPr>
                    <pic:cNvPr descr="https://glyphwiki.org/glyph/hdic_hkrm-05023611.50px.png" id="546" name="Picture"/>
                    <pic:cNvPicPr>
                      <a:picLocks noChangeArrowheads="1" noChangeAspect="1"/>
                    </pic:cNvPicPr>
                  </pic:nvPicPr>
                  <pic:blipFill>
                    <a:blip r:embed="rId509"/>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in both the</w:t>
      </w:r>
      <w:r>
        <w:t xml:space="preserve"> </w:t>
      </w:r>
      <w:r>
        <w:rPr>
          <w:iCs/>
          <w:i/>
        </w:rPr>
        <w:t xml:space="preserve">Tenrei Banshō Meigi</w:t>
      </w:r>
      <w:r>
        <w:t xml:space="preserve"> </w:t>
      </w:r>
      <w:r>
        <w:t xml:space="preserve">and the</w:t>
      </w:r>
      <w:r>
        <w:t xml:space="preserve"> </w:t>
      </w:r>
      <w:r>
        <w:rPr>
          <w:iCs/>
          <w:i/>
        </w:rPr>
        <w:t xml:space="preserve">Shinsen Jikyō</w:t>
      </w:r>
      <w:r>
        <w:t xml:space="preserve">, which can be confirmed via a</w:t>
      </w:r>
      <w:r>
        <w:t xml:space="preserve"> </w:t>
      </w:r>
      <w:hyperlink r:id="rId547">
        <w:r>
          <w:rPr>
            <w:rStyle w:val="Hyperlink"/>
          </w:rPr>
          <w:t xml:space="preserve">CHISE</w:t>
        </w:r>
      </w:hyperlink>
      <w:r>
        <w:t xml:space="preserve"> </w:t>
      </w:r>
      <w:r>
        <w:t xml:space="preserve">search.</w:t>
      </w:r>
      <w:r>
        <w:t xml:space="preserve"> </w:t>
      </w:r>
      <w:r>
        <w:t xml:space="preserve">‘</w:t>
      </w:r>
      <w:r>
        <w:t xml:space="preserve">滴</w:t>
      </w:r>
      <w:r>
        <w:t xml:space="preserve">’</w:t>
      </w:r>
      <w:r>
        <w:t xml:space="preserve"> </w:t>
      </w:r>
      <w:r>
        <w:t xml:space="preserve">is not included in HNG (Hanzi Normative Glyphs Database), but</w:t>
      </w:r>
      <w:r>
        <w:t xml:space="preserve"> </w:t>
      </w:r>
      <w:r>
        <w:t xml:space="preserve">‘</w:t>
      </w:r>
      <w:r>
        <w:t xml:space="preserve">適,</w:t>
      </w:r>
      <w:r>
        <w:t xml:space="preserve">’</w:t>
      </w:r>
      <w:r>
        <w:t xml:space="preserve"> </w:t>
      </w:r>
      <w:r>
        <w:t xml:space="preserve">which has</w:t>
      </w:r>
      <w:r>
        <w:t xml:space="preserve"> </w:t>
      </w:r>
      <w:r>
        <w:t xml:space="preserve">‘</w:t>
      </w:r>
      <w:r>
        <w:t xml:space="preserve">啇</w:t>
      </w:r>
      <w:r>
        <w:t xml:space="preserve">’</w:t>
      </w:r>
      <w:r>
        <w:t xml:space="preserve"> </w:t>
      </w:r>
      <w:r>
        <w:t xml:space="preserve">as one of its constituent components, is written with the</w:t>
      </w:r>
      <w:r>
        <w:t xml:space="preserve"> </w:t>
      </w:r>
      <w:r>
        <w:t xml:space="preserve">‘</w:t>
      </w:r>
      <w:r>
        <w:t xml:space="preserve">啇</w:t>
      </w:r>
      <w:r>
        <w:t xml:space="preserve">’</w:t>
      </w:r>
      <w:r>
        <w:t xml:space="preserve"> </w:t>
      </w:r>
      <w:r>
        <w:t xml:space="preserve">portion in the form of</w:t>
      </w:r>
      <w:r>
        <w:t xml:space="preserve"> </w:t>
      </w:r>
      <w:r>
        <w:t xml:space="preserve">‘</w:t>
      </w:r>
      <w:r>
        <w:t xml:space="preserve">商</w:t>
      </w:r>
      <w:r>
        <w:t xml:space="preserve">’</w:t>
      </w:r>
      <w:r>
        <w:t xml:space="preserve"> </w:t>
      </w:r>
      <w:r>
        <w:t xml:space="preserve">in Japanese manuscripts (the</w:t>
      </w:r>
      <w:r>
        <w:t xml:space="preserve"> </w:t>
      </w:r>
      <w:r>
        <w:rPr>
          <w:iCs/>
          <w:i/>
        </w:rPr>
        <w:t xml:space="preserve">Miroku Jōshō</w:t>
      </w:r>
      <w:r>
        <w:t xml:space="preserve">,</w:t>
      </w:r>
      <w:r>
        <w:t xml:space="preserve"> </w:t>
      </w:r>
      <w:r>
        <w:rPr>
          <w:iCs/>
          <w:i/>
        </w:rPr>
        <w:t xml:space="preserve">Inseidaikyō</w:t>
      </w:r>
      <w:r>
        <w:t xml:space="preserve">, and</w:t>
      </w:r>
      <w:r>
        <w:t xml:space="preserve"> </w:t>
      </w:r>
      <w:r>
        <w:rPr>
          <w:iCs/>
          <w:i/>
        </w:rPr>
        <w:t xml:space="preserve">Bussetsu Daikyō</w:t>
      </w:r>
      <w:r>
        <w:t xml:space="preserve">).</w:t>
      </w:r>
    </w:p>
    <w:p>
      <w:pPr>
        <w:pStyle w:val="BodyText"/>
      </w:pPr>
      <w:r>
        <w:t xml:space="preserve">Meanwhile, item 4 has the same glyph form as item 1’s</w:t>
      </w:r>
      <w:r>
        <w:t xml:space="preserve"> </w:t>
      </w:r>
      <w:r>
        <w:drawing>
          <wp:inline>
            <wp:extent cx="635000" cy="635000"/>
            <wp:effectExtent b="0" l="0" r="0" t="0"/>
            <wp:docPr descr="滴" title="" id="548" name="Picture"/>
            <a:graphic>
              <a:graphicData uri="http://schemas.openxmlformats.org/drawingml/2006/picture">
                <pic:pic>
                  <pic:nvPicPr>
                    <pic:cNvPr descr="https://glyphwiki.org/glyph/hdic_hkrm-05023611.50px.png" id="549" name="Picture"/>
                    <pic:cNvPicPr>
                      <a:picLocks noChangeArrowheads="1" noChangeAspect="1"/>
                    </pic:cNvPicPr>
                  </pic:nvPicPr>
                  <pic:blipFill>
                    <a:blip r:embed="rId509"/>
                    <a:stretch>
                      <a:fillRect/>
                    </a:stretch>
                  </pic:blipFill>
                  <pic:spPr bwMode="auto">
                    <a:xfrm>
                      <a:off x="0" y="0"/>
                      <a:ext cx="635000" cy="635000"/>
                    </a:xfrm>
                    <a:prstGeom prst="rect">
                      <a:avLst/>
                    </a:prstGeom>
                    <a:noFill/>
                    <a:ln w="9525">
                      <a:noFill/>
                      <a:headEnd/>
                      <a:tailEnd/>
                    </a:ln>
                  </pic:spPr>
                </pic:pic>
              </a:graphicData>
            </a:graphic>
          </wp:inline>
        </w:drawing>
      </w:r>
      <w:r>
        <w:t xml:space="preserve">, but its</w:t>
      </w:r>
      <w:r>
        <w:t xml:space="preserve"> </w:t>
      </w:r>
      <w:r>
        <w:rPr>
          <w:rStyle w:val="VerbatimChar"/>
          <w:bCs/>
          <w:b/>
        </w:rPr>
        <w:t xml:space="preserve">Original Glosses</w:t>
      </w:r>
      <w:r>
        <w:t xml:space="preserve"> </w:t>
      </w:r>
      <w:r>
        <w:t xml:space="preserve">read</w:t>
      </w:r>
      <w:r>
        <w:t xml:space="preserve"> </w:t>
      </w:r>
      <w:r>
        <w:t xml:space="preserve">“</w:t>
      </w:r>
      <w:r>
        <w:t xml:space="preserve">音商　阿懸名,</w:t>
      </w:r>
      <w:r>
        <w:t xml:space="preserve">”</w:t>
      </w:r>
      <w:r>
        <w:t xml:space="preserve"> </w:t>
      </w:r>
      <w:r>
        <w:t xml:space="preserve">suggesting it should be understood as</w:t>
      </w:r>
      <w:r>
        <w:t xml:space="preserve"> </w:t>
      </w:r>
      <w:r>
        <w:t xml:space="preserve">‘</w:t>
      </w:r>
      <w:r>
        <w:t xml:space="preserve">滳.</w:t>
      </w:r>
      <w:r>
        <w:t xml:space="preserve">’</w:t>
      </w:r>
    </w:p>
    <w:p>
      <w:pPr>
        <w:pStyle w:val="BodyText"/>
      </w:pPr>
      <w:r>
        <w:t xml:space="preserve">Item 1 has wormhole damage and is difficult to decipher, but</w:t>
      </w:r>
      <w:r>
        <w:t xml:space="preserve"> </w:t>
      </w:r>
      <w:r>
        <w:rPr>
          <w:bCs/>
          <w:b/>
        </w:rPr>
        <w:t xml:space="preserve">Masamune’s Index</w:t>
      </w:r>
      <w:r>
        <w:t xml:space="preserve"> </w:t>
      </w:r>
      <w:r>
        <w:t xml:space="preserve">reads item 1’s</w:t>
      </w:r>
      <w:r>
        <w:t xml:space="preserve"> </w:t>
      </w:r>
      <w:r>
        <w:drawing>
          <wp:inline>
            <wp:extent cx="635000" cy="635000"/>
            <wp:effectExtent b="0" l="0" r="0" t="0"/>
            <wp:docPr descr="滴" title="" id="550" name="Picture"/>
            <a:graphic>
              <a:graphicData uri="http://schemas.openxmlformats.org/drawingml/2006/picture">
                <pic:pic>
                  <pic:nvPicPr>
                    <pic:cNvPr descr="https://glyphwiki.org/glyph/hdic_hkrm-05023611.50px.png" id="551" name="Picture"/>
                    <pic:cNvPicPr>
                      <a:picLocks noChangeArrowheads="1" noChangeAspect="1"/>
                    </pic:cNvPicPr>
                  </pic:nvPicPr>
                  <pic:blipFill>
                    <a:blip r:embed="rId509"/>
                    <a:stretch>
                      <a:fillRect/>
                    </a:stretch>
                  </pic:blipFill>
                  <pic:spPr bwMode="auto">
                    <a:xfrm>
                      <a:off x="0" y="0"/>
                      <a:ext cx="635000" cy="635000"/>
                    </a:xfrm>
                    <a:prstGeom prst="rect">
                      <a:avLst/>
                    </a:prstGeom>
                    <a:noFill/>
                    <a:ln w="9525">
                      <a:noFill/>
                      <a:headEnd/>
                      <a:tailEnd/>
                    </a:ln>
                  </pic:spPr>
                </pic:pic>
              </a:graphicData>
            </a:graphic>
          </wp:inline>
        </w:drawing>
      </w:r>
      <w:r>
        <w:t xml:space="preserve">, item 3’s</w:t>
      </w:r>
      <w:r>
        <w:t xml:space="preserve"> </w:t>
      </w:r>
      <w:r>
        <w:drawing>
          <wp:inline>
            <wp:extent cx="635000" cy="635000"/>
            <wp:effectExtent b="0" l="0" r="0" t="0"/>
            <wp:docPr descr="滳" title="" id="552" name="Picture"/>
            <a:graphic>
              <a:graphicData uri="http://schemas.openxmlformats.org/drawingml/2006/picture">
                <pic:pic>
                  <pic:nvPicPr>
                    <pic:cNvPr descr="https://glyphwiki.org/glyph/hdic_hkrm-05023632.50px.png" id="553" name="Picture"/>
                    <pic:cNvPicPr>
                      <a:picLocks noChangeArrowheads="1" noChangeAspect="1"/>
                    </pic:cNvPicPr>
                  </pic:nvPicPr>
                  <pic:blipFill>
                    <a:blip r:embed="rId521"/>
                    <a:stretch>
                      <a:fillRect/>
                    </a:stretch>
                  </pic:blipFill>
                  <pic:spPr bwMode="auto">
                    <a:xfrm>
                      <a:off x="0" y="0"/>
                      <a:ext cx="635000" cy="635000"/>
                    </a:xfrm>
                    <a:prstGeom prst="rect">
                      <a:avLst/>
                    </a:prstGeom>
                    <a:noFill/>
                    <a:ln w="9525">
                      <a:noFill/>
                      <a:headEnd/>
                      <a:tailEnd/>
                    </a:ln>
                  </pic:spPr>
                </pic:pic>
              </a:graphicData>
            </a:graphic>
          </wp:inline>
        </w:drawing>
      </w:r>
      <w:r>
        <w:t xml:space="preserve">, and item 4’s</w:t>
      </w:r>
      <w:r>
        <w:t xml:space="preserve"> </w:t>
      </w:r>
      <w:r>
        <w:drawing>
          <wp:inline>
            <wp:extent cx="635000" cy="635000"/>
            <wp:effectExtent b="0" l="0" r="0" t="0"/>
            <wp:docPr descr="滳" title="" id="554" name="Picture"/>
            <a:graphic>
              <a:graphicData uri="http://schemas.openxmlformats.org/drawingml/2006/picture">
                <pic:pic>
                  <pic:nvPicPr>
                    <pic:cNvPr descr="https://glyphwiki.org/glyph/hdic_hkrm-05023640.50px.png" id="555" name="Picture"/>
                    <pic:cNvPicPr>
                      <a:picLocks noChangeArrowheads="1" noChangeAspect="1"/>
                    </pic:cNvPicPr>
                  </pic:nvPicPr>
                  <pic:blipFill>
                    <a:blip r:embed="rId537"/>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as the same glyph form.</w:t>
      </w:r>
    </w:p>
    <w:bookmarkEnd w:id="556"/>
    <w:bookmarkStart w:id="586" w:name="X4030690472543a152fb5c64df282d9f894bf56b"/>
    <w:p>
      <w:pPr>
        <w:pStyle w:val="Heading3"/>
      </w:pPr>
      <w:r>
        <w:rPr>
          <w:rStyle w:val="SectionNumber"/>
        </w:rPr>
        <w:t xml:space="preserve">22.3.2</w:t>
      </w:r>
      <w:r>
        <w:tab/>
      </w:r>
      <w:r>
        <w:t xml:space="preserve">The Renjō-in Manuscript’s Record of</w:t>
      </w:r>
      <w:r>
        <w:t xml:space="preserve"> </w:t>
      </w:r>
      <w:r>
        <w:t xml:space="preserve">‘</w:t>
      </w:r>
      <w:r>
        <w:t xml:space="preserve">滴</w:t>
      </w:r>
      <w:r>
        <w:t xml:space="preserve">’</w:t>
      </w:r>
    </w:p>
    <w:p>
      <w:pPr>
        <w:pStyle w:val="FirstParagraph"/>
      </w:pPr>
      <w:r>
        <w:t xml:space="preserve">Among the revised-compilation manuscripts other than the Kanchi-in manuscript, this passage survives only in the Renjō-in manuscript, where it appears as follows (Middle volume, fascicle 1, folio 12 verso).</w:t>
      </w:r>
    </w:p>
    <w:p>
      <w:pPr>
        <w:numPr>
          <w:ilvl w:val="0"/>
          <w:numId w:val="1234"/>
        </w:numPr>
        <w:pStyle w:val="Compact"/>
      </w:pPr>
      <w:r>
        <w:drawing>
          <wp:inline>
            <wp:extent cx="635000" cy="635000"/>
            <wp:effectExtent b="0" l="0" r="0" t="0"/>
            <wp:docPr descr="滴" title="" id="557" name="Picture"/>
            <a:graphic>
              <a:graphicData uri="http://schemas.openxmlformats.org/drawingml/2006/picture">
                <pic:pic>
                  <pic:nvPicPr>
                    <pic:cNvPr descr="https://glyphwiki.org/glyph/u6ef4.50px.png" id="558" name="Picture"/>
                    <pic:cNvPicPr>
                      <a:picLocks noChangeArrowheads="1" noChangeAspect="1"/>
                    </pic:cNvPicPr>
                  </pic:nvPicPr>
                  <pic:blipFill>
                    <a:blip r:embed="rId542"/>
                    <a:stretch>
                      <a:fillRect/>
                    </a:stretch>
                  </pic:blipFill>
                  <pic:spPr bwMode="auto">
                    <a:xfrm>
                      <a:off x="0" y="0"/>
                      <a:ext cx="635000" cy="635000"/>
                    </a:xfrm>
                    <a:prstGeom prst="rect">
                      <a:avLst/>
                    </a:prstGeom>
                    <a:noFill/>
                    <a:ln w="9525">
                      <a:noFill/>
                      <a:headEnd/>
                      <a:tailEnd/>
                    </a:ln>
                  </pic:spPr>
                </pic:pic>
              </a:graphicData>
            </a:graphic>
          </wp:inline>
        </w:drawing>
      </w:r>
      <w:r>
        <w:drawing>
          <wp:inline>
            <wp:extent cx="635000" cy="635000"/>
            <wp:effectExtent b="0" l="0" r="0" t="0"/>
            <wp:docPr descr="𤁷" title="" id="560" name="Picture"/>
            <a:graphic>
              <a:graphicData uri="http://schemas.openxmlformats.org/drawingml/2006/picture">
                <pic:pic>
                  <pic:nvPicPr>
                    <pic:cNvPr descr="https://glyphwiki.org/glyph/u24077.50px.png" id="561" name="Picture"/>
                    <pic:cNvPicPr>
                      <a:picLocks noChangeArrowheads="1" noChangeAspect="1"/>
                    </pic:cNvPicPr>
                  </pic:nvPicPr>
                  <pic:blipFill>
                    <a:blip r:embed="rId559"/>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二正</w:t>
      </w:r>
      <w:r>
        <w:t xml:space="preserve">　丁狄反　シタヽル(LL__)　アマツヒ　音的</w:t>
      </w:r>
    </w:p>
    <w:p>
      <w:pPr>
        <w:numPr>
          <w:ilvl w:val="0"/>
          <w:numId w:val="1234"/>
        </w:numPr>
        <w:pStyle w:val="Compact"/>
      </w:pPr>
      <w:r>
        <w:drawing>
          <wp:inline>
            <wp:extent cx="635000" cy="635000"/>
            <wp:effectExtent b="0" l="0" r="0" t="0"/>
            <wp:docPr descr="𣾪" title="" id="563" name="Picture"/>
            <a:graphic>
              <a:graphicData uri="http://schemas.openxmlformats.org/drawingml/2006/picture">
                <pic:pic>
                  <pic:nvPicPr>
                    <pic:cNvPr descr="https://glyphwiki.org/glyph/u23faa.50px.png" id="564" name="Picture"/>
                    <pic:cNvPicPr>
                      <a:picLocks noChangeArrowheads="1" noChangeAspect="1"/>
                    </pic:cNvPicPr>
                  </pic:nvPicPr>
                  <pic:blipFill>
                    <a:blip r:embed="rId562"/>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或</w:t>
      </w:r>
      <w:r>
        <w:br/>
      </w:r>
    </w:p>
    <w:p>
      <w:pPr>
        <w:numPr>
          <w:ilvl w:val="0"/>
          <w:numId w:val="1234"/>
        </w:numPr>
        <w:pStyle w:val="Compact"/>
      </w:pPr>
      <w:r>
        <w:drawing>
          <wp:inline>
            <wp:extent cx="635000" cy="635000"/>
            <wp:effectExtent b="0" l="0" r="0" t="0"/>
            <wp:docPr descr="渧" title="" id="566" name="Picture"/>
            <a:graphic>
              <a:graphicData uri="http://schemas.openxmlformats.org/drawingml/2006/picture">
                <pic:pic>
                  <pic:nvPicPr>
                    <pic:cNvPr descr="https://glyphwiki.org/glyph/u6e27.50px.png" id="567" name="Picture"/>
                    <pic:cNvPicPr>
                      <a:picLocks noChangeArrowheads="1" noChangeAspect="1"/>
                    </pic:cNvPicPr>
                  </pic:nvPicPr>
                  <pic:blipFill>
                    <a:blip r:embed="rId565"/>
                    <a:stretch>
                      <a:fillRect/>
                    </a:stretch>
                  </pic:blipFill>
                  <pic:spPr bwMode="auto">
                    <a:xfrm>
                      <a:off x="0" y="0"/>
                      <a:ext cx="635000" cy="635000"/>
                    </a:xfrm>
                    <a:prstGeom prst="rect">
                      <a:avLst/>
                    </a:prstGeom>
                    <a:noFill/>
                    <a:ln w="9525">
                      <a:noFill/>
                      <a:headEnd/>
                      <a:tailEnd/>
                    </a:ln>
                  </pic:spPr>
                </pic:pic>
              </a:graphicData>
            </a:graphic>
          </wp:inline>
        </w:drawing>
      </w:r>
      <w:r>
        <w:drawing>
          <wp:inline>
            <wp:extent cx="476250" cy="476250"/>
            <wp:effectExtent b="0" l="0" r="0" t="0"/>
            <wp:docPr descr="滳" title="" id="569" name="Picture"/>
            <a:graphic>
              <a:graphicData uri="http://schemas.openxmlformats.org/drawingml/2006/picture">
                <pic:pic>
                  <pic:nvPicPr>
                    <pic:cNvPr descr="https://glyphwiki.org/glyph/twedu-a02301-004.50px.png" id="570" name="Picture"/>
                    <pic:cNvPicPr>
                      <a:picLocks noChangeArrowheads="1" noChangeAspect="1"/>
                    </pic:cNvPicPr>
                  </pic:nvPicPr>
                  <pic:blipFill>
                    <a:blip r:embed="rId568"/>
                    <a:stretch>
                      <a:fillRect/>
                    </a:stretch>
                  </pic:blipFill>
                  <pic:spPr bwMode="auto">
                    <a:xfrm>
                      <a:off x="0" y="0"/>
                      <a:ext cx="476250" cy="476250"/>
                    </a:xfrm>
                    <a:prstGeom prst="rect">
                      <a:avLst/>
                    </a:prstGeom>
                    <a:noFill/>
                    <a:ln w="9525">
                      <a:noFill/>
                      <a:headEnd/>
                      <a:tailEnd/>
                    </a:ln>
                  </pic:spPr>
                </pic:pic>
              </a:graphicData>
            </a:graphic>
          </wp:inline>
        </w:drawing>
      </w:r>
      <w:r>
        <w:rPr>
          <w:bCs/>
          <w:b/>
        </w:rPr>
        <w:t xml:space="preserve">二俗</w:t>
      </w:r>
      <w:r>
        <w:br/>
      </w:r>
    </w:p>
    <w:p>
      <w:pPr>
        <w:numPr>
          <w:ilvl w:val="0"/>
          <w:numId w:val="1234"/>
        </w:numPr>
        <w:pStyle w:val="Compact"/>
      </w:pPr>
      <w:r>
        <w:drawing>
          <wp:inline>
            <wp:extent cx="635000" cy="635000"/>
            <wp:effectExtent b="0" l="0" r="0" t="0"/>
            <wp:docPr descr="滳" title="" id="572" name="Picture"/>
            <a:graphic>
              <a:graphicData uri="http://schemas.openxmlformats.org/drawingml/2006/picture">
                <pic:pic>
                  <pic:nvPicPr>
                    <pic:cNvPr descr="https://glyphwiki.org/glyph/ligang_hkrm-05023640.50px.png" id="573" name="Picture"/>
                    <pic:cNvPicPr>
                      <a:picLocks noChangeArrowheads="1" noChangeAspect="1"/>
                    </pic:cNvPicPr>
                  </pic:nvPicPr>
                  <pic:blipFill>
                    <a:blip r:embed="rId571"/>
                    <a:stretch>
                      <a:fillRect/>
                    </a:stretch>
                  </pic:blipFill>
                  <pic:spPr bwMode="auto">
                    <a:xfrm>
                      <a:off x="0" y="0"/>
                      <a:ext cx="635000" cy="635000"/>
                    </a:xfrm>
                    <a:prstGeom prst="rect">
                      <a:avLst/>
                    </a:prstGeom>
                    <a:noFill/>
                    <a:ln w="9525">
                      <a:noFill/>
                      <a:headEnd/>
                      <a:tailEnd/>
                    </a:ln>
                  </pic:spPr>
                </pic:pic>
              </a:graphicData>
            </a:graphic>
          </wp:inline>
        </w:drawing>
      </w:r>
      <w:r>
        <w:t xml:space="preserve">音商　阿懸名</w:t>
      </w:r>
      <w:r>
        <w:br/>
      </w:r>
    </w:p>
    <w:p>
      <w:pPr>
        <w:numPr>
          <w:ilvl w:val="0"/>
          <w:numId w:val="1234"/>
        </w:numPr>
        <w:pStyle w:val="Compact"/>
      </w:pPr>
      <w:r>
        <w:drawing>
          <wp:inline>
            <wp:extent cx="635000" cy="635000"/>
            <wp:effectExtent b="0" l="0" r="0" t="0"/>
            <wp:docPr descr="渧" title="" id="574" name="Picture"/>
            <a:graphic>
              <a:graphicData uri="http://schemas.openxmlformats.org/drawingml/2006/picture">
                <pic:pic>
                  <pic:nvPicPr>
                    <pic:cNvPr descr="https://glyphwiki.org/glyph/u6e27.50px.png" id="575" name="Picture"/>
                    <pic:cNvPicPr>
                      <a:picLocks noChangeArrowheads="1" noChangeAspect="1"/>
                    </pic:cNvPicPr>
                  </pic:nvPicPr>
                  <pic:blipFill>
                    <a:blip r:embed="rId565"/>
                    <a:stretch>
                      <a:fillRect/>
                    </a:stretch>
                  </pic:blipFill>
                  <pic:spPr bwMode="auto">
                    <a:xfrm>
                      <a:off x="0" y="0"/>
                      <a:ext cx="635000" cy="635000"/>
                    </a:xfrm>
                    <a:prstGeom prst="rect">
                      <a:avLst/>
                    </a:prstGeom>
                    <a:noFill/>
                    <a:ln w="9525">
                      <a:noFill/>
                      <a:headEnd/>
                      <a:tailEnd/>
                    </a:ln>
                  </pic:spPr>
                </pic:pic>
              </a:graphicData>
            </a:graphic>
          </wp:inline>
        </w:drawing>
      </w:r>
      <w:r>
        <w:t xml:space="preserve">音帝　音テイ(LL)　アマツヒ　シタヽル(LLLVL)　水ツミ　又都歴反　</w:t>
      </w:r>
      <w:r>
        <w:rPr>
          <w:bCs/>
          <w:b/>
        </w:rPr>
        <w:t xml:space="preserve">俗滳字</w:t>
      </w:r>
    </w:p>
    <w:p>
      <w:pPr>
        <w:pStyle w:val="FirstParagraph"/>
      </w:pPr>
      <w:r>
        <w:t xml:space="preserve">For item 1, the</w:t>
      </w:r>
      <w:r>
        <w:t xml:space="preserve"> </w:t>
      </w:r>
      <w:r>
        <w:t xml:space="preserve">‘</w:t>
      </w:r>
      <w:r>
        <w:t xml:space="preserve">辶</w:t>
      </w:r>
      <w:r>
        <w:t xml:space="preserve">’</w:t>
      </w:r>
      <w:r>
        <w:t xml:space="preserve"> </w:t>
      </w:r>
      <w:r>
        <w:t xml:space="preserve">(</w:t>
      </w:r>
      <w:r>
        <w:rPr>
          <w:iCs/>
          <w:i/>
        </w:rPr>
        <w:t xml:space="preserve">shinnyō</w:t>
      </w:r>
      <w:r>
        <w:t xml:space="preserve">, motion radical) of</w:t>
      </w:r>
      <w:r>
        <w:t xml:space="preserve"> </w:t>
      </w:r>
      <w:r>
        <w:drawing>
          <wp:inline>
            <wp:extent cx="635000" cy="635000"/>
            <wp:effectExtent b="0" l="0" r="0" t="0"/>
            <wp:docPr descr="𤁷" title="" id="576" name="Picture"/>
            <a:graphic>
              <a:graphicData uri="http://schemas.openxmlformats.org/drawingml/2006/picture">
                <pic:pic>
                  <pic:nvPicPr>
                    <pic:cNvPr descr="https://glyphwiki.org/glyph/u24077.50px.png" id="577" name="Picture"/>
                    <pic:cNvPicPr>
                      <a:picLocks noChangeArrowheads="1" noChangeAspect="1"/>
                    </pic:cNvPicPr>
                  </pic:nvPicPr>
                  <pic:blipFill>
                    <a:blip r:embed="rId559"/>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has a single dot in the original text, but appears with two dots here for reasons of glyph construction.</w:t>
      </w:r>
    </w:p>
    <w:p>
      <w:pPr>
        <w:pStyle w:val="BodyText"/>
      </w:pPr>
      <w:r>
        <w:t xml:space="preserve">In the Renjō-in manuscript, items 1, 3, and 4, which shared the same glyph form</w:t>
      </w:r>
      <w:r>
        <w:t xml:space="preserve"> </w:t>
      </w:r>
      <w:r>
        <w:drawing>
          <wp:inline>
            <wp:extent cx="635000" cy="635000"/>
            <wp:effectExtent b="0" l="0" r="0" t="0"/>
            <wp:docPr descr="滴" title="" id="578" name="Picture"/>
            <a:graphic>
              <a:graphicData uri="http://schemas.openxmlformats.org/drawingml/2006/picture">
                <pic:pic>
                  <pic:nvPicPr>
                    <pic:cNvPr descr="https://glyphwiki.org/glyph/hdic_hkrm-05023611.50px.png" id="579" name="Picture"/>
                    <pic:cNvPicPr>
                      <a:picLocks noChangeArrowheads="1" noChangeAspect="1"/>
                    </pic:cNvPicPr>
                  </pic:nvPicPr>
                  <pic:blipFill>
                    <a:blip r:embed="rId509"/>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in the Kanchi-in manuscript, are distinguished as</w:t>
      </w:r>
      <w:r>
        <w:t xml:space="preserve"> </w:t>
      </w:r>
      <w:r>
        <w:drawing>
          <wp:inline>
            <wp:extent cx="635000" cy="635000"/>
            <wp:effectExtent b="0" l="0" r="0" t="0"/>
            <wp:docPr descr="滴" title="" id="580" name="Picture"/>
            <a:graphic>
              <a:graphicData uri="http://schemas.openxmlformats.org/drawingml/2006/picture">
                <pic:pic>
                  <pic:nvPicPr>
                    <pic:cNvPr descr="https://glyphwiki.org/glyph/u6ef4.50px.png" id="581" name="Picture"/>
                    <pic:cNvPicPr>
                      <a:picLocks noChangeArrowheads="1" noChangeAspect="1"/>
                    </pic:cNvPicPr>
                  </pic:nvPicPr>
                  <pic:blipFill>
                    <a:blip r:embed="rId542"/>
                    <a:stretch>
                      <a:fillRect/>
                    </a:stretch>
                  </pic:blipFill>
                  <pic:spPr bwMode="auto">
                    <a:xfrm>
                      <a:off x="0" y="0"/>
                      <a:ext cx="635000" cy="635000"/>
                    </a:xfrm>
                    <a:prstGeom prst="rect">
                      <a:avLst/>
                    </a:prstGeom>
                    <a:noFill/>
                    <a:ln w="9525">
                      <a:noFill/>
                      <a:headEnd/>
                      <a:tailEnd/>
                    </a:ln>
                  </pic:spPr>
                </pic:pic>
              </a:graphicData>
            </a:graphic>
          </wp:inline>
        </w:drawing>
      </w:r>
      <w:r>
        <w:t xml:space="preserve">,</w:t>
      </w:r>
      <w:r>
        <w:t xml:space="preserve"> </w:t>
      </w:r>
      <w:r>
        <w:drawing>
          <wp:inline>
            <wp:extent cx="476250" cy="476250"/>
            <wp:effectExtent b="0" l="0" r="0" t="0"/>
            <wp:docPr descr="滳" title="" id="582" name="Picture"/>
            <a:graphic>
              <a:graphicData uri="http://schemas.openxmlformats.org/drawingml/2006/picture">
                <pic:pic>
                  <pic:nvPicPr>
                    <pic:cNvPr descr="https://glyphwiki.org/glyph/twedu-a02301-004.50px.png" id="583" name="Picture"/>
                    <pic:cNvPicPr>
                      <a:picLocks noChangeArrowheads="1" noChangeAspect="1"/>
                    </pic:cNvPicPr>
                  </pic:nvPicPr>
                  <pic:blipFill>
                    <a:blip r:embed="rId568"/>
                    <a:stretch>
                      <a:fillRect/>
                    </a:stretch>
                  </pic:blipFill>
                  <pic:spPr bwMode="auto">
                    <a:xfrm>
                      <a:off x="0" y="0"/>
                      <a:ext cx="476250" cy="476250"/>
                    </a:xfrm>
                    <a:prstGeom prst="rect">
                      <a:avLst/>
                    </a:prstGeom>
                    <a:noFill/>
                    <a:ln w="9525">
                      <a:noFill/>
                      <a:headEnd/>
                      <a:tailEnd/>
                    </a:ln>
                  </pic:spPr>
                </pic:pic>
              </a:graphicData>
            </a:graphic>
          </wp:inline>
        </w:drawing>
      </w:r>
      <w:r>
        <w:t xml:space="preserve">, and</w:t>
      </w:r>
      <w:r>
        <w:t xml:space="preserve"> </w:t>
      </w:r>
      <w:r>
        <w:drawing>
          <wp:inline>
            <wp:extent cx="635000" cy="635000"/>
            <wp:effectExtent b="0" l="0" r="0" t="0"/>
            <wp:docPr descr="滳" title="" id="584" name="Picture"/>
            <a:graphic>
              <a:graphicData uri="http://schemas.openxmlformats.org/drawingml/2006/picture">
                <pic:pic>
                  <pic:nvPicPr>
                    <pic:cNvPr descr="https://glyphwiki.org/glyph/ligang_hkrm-05023640.50px.png" id="585" name="Picture"/>
                    <pic:cNvPicPr>
                      <a:picLocks noChangeArrowheads="1" noChangeAspect="1"/>
                    </pic:cNvPicPr>
                  </pic:nvPicPr>
                  <pic:blipFill>
                    <a:blip r:embed="rId571"/>
                    <a:stretch>
                      <a:fillRect/>
                    </a:stretch>
                  </pic:blipFill>
                  <pic:spPr bwMode="auto">
                    <a:xfrm>
                      <a:off x="0" y="0"/>
                      <a:ext cx="635000" cy="635000"/>
                    </a:xfrm>
                    <a:prstGeom prst="rect">
                      <a:avLst/>
                    </a:prstGeom>
                    <a:noFill/>
                    <a:ln w="9525">
                      <a:noFill/>
                      <a:headEnd/>
                      <a:tailEnd/>
                    </a:ln>
                  </pic:spPr>
                </pic:pic>
              </a:graphicData>
            </a:graphic>
          </wp:inline>
        </w:drawing>
      </w:r>
      <w:r>
        <w:t xml:space="preserve">, respectively.</w:t>
      </w:r>
    </w:p>
    <w:p>
      <w:pPr>
        <w:pStyle w:val="BodyText"/>
      </w:pPr>
      <w:r>
        <w:t xml:space="preserve">The content of the Renjō-in manuscript is more consistent and rational than that of the Kanchi-in manuscript. However, it is difficult to determine from this example alone whether the Renjō-in-style content became corrupted into the Kanchi-in form, or whether the Kanchi-in content contained an inconsistency that was subsequently corrected in the Renjō-in manuscript. Further examples of this kind need to be collected and examined.</w:t>
      </w:r>
    </w:p>
    <w:p>
      <w:pPr>
        <w:pStyle w:val="BodyText"/>
      </w:pPr>
      <w:r>
        <w:t xml:space="preserve">It should also be noted that the order of the</w:t>
      </w:r>
      <w:r>
        <w:t xml:space="preserve"> </w:t>
      </w:r>
      <w:r>
        <w:rPr>
          <w:rStyle w:val="VerbatimChar"/>
          <w:bCs/>
          <w:b/>
        </w:rPr>
        <w:t xml:space="preserve">Original Glosses</w:t>
      </w:r>
      <w:r>
        <w:t xml:space="preserve"> </w:t>
      </w:r>
      <w:r>
        <w:t xml:space="preserve">for item 1 differs between the two manuscripts. However, the Kanchi-in manuscript’s</w:t>
      </w:r>
      <w:r>
        <w:t xml:space="preserve"> </w:t>
      </w:r>
      <w:r>
        <w:rPr>
          <w:rStyle w:val="VerbatimChar"/>
          <w:bCs/>
          <w:b/>
        </w:rPr>
        <w:t xml:space="preserve">Original Glosses</w:t>
      </w:r>
      <w:r>
        <w:t xml:space="preserve"> </w:t>
      </w:r>
      <w:r>
        <w:t xml:space="preserve">for this item are, unusually, written across three lines; it is presumed that they were originally written across two lines, with</w:t>
      </w:r>
      <w:r>
        <w:t xml:space="preserve"> </w:t>
      </w:r>
      <w:r>
        <w:t xml:space="preserve">‘</w:t>
      </w:r>
      <w:r>
        <w:t xml:space="preserve">音的</w:t>
      </w:r>
      <w:r>
        <w:t xml:space="preserve">’</w:t>
      </w:r>
      <w:r>
        <w:t xml:space="preserve"> </w:t>
      </w:r>
      <w:r>
        <w:t xml:space="preserve">at the end. The Renjō-in manuscript also presents this passage across three lines, but there,</w:t>
      </w:r>
      <w:r>
        <w:t xml:space="preserve"> </w:t>
      </w:r>
      <w:r>
        <w:t xml:space="preserve">‘</w:t>
      </w:r>
      <w:r>
        <w:t xml:space="preserve">音的</w:t>
      </w:r>
      <w:r>
        <w:t xml:space="preserve">’</w:t>
      </w:r>
      <w:r>
        <w:t xml:space="preserve"> </w:t>
      </w:r>
      <w:r>
        <w:t xml:space="preserve">appears at the end of the</w:t>
      </w:r>
      <w:r>
        <w:t xml:space="preserve"> </w:t>
      </w:r>
      <w:r>
        <w:rPr>
          <w:rStyle w:val="VerbatimChar"/>
          <w:bCs/>
          <w:b/>
        </w:rPr>
        <w:t xml:space="preserve">Original Glosses</w:t>
      </w:r>
      <w:r>
        <w:t xml:space="preserve">, following the</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which is consistent with the usual practice.</w:t>
      </w:r>
    </w:p>
    <w:bookmarkEnd w:id="586"/>
    <w:bookmarkStart w:id="607" w:name="Xf88ddbb8c86e314b1cb60c60c3f0a719a1b214b"/>
    <w:p>
      <w:pPr>
        <w:pStyle w:val="Heading3"/>
      </w:pPr>
      <w:r>
        <w:rPr>
          <w:rStyle w:val="SectionNumber"/>
        </w:rPr>
        <w:t xml:space="preserve">22.3.3</w:t>
      </w:r>
      <w:r>
        <w:tab/>
      </w:r>
      <w:r>
        <w:t xml:space="preserve">The</w:t>
      </w:r>
      <w:r>
        <w:t xml:space="preserve"> </w:t>
      </w:r>
      <w:r>
        <w:rPr>
          <w:iCs/>
          <w:i/>
        </w:rPr>
        <w:t xml:space="preserve">Longkan Shoujian/Shoujing</w:t>
      </w:r>
      <w:r>
        <w:t xml:space="preserve">’s Record of</w:t>
      </w:r>
      <w:r>
        <w:t xml:space="preserve"> </w:t>
      </w:r>
      <w:r>
        <w:t xml:space="preserve">‘</w:t>
      </w:r>
      <w:r>
        <w:t xml:space="preserve">滴</w:t>
      </w:r>
      <w:r>
        <w:t xml:space="preserve">’</w:t>
      </w:r>
    </w:p>
    <w:p>
      <w:pPr>
        <w:pStyle w:val="FirstParagraph"/>
      </w:pPr>
      <w:r>
        <w:t xml:space="preserve">In the</w:t>
      </w:r>
      <w:r>
        <w:t xml:space="preserve"> </w:t>
      </w:r>
      <w:r>
        <w:rPr>
          <w:iCs/>
          <w:i/>
        </w:rPr>
        <w:t xml:space="preserve">Longkan Shoujian/Shoujing</w:t>
      </w:r>
      <w:r>
        <w:t xml:space="preserve"> </w:t>
      </w:r>
      <w:r>
        <w:t xml:space="preserve">(龍龕手鏡／手鑑), the</w:t>
      </w:r>
      <w:r>
        <w:t xml:space="preserve"> </w:t>
      </w:r>
      <w:r>
        <w:t xml:space="preserve">“</w:t>
      </w:r>
      <w:r>
        <w:t xml:space="preserve">水</w:t>
      </w:r>
      <w:r>
        <w:t xml:space="preserve">”</w:t>
      </w:r>
      <w:r>
        <w:t xml:space="preserve"> </w:t>
      </w:r>
      <w:r>
        <w:t xml:space="preserve">(water) radical is contained in Fascicle 2. While the Korean edition lacks this section, the Song edition gives</w:t>
      </w:r>
      <w:r>
        <w:t xml:space="preserve"> </w:t>
      </w:r>
      <w:r>
        <w:t xml:space="preserve">‘</w:t>
      </w:r>
      <w:r>
        <w:t xml:space="preserve">滴</w:t>
      </w:r>
      <w:r>
        <w:t xml:space="preserve">’</w:t>
      </w:r>
      <w:r>
        <w:t xml:space="preserve"> </w:t>
      </w:r>
      <w:r>
        <w:t xml:space="preserve">as follows (Fascicle 2,</w:t>
      </w:r>
      <w:r>
        <w:t xml:space="preserve"> </w:t>
      </w:r>
      <w:r>
        <w:t xml:space="preserve">“</w:t>
      </w:r>
      <w:r>
        <w:t xml:space="preserve">水</w:t>
      </w:r>
      <w:r>
        <w:t xml:space="preserve">”</w:t>
      </w:r>
      <w:r>
        <w:t xml:space="preserve"> </w:t>
      </w:r>
      <w:r>
        <w:t xml:space="preserve">radical, No. 3, Entering tone).</w:t>
      </w:r>
    </w:p>
    <w:p>
      <w:pPr>
        <w:numPr>
          <w:ilvl w:val="0"/>
          <w:numId w:val="1235"/>
        </w:numPr>
        <w:pStyle w:val="Compact"/>
      </w:pPr>
      <w:r>
        <w:drawing>
          <wp:inline>
            <wp:extent cx="635000" cy="635000"/>
            <wp:effectExtent b="0" l="0" r="0" t="0"/>
            <wp:docPr descr="渧" title="" id="587" name="Picture"/>
            <a:graphic>
              <a:graphicData uri="http://schemas.openxmlformats.org/drawingml/2006/picture">
                <pic:pic>
                  <pic:nvPicPr>
                    <pic:cNvPr descr="https://glyphwiki.org/glyph/u6e27.50px.png" id="588" name="Picture"/>
                    <pic:cNvPicPr>
                      <a:picLocks noChangeArrowheads="1" noChangeAspect="1"/>
                    </pic:cNvPicPr>
                  </pic:nvPicPr>
                  <pic:blipFill>
                    <a:blip r:embed="rId565"/>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俗</w:t>
      </w:r>
    </w:p>
    <w:p>
      <w:pPr>
        <w:numPr>
          <w:ilvl w:val="0"/>
          <w:numId w:val="1235"/>
        </w:numPr>
        <w:pStyle w:val="Compact"/>
      </w:pPr>
      <w:r>
        <w:drawing>
          <wp:inline>
            <wp:extent cx="635000" cy="635000"/>
            <wp:effectExtent b="0" l="0" r="0" t="0"/>
            <wp:docPr descr="𤁷" title="" id="589" name="Picture"/>
            <a:graphic>
              <a:graphicData uri="http://schemas.openxmlformats.org/drawingml/2006/picture">
                <pic:pic>
                  <pic:nvPicPr>
                    <pic:cNvPr descr="https://glyphwiki.org/glyph/u24077.50px.png" id="590" name="Picture"/>
                    <pic:cNvPicPr>
                      <a:picLocks noChangeArrowheads="1" noChangeAspect="1"/>
                    </pic:cNvPicPr>
                  </pic:nvPicPr>
                  <pic:blipFill>
                    <a:blip r:embed="rId559"/>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今</w:t>
      </w:r>
    </w:p>
    <w:p>
      <w:pPr>
        <w:numPr>
          <w:ilvl w:val="0"/>
          <w:numId w:val="1235"/>
        </w:numPr>
        <w:pStyle w:val="Compact"/>
      </w:pPr>
      <w:r>
        <w:drawing>
          <wp:inline>
            <wp:extent cx="635000" cy="635000"/>
            <wp:effectExtent b="0" l="0" r="0" t="0"/>
            <wp:docPr descr="滴" title="" id="591" name="Picture"/>
            <a:graphic>
              <a:graphicData uri="http://schemas.openxmlformats.org/drawingml/2006/picture">
                <pic:pic>
                  <pic:nvPicPr>
                    <pic:cNvPr descr="https://glyphwiki.org/glyph/u6ef4.50px.png" id="592" name="Picture"/>
                    <pic:cNvPicPr>
                      <a:picLocks noChangeArrowheads="1" noChangeAspect="1"/>
                    </pic:cNvPicPr>
                  </pic:nvPicPr>
                  <pic:blipFill>
                    <a:blip r:embed="rId542"/>
                    <a:stretch>
                      <a:fillRect/>
                    </a:stretch>
                  </pic:blipFill>
                  <pic:spPr bwMode="auto">
                    <a:xfrm>
                      <a:off x="0" y="0"/>
                      <a:ext cx="635000" cy="635000"/>
                    </a:xfrm>
                    <a:prstGeom prst="rect">
                      <a:avLst/>
                    </a:prstGeom>
                    <a:noFill/>
                    <a:ln w="9525">
                      <a:noFill/>
                      <a:headEnd/>
                      <a:tailEnd/>
                    </a:ln>
                  </pic:spPr>
                </pic:pic>
              </a:graphicData>
            </a:graphic>
          </wp:inline>
        </w:drawing>
      </w:r>
      <w:r>
        <w:drawing>
          <wp:inline>
            <wp:extent cx="635000" cy="635000"/>
            <wp:effectExtent b="0" l="0" r="0" t="0"/>
            <wp:docPr descr="𣾪" title="" id="593" name="Picture"/>
            <a:graphic>
              <a:graphicData uri="http://schemas.openxmlformats.org/drawingml/2006/picture">
                <pic:pic>
                  <pic:nvPicPr>
                    <pic:cNvPr descr="https://glyphwiki.org/glyph/u23faa.50px.png" id="594" name="Picture"/>
                    <pic:cNvPicPr>
                      <a:picLocks noChangeArrowheads="1" noChangeAspect="1"/>
                    </pic:cNvPicPr>
                  </pic:nvPicPr>
                  <pic:blipFill>
                    <a:blip r:embed="rId562"/>
                    <a:stretch>
                      <a:fillRect/>
                    </a:stretch>
                  </pic:blipFill>
                  <pic:spPr bwMode="auto">
                    <a:xfrm>
                      <a:off x="0" y="0"/>
                      <a:ext cx="635000" cy="635000"/>
                    </a:xfrm>
                    <a:prstGeom prst="rect">
                      <a:avLst/>
                    </a:prstGeom>
                    <a:noFill/>
                    <a:ln w="9525">
                      <a:noFill/>
                      <a:headEnd/>
                      <a:tailEnd/>
                    </a:ln>
                  </pic:spPr>
                </pic:pic>
              </a:graphicData>
            </a:graphic>
          </wp:inline>
        </w:drawing>
      </w:r>
      <w:r>
        <w:rPr>
          <w:bCs/>
          <w:b/>
        </w:rPr>
        <w:t xml:space="preserve">二正</w:t>
      </w:r>
      <w:r>
        <w:t xml:space="preserve">音的水ー也四</w:t>
      </w:r>
    </w:p>
    <w:p>
      <w:pPr>
        <w:pStyle w:val="FirstParagraph"/>
      </w:pPr>
      <w:r>
        <w:t xml:space="preserve">These three items all concern</w:t>
      </w:r>
      <w:r>
        <w:t xml:space="preserve"> </w:t>
      </w:r>
      <w:r>
        <w:t xml:space="preserve">‘</w:t>
      </w:r>
      <w:r>
        <w:t xml:space="preserve">滴</w:t>
      </w:r>
      <w:r>
        <w:t xml:space="preserve">’</w:t>
      </w:r>
      <w:r>
        <w:t xml:space="preserve">. Compared with the revised-compilation manuscripts, there are differences in both the order of presentation and the</w:t>
      </w:r>
      <w:r>
        <w:t xml:space="preserve"> </w:t>
      </w:r>
      <w:r>
        <w:rPr>
          <w:rStyle w:val="VerbatimChar"/>
          <w:bCs/>
          <w:b/>
        </w:rPr>
        <w:t xml:space="preserve">Form Classification Tags</w:t>
      </w:r>
      <w:r>
        <w:t xml:space="preserve"> </w:t>
      </w:r>
      <w:r>
        <w:t xml:space="preserve">used. The revised compilation presents them in the order</w:t>
      </w:r>
      <w:r>
        <w:t xml:space="preserve"> </w:t>
      </w:r>
      <w:r>
        <w:t xml:space="preserve">“</w:t>
      </w:r>
      <w:r>
        <w:t xml:space="preserve">二正</w:t>
      </w:r>
      <w:r>
        <w:t xml:space="preserve">”</w:t>
      </w:r>
      <w:r>
        <w:t xml:space="preserve"> </w:t>
      </w:r>
      <w:r>
        <w:t xml:space="preserve">→</w:t>
      </w:r>
      <w:r>
        <w:t xml:space="preserve"> </w:t>
      </w:r>
      <w:r>
        <w:t xml:space="preserve">“</w:t>
      </w:r>
      <w:r>
        <w:t xml:space="preserve">或</w:t>
      </w:r>
      <w:r>
        <w:t xml:space="preserve">”</w:t>
      </w:r>
      <w:r>
        <w:t xml:space="preserve"> </w:t>
      </w:r>
      <w:r>
        <w:t xml:space="preserve">→</w:t>
      </w:r>
      <w:r>
        <w:t xml:space="preserve"> </w:t>
      </w:r>
      <w:r>
        <w:t xml:space="preserve">“</w:t>
      </w:r>
      <w:r>
        <w:t xml:space="preserve">二俗,</w:t>
      </w:r>
      <w:r>
        <w:t xml:space="preserve">”</w:t>
      </w:r>
      <w:r>
        <w:t xml:space="preserve"> </w:t>
      </w:r>
      <w:r>
        <w:t xml:space="preserve">with</w:t>
      </w:r>
      <w:r>
        <w:t xml:space="preserve"> </w:t>
      </w:r>
      <w:r>
        <w:t xml:space="preserve">“</w:t>
      </w:r>
      <w:r>
        <w:t xml:space="preserve">二正</w:t>
      </w:r>
      <w:r>
        <w:t xml:space="preserve">”</w:t>
      </w:r>
      <w:r>
        <w:t xml:space="preserve"> </w:t>
      </w:r>
      <w:r>
        <w:t xml:space="preserve">appearing first. The</w:t>
      </w:r>
      <w:r>
        <w:t xml:space="preserve"> </w:t>
      </w:r>
      <w:r>
        <w:rPr>
          <w:iCs/>
          <w:i/>
        </w:rPr>
        <w:t xml:space="preserve">Longkan Shoujian/Shoujing</w:t>
      </w:r>
      <w:r>
        <w:t xml:space="preserve">, by contrast, presents them in the order</w:t>
      </w:r>
      <w:r>
        <w:t xml:space="preserve"> </w:t>
      </w:r>
      <w:r>
        <w:t xml:space="preserve">“</w:t>
      </w:r>
      <w:r>
        <w:t xml:space="preserve">俗</w:t>
      </w:r>
      <w:r>
        <w:t xml:space="preserve">”</w:t>
      </w:r>
      <w:r>
        <w:t xml:space="preserve"> </w:t>
      </w:r>
      <w:r>
        <w:t xml:space="preserve">→</w:t>
      </w:r>
      <w:r>
        <w:t xml:space="preserve"> </w:t>
      </w:r>
      <w:r>
        <w:t xml:space="preserve">“</w:t>
      </w:r>
      <w:r>
        <w:t xml:space="preserve">今</w:t>
      </w:r>
      <w:r>
        <w:t xml:space="preserve">”</w:t>
      </w:r>
      <w:r>
        <w:t xml:space="preserve"> </w:t>
      </w:r>
      <w:r>
        <w:t xml:space="preserve">→</w:t>
      </w:r>
      <w:r>
        <w:t xml:space="preserve"> </w:t>
      </w:r>
      <w:r>
        <w:t xml:space="preserve">“</w:t>
      </w:r>
      <w:r>
        <w:t xml:space="preserve">二正,</w:t>
      </w:r>
      <w:r>
        <w:t xml:space="preserve">”</w:t>
      </w:r>
      <w:r>
        <w:t xml:space="preserve"> </w:t>
      </w:r>
      <w:r>
        <w:t xml:space="preserve">with</w:t>
      </w:r>
      <w:r>
        <w:t xml:space="preserve"> </w:t>
      </w:r>
      <w:r>
        <w:t xml:space="preserve">“</w:t>
      </w:r>
      <w:r>
        <w:t xml:space="preserve">二正</w:t>
      </w:r>
      <w:r>
        <w:t xml:space="preserve">”</w:t>
      </w:r>
      <w:r>
        <w:t xml:space="preserve"> </w:t>
      </w:r>
      <w:r>
        <w:t xml:space="preserve">appearing last. Looking at the</w:t>
      </w:r>
      <w:r>
        <w:t xml:space="preserve"> </w:t>
      </w:r>
      <w:r>
        <w:rPr>
          <w:rStyle w:val="VerbatimChar"/>
          <w:bCs/>
          <w:b/>
        </w:rPr>
        <w:t xml:space="preserve">Form Classification Tags</w:t>
      </w:r>
      <w:r>
        <w:t xml:space="preserve">, both agree in tagging</w:t>
      </w:r>
      <w:r>
        <w:t xml:space="preserve"> </w:t>
      </w:r>
      <w:r>
        <w:drawing>
          <wp:inline>
            <wp:extent cx="635000" cy="635000"/>
            <wp:effectExtent b="0" l="0" r="0" t="0"/>
            <wp:docPr descr="渧" title="" id="595" name="Picture"/>
            <a:graphic>
              <a:graphicData uri="http://schemas.openxmlformats.org/drawingml/2006/picture">
                <pic:pic>
                  <pic:nvPicPr>
                    <pic:cNvPr descr="https://glyphwiki.org/glyph/u6e27.50px.png" id="596" name="Picture"/>
                    <pic:cNvPicPr>
                      <a:picLocks noChangeArrowheads="1" noChangeAspect="1"/>
                    </pic:cNvPicPr>
                  </pic:nvPicPr>
                  <pic:blipFill>
                    <a:blip r:embed="rId565"/>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as</w:t>
      </w:r>
      <w:r>
        <w:t xml:space="preserve"> </w:t>
      </w:r>
      <w:r>
        <w:t xml:space="preserve">“</w:t>
      </w:r>
      <w:r>
        <w:t xml:space="preserve">俗</w:t>
      </w:r>
      <w:r>
        <w:t xml:space="preserve">”</w:t>
      </w:r>
      <w:r>
        <w:t xml:space="preserve"> </w:t>
      </w:r>
      <w:r>
        <w:t xml:space="preserve">and</w:t>
      </w:r>
      <w:r>
        <w:t xml:space="preserve"> </w:t>
      </w:r>
      <w:r>
        <w:drawing>
          <wp:inline>
            <wp:extent cx="635000" cy="635000"/>
            <wp:effectExtent b="0" l="0" r="0" t="0"/>
            <wp:docPr descr="滴" title="" id="597" name="Picture"/>
            <a:graphic>
              <a:graphicData uri="http://schemas.openxmlformats.org/drawingml/2006/picture">
                <pic:pic>
                  <pic:nvPicPr>
                    <pic:cNvPr descr="https://glyphwiki.org/glyph/u6ef4.50px.png" id="598" name="Picture"/>
                    <pic:cNvPicPr>
                      <a:picLocks noChangeArrowheads="1" noChangeAspect="1"/>
                    </pic:cNvPicPr>
                  </pic:nvPicPr>
                  <pic:blipFill>
                    <a:blip r:embed="rId542"/>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as</w:t>
      </w:r>
      <w:r>
        <w:t xml:space="preserve"> </w:t>
      </w:r>
      <w:r>
        <w:t xml:space="preserve">“</w:t>
      </w:r>
      <w:r>
        <w:t xml:space="preserve">正.</w:t>
      </w:r>
      <w:r>
        <w:t xml:space="preserve">”</w:t>
      </w:r>
      <w:r>
        <w:t xml:space="preserve"> </w:t>
      </w:r>
      <w:r>
        <w:t xml:space="preserve">However, the revised compilation tags</w:t>
      </w:r>
      <w:r>
        <w:t xml:space="preserve"> </w:t>
      </w:r>
      <w:r>
        <w:drawing>
          <wp:inline>
            <wp:extent cx="635000" cy="635000"/>
            <wp:effectExtent b="0" l="0" r="0" t="0"/>
            <wp:docPr descr="𤁷" title="" id="599" name="Picture"/>
            <a:graphic>
              <a:graphicData uri="http://schemas.openxmlformats.org/drawingml/2006/picture">
                <pic:pic>
                  <pic:nvPicPr>
                    <pic:cNvPr descr="https://glyphwiki.org/glyph/hdic_hkrm-05023612.50px.png" id="600" name="Picture"/>
                    <pic:cNvPicPr>
                      <a:picLocks noChangeArrowheads="1" noChangeAspect="1"/>
                    </pic:cNvPicPr>
                  </pic:nvPicPr>
                  <pic:blipFill>
                    <a:blip r:embed="rId512"/>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as</w:t>
      </w:r>
      <w:r>
        <w:t xml:space="preserve"> </w:t>
      </w:r>
      <w:r>
        <w:t xml:space="preserve">“</w:t>
      </w:r>
      <w:r>
        <w:t xml:space="preserve">正,</w:t>
      </w:r>
      <w:r>
        <w:t xml:space="preserve">”</w:t>
      </w:r>
      <w:r>
        <w:t xml:space="preserve"> </w:t>
      </w:r>
      <w:r>
        <w:t xml:space="preserve">while the</w:t>
      </w:r>
      <w:r>
        <w:t xml:space="preserve"> </w:t>
      </w:r>
      <w:r>
        <w:rPr>
          <w:iCs/>
          <w:i/>
        </w:rPr>
        <w:t xml:space="preserve">Longkan Shoujian/Shoujing</w:t>
      </w:r>
      <w:r>
        <w:t xml:space="preserve"> </w:t>
      </w:r>
      <w:r>
        <w:t xml:space="preserve">tags the similar glyph form</w:t>
      </w:r>
      <w:r>
        <w:t xml:space="preserve"> </w:t>
      </w:r>
      <w:r>
        <w:drawing>
          <wp:inline>
            <wp:extent cx="635000" cy="635000"/>
            <wp:effectExtent b="0" l="0" r="0" t="0"/>
            <wp:docPr descr="𤁷" title="" id="601" name="Picture"/>
            <a:graphic>
              <a:graphicData uri="http://schemas.openxmlformats.org/drawingml/2006/picture">
                <pic:pic>
                  <pic:nvPicPr>
                    <pic:cNvPr descr="https://glyphwiki.org/glyph/u24077.50px.png" id="602" name="Picture"/>
                    <pic:cNvPicPr>
                      <a:picLocks noChangeArrowheads="1" noChangeAspect="1"/>
                    </pic:cNvPicPr>
                  </pic:nvPicPr>
                  <pic:blipFill>
                    <a:blip r:embed="rId559"/>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as</w:t>
      </w:r>
      <w:r>
        <w:t xml:space="preserve"> </w:t>
      </w:r>
      <w:r>
        <w:t xml:space="preserve">“</w:t>
      </w:r>
      <w:r>
        <w:t xml:space="preserve">今.</w:t>
      </w:r>
      <w:r>
        <w:t xml:space="preserve">”</w:t>
      </w:r>
      <w:r>
        <w:t xml:space="preserve"> </w:t>
      </w:r>
      <w:r>
        <w:t xml:space="preserve">There is likewise a discrepancy in that the revised compilation tags</w:t>
      </w:r>
      <w:r>
        <w:t xml:space="preserve"> </w:t>
      </w:r>
      <w:r>
        <w:drawing>
          <wp:inline>
            <wp:extent cx="635000" cy="635000"/>
            <wp:effectExtent b="0" l="0" r="0" t="0"/>
            <wp:docPr descr="𣾪" title="" id="603" name="Picture"/>
            <a:graphic>
              <a:graphicData uri="http://schemas.openxmlformats.org/drawingml/2006/picture">
                <pic:pic>
                  <pic:nvPicPr>
                    <pic:cNvPr descr="https://glyphwiki.org/glyph/u23faa.50px.png" id="604" name="Picture"/>
                    <pic:cNvPicPr>
                      <a:picLocks noChangeArrowheads="1" noChangeAspect="1"/>
                    </pic:cNvPicPr>
                  </pic:nvPicPr>
                  <pic:blipFill>
                    <a:blip r:embed="rId562"/>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t xml:space="preserve">as</w:t>
      </w:r>
      <w:r>
        <w:t xml:space="preserve"> </w:t>
      </w:r>
      <w:r>
        <w:t xml:space="preserve">“</w:t>
      </w:r>
      <w:r>
        <w:t xml:space="preserve">或,</w:t>
      </w:r>
      <w:r>
        <w:t xml:space="preserve">”</w:t>
      </w:r>
      <w:r>
        <w:t xml:space="preserve"> </w:t>
      </w:r>
      <w:r>
        <w:t xml:space="preserve">while the</w:t>
      </w:r>
      <w:r>
        <w:t xml:space="preserve"> </w:t>
      </w:r>
      <w:r>
        <w:rPr>
          <w:iCs/>
          <w:i/>
        </w:rPr>
        <w:t xml:space="preserve">Longkan Shoujian/Shoujing</w:t>
      </w:r>
      <w:r>
        <w:t xml:space="preserve"> </w:t>
      </w:r>
      <w:r>
        <w:t xml:space="preserve">tags it as</w:t>
      </w:r>
      <w:r>
        <w:t xml:space="preserve"> </w:t>
      </w:r>
      <w:r>
        <w:t xml:space="preserve">“</w:t>
      </w:r>
      <w:r>
        <w:t xml:space="preserve">正.</w:t>
      </w:r>
      <w:r>
        <w:t xml:space="preserve">”</w:t>
      </w:r>
    </w:p>
    <w:p>
      <w:pPr>
        <w:pStyle w:val="BodyText"/>
      </w:pPr>
      <w:r>
        <w:t xml:space="preserve">Meanwhile,</w:t>
      </w:r>
      <w:r>
        <w:t xml:space="preserve"> </w:t>
      </w:r>
      <w:r>
        <w:t xml:space="preserve">‘</w:t>
      </w:r>
      <w:r>
        <w:t xml:space="preserve">滳</w:t>
      </w:r>
      <w:r>
        <w:t xml:space="preserve">’</w:t>
      </w:r>
      <w:r>
        <w:t xml:space="preserve"> </w:t>
      </w:r>
      <w:r>
        <w:t xml:space="preserve">appears in a different location (Fascicle 2,</w:t>
      </w:r>
      <w:r>
        <w:t xml:space="preserve"> </w:t>
      </w:r>
      <w:r>
        <w:t xml:space="preserve">“</w:t>
      </w:r>
      <w:r>
        <w:t xml:space="preserve">水</w:t>
      </w:r>
      <w:r>
        <w:t xml:space="preserve">”</w:t>
      </w:r>
      <w:r>
        <w:t xml:space="preserve"> </w:t>
      </w:r>
      <w:r>
        <w:t xml:space="preserve">radical, No. 3, Level tone).</w:t>
      </w:r>
    </w:p>
    <w:p>
      <w:pPr>
        <w:pStyle w:val="BodyText"/>
      </w:pPr>
      <w:r>
        <w:drawing>
          <wp:inline>
            <wp:extent cx="635000" cy="635000"/>
            <wp:effectExtent b="0" l="0" r="0" t="0"/>
            <wp:docPr descr="滳" title="" id="605" name="Picture"/>
            <a:graphic>
              <a:graphicData uri="http://schemas.openxmlformats.org/drawingml/2006/picture">
                <pic:pic>
                  <pic:nvPicPr>
                    <pic:cNvPr descr="https://glyphwiki.org/glyph/ligang_hkrm-05023640.50px.png" id="606" name="Picture"/>
                    <pic:cNvPicPr>
                      <a:picLocks noChangeArrowheads="1" noChangeAspect="1"/>
                    </pic:cNvPicPr>
                  </pic:nvPicPr>
                  <pic:blipFill>
                    <a:blip r:embed="rId571"/>
                    <a:stretch>
                      <a:fillRect/>
                    </a:stretch>
                  </pic:blipFill>
                  <pic:spPr bwMode="auto">
                    <a:xfrm>
                      <a:off x="0" y="0"/>
                      <a:ext cx="635000" cy="635000"/>
                    </a:xfrm>
                    <a:prstGeom prst="rect">
                      <a:avLst/>
                    </a:prstGeom>
                    <a:noFill/>
                    <a:ln w="9525">
                      <a:noFill/>
                      <a:headEnd/>
                      <a:tailEnd/>
                    </a:ln>
                  </pic:spPr>
                </pic:pic>
              </a:graphicData>
            </a:graphic>
          </wp:inline>
        </w:drawing>
      </w:r>
      <w:r>
        <w:t xml:space="preserve">音商ー河縣名又都歴反</w:t>
      </w:r>
    </w:p>
    <w:p>
      <w:pPr>
        <w:pStyle w:val="BodyText"/>
      </w:pPr>
      <w:r>
        <w:t xml:space="preserve">For</w:t>
      </w:r>
      <w:r>
        <w:t xml:space="preserve"> </w:t>
      </w:r>
      <w:r>
        <w:t xml:space="preserve">‘</w:t>
      </w:r>
      <w:r>
        <w:t xml:space="preserve">滳,</w:t>
      </w:r>
      <w:r>
        <w:t xml:space="preserve">’</w:t>
      </w:r>
      <w:r>
        <w:t xml:space="preserve"> </w:t>
      </w:r>
      <w:r>
        <w:t xml:space="preserve">a homophone</w:t>
      </w:r>
      <w:r>
        <w:t xml:space="preserve"> </w:t>
      </w:r>
      <w:r>
        <w:rPr>
          <w:rStyle w:val="VerbatimChar"/>
          <w:bCs/>
          <w:b/>
        </w:rPr>
        <w:t xml:space="preserve">Phonetic Gloss</w:t>
      </w:r>
      <w:r>
        <w:t xml:space="preserve"> </w:t>
      </w:r>
      <w:r>
        <w:t xml:space="preserve">“</w:t>
      </w:r>
      <w:r>
        <w:t xml:space="preserve">音商,</w:t>
      </w:r>
      <w:r>
        <w:t xml:space="preserve">”</w:t>
      </w:r>
      <w:r>
        <w:t xml:space="preserve"> </w:t>
      </w:r>
      <w:r>
        <w:t xml:space="preserve">a</w:t>
      </w:r>
      <w:r>
        <w:t xml:space="preserve"> </w:t>
      </w:r>
      <w:r>
        <w:rPr>
          <w:rStyle w:val="VerbatimChar"/>
          <w:bCs/>
          <w:b/>
        </w:rPr>
        <w:t xml:space="preserve">Semantic Gloss in Chinese</w:t>
      </w:r>
      <w:r>
        <w:t xml:space="preserve"> </w:t>
      </w:r>
      <w:r>
        <w:t xml:space="preserve">“</w:t>
      </w:r>
      <w:r>
        <w:t xml:space="preserve">ー河縣名,</w:t>
      </w:r>
      <w:r>
        <w:t xml:space="preserve">”</w:t>
      </w:r>
      <w:r>
        <w:t xml:space="preserve"> </w:t>
      </w:r>
      <w:r>
        <w:t xml:space="preserve">and a</w:t>
      </w:r>
      <w:r>
        <w:t xml:space="preserve"> </w:t>
      </w:r>
      <w:r>
        <w:rPr>
          <w:iCs/>
          <w:i/>
        </w:rPr>
        <w:t xml:space="preserve">fanqie</w:t>
      </w:r>
      <w:r>
        <w:t xml:space="preserve"> </w:t>
      </w:r>
      <w:r>
        <w:t xml:space="preserve">spelling for an alternate reading,</w:t>
      </w:r>
      <w:r>
        <w:t xml:space="preserve"> </w:t>
      </w:r>
      <w:r>
        <w:t xml:space="preserve">“</w:t>
      </w:r>
      <w:r>
        <w:t xml:space="preserve">又都歴反,</w:t>
      </w:r>
      <w:r>
        <w:t xml:space="preserve">”</w:t>
      </w:r>
      <w:r>
        <w:t xml:space="preserve"> </w:t>
      </w:r>
      <w:r>
        <w:t xml:space="preserve">are given. The</w:t>
      </w:r>
      <w:r>
        <w:t xml:space="preserve"> </w:t>
      </w:r>
      <w:r>
        <w:rPr>
          <w:rStyle w:val="VerbatimChar"/>
          <w:bCs/>
          <w:b/>
        </w:rPr>
        <w:t xml:space="preserve">Semantic Gloss in Chinese</w:t>
      </w:r>
      <w:r>
        <w:t xml:space="preserve"> </w:t>
      </w:r>
      <w:r>
        <w:t xml:space="preserve">“</w:t>
      </w:r>
      <w:r>
        <w:t xml:space="preserve">ー河縣名</w:t>
      </w:r>
      <w:r>
        <w:t xml:space="preserve">”</w:t>
      </w:r>
      <w:r>
        <w:t xml:space="preserve"> </w:t>
      </w:r>
      <w:r>
        <w:t xml:space="preserve">means that</w:t>
      </w:r>
      <w:r>
        <w:t xml:space="preserve"> </w:t>
      </w:r>
      <w:r>
        <w:t xml:space="preserve">“</w:t>
      </w:r>
      <w:r>
        <w:t xml:space="preserve">滳河</w:t>
      </w:r>
      <w:r>
        <w:t xml:space="preserve">”</w:t>
      </w:r>
      <w:r>
        <w:t xml:space="preserve"> </w:t>
      </w:r>
      <w:r>
        <w:t xml:space="preserve">is the name of a county (縣,</w:t>
      </w:r>
      <w:r>
        <w:t xml:space="preserve"> </w:t>
      </w:r>
      <w:r>
        <w:rPr>
          <w:iCs/>
          <w:i/>
        </w:rPr>
        <w:t xml:space="preserve">xiàn</w:t>
      </w:r>
      <w:r>
        <w:t xml:space="preserve">). The</w:t>
      </w:r>
      <w:r>
        <w:t xml:space="preserve"> </w:t>
      </w:r>
      <w:r>
        <w:rPr>
          <w:iCs/>
          <w:i/>
        </w:rPr>
        <w:t xml:space="preserve">Book of Sui</w:t>
      </w:r>
      <w:r>
        <w:t xml:space="preserve"> </w:t>
      </w:r>
      <w:r>
        <w:t xml:space="preserve">states</w:t>
      </w:r>
      <w:r>
        <w:t xml:space="preserve"> </w:t>
      </w:r>
      <w:r>
        <w:t xml:space="preserve">“</w:t>
      </w:r>
      <w:r>
        <w:t xml:space="preserve">滳河開皇十六年置</w:t>
      </w:r>
      <w:r>
        <w:t xml:space="preserve">”</w:t>
      </w:r>
      <w:r>
        <w:t xml:space="preserve"> </w:t>
      </w:r>
      <w:r>
        <w:t xml:space="preserve">(Dihe was established in the 16th year of the Kaihuang era), a county name established in 596 (Kaihuang 16), corresponding to present-day Shanghe County in Jinan City, Shandong Province. The revised compilation’s</w:t>
      </w:r>
      <w:r>
        <w:t xml:space="preserve"> </w:t>
      </w:r>
      <w:r>
        <w:t xml:space="preserve">“</w:t>
      </w:r>
      <w:r>
        <w:t xml:space="preserve">阿懸名</w:t>
      </w:r>
      <w:r>
        <w:t xml:space="preserve">”</w:t>
      </w:r>
      <w:r>
        <w:t xml:space="preserve"> </w:t>
      </w:r>
      <w:r>
        <w:t xml:space="preserve">is grammatically unintelligible and questionable, but</w:t>
      </w:r>
      <w:r>
        <w:t xml:space="preserve"> </w:t>
      </w:r>
      <w:r>
        <w:t xml:space="preserve">‘</w:t>
      </w:r>
      <w:r>
        <w:t xml:space="preserve">阿</w:t>
      </w:r>
      <w:r>
        <w:t xml:space="preserve">’</w:t>
      </w:r>
      <w:r>
        <w:t xml:space="preserve"> </w:t>
      </w:r>
      <w:r>
        <w:t xml:space="preserve">may reasonably be regarded as a scribal error for</w:t>
      </w:r>
      <w:r>
        <w:t xml:space="preserve"> </w:t>
      </w:r>
      <w:r>
        <w:t xml:space="preserve">‘</w:t>
      </w:r>
      <w:r>
        <w:t xml:space="preserve">河.</w:t>
      </w:r>
      <w:r>
        <w:t xml:space="preserve">’</w:t>
      </w:r>
      <w:r>
        <w:t xml:space="preserve"> </w:t>
      </w:r>
      <w:r>
        <w:t xml:space="preserve">It is presumed that this error arose from parsing</w:t>
      </w:r>
      <w:r>
        <w:t xml:space="preserve"> </w:t>
      </w:r>
      <w:r>
        <w:t xml:space="preserve">“</w:t>
      </w:r>
      <w:r>
        <w:t xml:space="preserve">滳河、縣名</w:t>
      </w:r>
      <w:r>
        <w:t xml:space="preserve">”</w:t>
      </w:r>
      <w:r>
        <w:t xml:space="preserve"> </w:t>
      </w:r>
      <w:r>
        <w:t xml:space="preserve">(Dihe, a county name) as</w:t>
      </w:r>
      <w:r>
        <w:t xml:space="preserve"> </w:t>
      </w:r>
      <w:r>
        <w:t xml:space="preserve">“</w:t>
      </w:r>
      <w:r>
        <w:t xml:space="preserve">滳、河縣名</w:t>
      </w:r>
      <w:r>
        <w:t xml:space="preserve">”</w:t>
      </w:r>
      <w:r>
        <w:t xml:space="preserve"> </w:t>
      </w:r>
      <w:r>
        <w:t xml:space="preserve">instead of correctly as</w:t>
      </w:r>
      <w:r>
        <w:t xml:space="preserve"> </w:t>
      </w:r>
      <w:r>
        <w:t xml:space="preserve">“</w:t>
      </w:r>
      <w:r>
        <w:t xml:space="preserve">滳河、縣名.</w:t>
      </w:r>
      <w:r>
        <w:t xml:space="preserve">”</w:t>
      </w:r>
    </w:p>
    <w:p>
      <w:pPr>
        <w:pStyle w:val="BodyText"/>
      </w:pPr>
      <w:r>
        <w:t xml:space="preserve">Setting that aside, when used as the county (place) name</w:t>
      </w:r>
      <w:r>
        <w:t xml:space="preserve"> </w:t>
      </w:r>
      <w:r>
        <w:t xml:space="preserve">“</w:t>
      </w:r>
      <w:r>
        <w:t xml:space="preserve">滳河,</w:t>
      </w:r>
      <w:r>
        <w:t xml:space="preserve">”</w:t>
      </w:r>
      <w:r>
        <w:t xml:space="preserve"> </w:t>
      </w:r>
      <w:r>
        <w:t xml:space="preserve">the reading is</w:t>
      </w:r>
      <w:r>
        <w:t xml:space="preserve"> </w:t>
      </w:r>
      <w:r>
        <w:t xml:space="preserve">“</w:t>
      </w:r>
      <w:r>
        <w:t xml:space="preserve">音商</w:t>
      </w:r>
      <w:r>
        <w:t xml:space="preserve">”</w:t>
      </w:r>
      <w:r>
        <w:t xml:space="preserve">; separately from this, there is also the reading</w:t>
      </w:r>
      <w:r>
        <w:t xml:space="preserve"> </w:t>
      </w:r>
      <w:r>
        <w:t xml:space="preserve">“</w:t>
      </w:r>
      <w:r>
        <w:t xml:space="preserve">又都歴反.</w:t>
      </w:r>
      <w:r>
        <w:t xml:space="preserve">”</w:t>
      </w:r>
      <w:r>
        <w:t xml:space="preserve"> </w:t>
      </w:r>
      <w:r>
        <w:t xml:space="preserve">The</w:t>
      </w:r>
      <w:r>
        <w:t xml:space="preserve"> </w:t>
      </w:r>
      <w:r>
        <w:rPr>
          <w:iCs/>
          <w:i/>
        </w:rPr>
        <w:t xml:space="preserve">Guangyun</w:t>
      </w:r>
      <w:r>
        <w:t xml:space="preserve"> </w:t>
      </w:r>
      <w:r>
        <w:t xml:space="preserve">gives</w:t>
      </w:r>
      <w:r>
        <w:t xml:space="preserve"> </w:t>
      </w:r>
      <w:r>
        <w:t xml:space="preserve">‘</w:t>
      </w:r>
      <w:r>
        <w:t xml:space="preserve">滴</w:t>
      </w:r>
      <w:r>
        <w:t xml:space="preserve">’</w:t>
      </w:r>
      <w:r>
        <w:t xml:space="preserve"> </w:t>
      </w:r>
      <w:r>
        <w:t xml:space="preserve">under the Entering tone (入声),</w:t>
      </w:r>
      <w:r>
        <w:t xml:space="preserve"> </w:t>
      </w:r>
      <w:r>
        <w:rPr>
          <w:iCs/>
          <w:i/>
        </w:rPr>
        <w:t xml:space="preserve">Xi</w:t>
      </w:r>
      <w:r>
        <w:t xml:space="preserve"> </w:t>
      </w:r>
      <w:r>
        <w:t xml:space="preserve">rhyme (錫韻),</w:t>
      </w:r>
      <w:r>
        <w:t xml:space="preserve"> </w:t>
      </w:r>
      <w:r>
        <w:rPr>
          <w:iCs/>
          <w:i/>
        </w:rPr>
        <w:t xml:space="preserve">xiaoyun</w:t>
      </w:r>
      <w:r>
        <w:t xml:space="preserve"> </w:t>
      </w:r>
      <w:r>
        <w:t xml:space="preserve">‘</w:t>
      </w:r>
      <w:r>
        <w:t xml:space="preserve">的</w:t>
      </w:r>
      <w:r>
        <w:t xml:space="preserve">’</w:t>
      </w:r>
      <w:r>
        <w:t xml:space="preserve">:</w:t>
      </w:r>
      <w:r>
        <w:t xml:space="preserve"> </w:t>
      </w:r>
      <w:r>
        <w:rPr>
          <w:iCs/>
          <w:i/>
        </w:rPr>
        <w:t xml:space="preserve">dūlì qiè</w:t>
      </w:r>
      <w:r>
        <w:t xml:space="preserve"> </w:t>
      </w:r>
      <w:r>
        <w:t xml:space="preserve">(都歴切), with the gloss</w:t>
      </w:r>
      <w:r>
        <w:t xml:space="preserve"> </w:t>
      </w:r>
      <w:r>
        <w:t xml:space="preserve">“</w:t>
      </w:r>
      <w:r>
        <w:t xml:space="preserve">水滴也，亦作𤁷</w:t>
      </w:r>
      <w:r>
        <w:t xml:space="preserve">”</w:t>
      </w:r>
      <w:r>
        <w:t xml:space="preserve"> </w:t>
      </w:r>
      <w:r>
        <w:t xml:space="preserve">(</w:t>
      </w:r>
      <w:r>
        <w:t xml:space="preserve">“</w:t>
      </w:r>
      <w:r>
        <w:t xml:space="preserve">[means] to drip water; also written 𤁷</w:t>
      </w:r>
      <w:r>
        <w:t xml:space="preserve">”</w:t>
      </w:r>
      <w:r>
        <w:t xml:space="preserve">), from which we know that</w:t>
      </w:r>
      <w:r>
        <w:t xml:space="preserve"> </w:t>
      </w:r>
      <w:r>
        <w:t xml:space="preserve">“</w:t>
      </w:r>
      <w:r>
        <w:t xml:space="preserve">又都歴反</w:t>
      </w:r>
      <w:r>
        <w:t xml:space="preserve">”</w:t>
      </w:r>
      <w:r>
        <w:t xml:space="preserve"> </w:t>
      </w:r>
      <w:r>
        <w:t xml:space="preserve">corresponds to</w:t>
      </w:r>
      <w:r>
        <w:t xml:space="preserve"> </w:t>
      </w:r>
      <w:r>
        <w:t xml:space="preserve">‘</w:t>
      </w:r>
      <w:r>
        <w:t xml:space="preserve">滴.</w:t>
      </w:r>
      <w:r>
        <w:t xml:space="preserve">’</w:t>
      </w:r>
      <w:r>
        <w:t xml:space="preserve"> </w:t>
      </w:r>
      <w:r>
        <w:t xml:space="preserve">In other words, this shows that while</w:t>
      </w:r>
      <w:r>
        <w:t xml:space="preserve"> </w:t>
      </w:r>
      <w:r>
        <w:t xml:space="preserve">‘</w:t>
      </w:r>
      <w:r>
        <w:t xml:space="preserve">滳</w:t>
      </w:r>
      <w:r>
        <w:t xml:space="preserve">’</w:t>
      </w:r>
      <w:r>
        <w:t xml:space="preserve"> </w:t>
      </w:r>
      <w:r>
        <w:t xml:space="preserve">is read</w:t>
      </w:r>
      <w:r>
        <w:t xml:space="preserve"> </w:t>
      </w:r>
      <w:r>
        <w:t xml:space="preserve">“</w:t>
      </w:r>
      <w:r>
        <w:t xml:space="preserve">音商</w:t>
      </w:r>
      <w:r>
        <w:t xml:space="preserve">”</w:t>
      </w:r>
      <w:r>
        <w:t xml:space="preserve"> </w:t>
      </w:r>
      <w:r>
        <w:t xml:space="preserve">as the county (place) name</w:t>
      </w:r>
      <w:r>
        <w:t xml:space="preserve"> </w:t>
      </w:r>
      <w:r>
        <w:t xml:space="preserve">“</w:t>
      </w:r>
      <w:r>
        <w:t xml:space="preserve">滳河,</w:t>
      </w:r>
      <w:r>
        <w:t xml:space="preserve">”</w:t>
      </w:r>
      <w:r>
        <w:t xml:space="preserve"> </w:t>
      </w:r>
      <w:r>
        <w:t xml:space="preserve">it is also used interchangeably with</w:t>
      </w:r>
      <w:r>
        <w:t xml:space="preserve"> </w:t>
      </w:r>
      <w:r>
        <w:t xml:space="preserve">‘</w:t>
      </w:r>
      <w:r>
        <w:t xml:space="preserve">滴,</w:t>
      </w:r>
      <w:r>
        <w:t xml:space="preserve">’</w:t>
      </w:r>
      <w:r>
        <w:t xml:space="preserve"> </w:t>
      </w:r>
      <w:r>
        <w:t xml:space="preserve">read as</w:t>
      </w:r>
      <w:r>
        <w:t xml:space="preserve"> </w:t>
      </w:r>
      <w:r>
        <w:t xml:space="preserve">“</w:t>
      </w:r>
      <w:r>
        <w:t xml:space="preserve">都歴反.</w:t>
      </w:r>
      <w:r>
        <w:t xml:space="preserve">”</w:t>
      </w:r>
    </w:p>
    <w:p>
      <w:pPr>
        <w:pStyle w:val="BodyText"/>
      </w:pPr>
      <w:r>
        <w:t xml:space="preserve">‘</w:t>
      </w:r>
      <w:r>
        <w:t xml:space="preserve">滴</w:t>
      </w:r>
      <w:r>
        <w:t xml:space="preserve">’</w:t>
      </w:r>
      <w:r>
        <w:t xml:space="preserve"> </w:t>
      </w:r>
      <w:r>
        <w:t xml:space="preserve">and its related items are treated in detail in the Zushoryō manuscript, the original compilation, and various points warrant further examination; for now, this discussion will stop here.</w:t>
      </w:r>
    </w:p>
    <w:bookmarkEnd w:id="607"/>
    <w:bookmarkEnd w:id="608"/>
    <w:bookmarkEnd w:id="609"/>
    <w:bookmarkEnd w:id="610"/>
    <w:bookmarkStart w:id="642" w:name="X82d58d794e35d4a763bfaf5e0a4ea55afe9544d"/>
    <w:bookmarkStart w:id="641" w:name="X639317f21540a6065f3767999da178c843792c9"/>
    <w:p>
      <w:pPr>
        <w:pStyle w:val="Heading1"/>
      </w:pPr>
      <w:r>
        <w:rPr>
          <w:rStyle w:val="SectionNumber"/>
        </w:rPr>
        <w:t xml:space="preserve">23</w:t>
      </w:r>
      <w:r>
        <w:tab/>
      </w:r>
      <w:r>
        <w:t xml:space="preserve">Types and Decipherment Problems of Phonetic Glosses</w:t>
      </w:r>
    </w:p>
    <w:p>
      <w:pPr>
        <w:pStyle w:val="FirstParagraph"/>
      </w:pPr>
      <w:r>
        <w:t xml:space="preserve">In examining</w:t>
      </w:r>
      <w:r>
        <w:t xml:space="preserve"> </w:t>
      </w:r>
      <w:r>
        <w:rPr>
          <w:rStyle w:val="VerbatimChar"/>
          <w:bCs/>
          <w:b/>
        </w:rPr>
        <w:t xml:space="preserve">Phonetic Glosses</w:t>
      </w:r>
      <w:r>
        <w:t xml:space="preserve">, comparison with the</w:t>
      </w:r>
      <w:r>
        <w:t xml:space="preserve"> </w:t>
      </w:r>
      <w:r>
        <w:rPr>
          <w:iCs/>
          <w:i/>
        </w:rPr>
        <w:t xml:space="preserve">Guangyun</w:t>
      </w:r>
      <w:r>
        <w:t xml:space="preserve">’s phonetic glosses is fundamental. In the original compilation of the</w:t>
      </w:r>
      <w:r>
        <w:t xml:space="preserve"> </w:t>
      </w:r>
      <w:r>
        <w:rPr>
          <w:iCs/>
          <w:i/>
        </w:rPr>
        <w:t xml:space="preserve">Myōgishō</w:t>
      </w:r>
      <w:r>
        <w:t xml:space="preserve">, citations from the</w:t>
      </w:r>
      <w:r>
        <w:t xml:space="preserve"> </w:t>
      </w:r>
      <w:r>
        <w:rPr>
          <w:iCs/>
          <w:i/>
        </w:rPr>
        <w:t xml:space="preserve">Tōgū Qieyun</w:t>
      </w:r>
      <w:r>
        <w:t xml:space="preserve"> </w:t>
      </w:r>
      <w:r>
        <w:t xml:space="preserve">(東宮切韻) are frequent, and it is expected that</w:t>
      </w:r>
      <w:r>
        <w:t xml:space="preserve"> </w:t>
      </w:r>
      <w:r>
        <w:rPr>
          <w:rStyle w:val="VerbatimChar"/>
          <w:bCs/>
          <w:b/>
        </w:rPr>
        <w:t xml:space="preserve">Phonetic Glosses</w:t>
      </w:r>
      <w:r>
        <w:t xml:space="preserve"> </w:t>
      </w:r>
      <w:r>
        <w:t xml:space="preserve">derived from</w:t>
      </w:r>
      <w:r>
        <w:t xml:space="preserve"> </w:t>
      </w:r>
      <w:r>
        <w:rPr>
          <w:iCs/>
          <w:i/>
        </w:rPr>
        <w:t xml:space="preserve">Qieyun</w:t>
      </w:r>
      <w:r>
        <w:t xml:space="preserve">-lineage rhyme books are likewise numerous in the revised compilation. In the original compilation of the</w:t>
      </w:r>
      <w:r>
        <w:t xml:space="preserve"> </w:t>
      </w:r>
      <w:r>
        <w:rPr>
          <w:iCs/>
          <w:i/>
        </w:rPr>
        <w:t xml:space="preserve">Myōgishō</w:t>
      </w:r>
      <w:r>
        <w:t xml:space="preserve">, citations from the original</w:t>
      </w:r>
      <w:r>
        <w:t xml:space="preserve"> </w:t>
      </w:r>
      <w:r>
        <w:rPr>
          <w:iCs/>
          <w:i/>
        </w:rPr>
        <w:t xml:space="preserve">Yupian</w:t>
      </w:r>
      <w:r>
        <w:t xml:space="preserve"> </w:t>
      </w:r>
      <w:r>
        <w:t xml:space="preserve">(原本玉篇) and the</w:t>
      </w:r>
      <w:r>
        <w:t xml:space="preserve"> </w:t>
      </w:r>
      <w:r>
        <w:rPr>
          <w:iCs/>
          <w:i/>
        </w:rPr>
        <w:t xml:space="preserve">Tenrei Banshō Meigi</w:t>
      </w:r>
      <w:r>
        <w:t xml:space="preserve"> </w:t>
      </w:r>
      <w:r>
        <w:t xml:space="preserve">are about as frequent as those from the</w:t>
      </w:r>
      <w:r>
        <w:t xml:space="preserve"> </w:t>
      </w:r>
      <w:r>
        <w:rPr>
          <w:iCs/>
          <w:i/>
        </w:rPr>
        <w:t xml:space="preserve">Tōgū Qieyun</w:t>
      </w:r>
      <w:r>
        <w:t xml:space="preserve">, so collation of the Kanchi-in manuscript’s</w:t>
      </w:r>
      <w:r>
        <w:t xml:space="preserve"> </w:t>
      </w:r>
      <w:r>
        <w:rPr>
          <w:rStyle w:val="VerbatimChar"/>
          <w:bCs/>
          <w:b/>
        </w:rPr>
        <w:t xml:space="preserve">Phonetic Glosses</w:t>
      </w:r>
      <w:r>
        <w:t xml:space="preserve"> </w:t>
      </w:r>
      <w:r>
        <w:t xml:space="preserve">against these must also be carried out. The most frequently cited source in the original compilation of the</w:t>
      </w:r>
      <w:r>
        <w:t xml:space="preserve"> </w:t>
      </w:r>
      <w:r>
        <w:rPr>
          <w:iCs/>
          <w:i/>
        </w:rPr>
        <w:t xml:space="preserve">Myōgishō</w:t>
      </w:r>
      <w:r>
        <w:t xml:space="preserve"> </w:t>
      </w:r>
      <w:r>
        <w:t xml:space="preserve">is Xuanying’s</w:t>
      </w:r>
      <w:r>
        <w:t xml:space="preserve"> </w:t>
      </w:r>
      <w:r>
        <w:rPr>
          <w:iCs/>
          <w:i/>
        </w:rPr>
        <w:t xml:space="preserve">Yiqiejing yinyi</w:t>
      </w:r>
      <w:r>
        <w:t xml:space="preserve">, so the Kanchi-in manuscript’s</w:t>
      </w:r>
      <w:r>
        <w:t xml:space="preserve"> </w:t>
      </w:r>
      <w:r>
        <w:rPr>
          <w:rStyle w:val="VerbatimChar"/>
          <w:bCs/>
          <w:b/>
        </w:rPr>
        <w:t xml:space="preserve">Phonetic Glosses</w:t>
      </w:r>
      <w:r>
        <w:t xml:space="preserve"> </w:t>
      </w:r>
      <w:r>
        <w:t xml:space="preserve">must likewise be collated against the</w:t>
      </w:r>
      <w:r>
        <w:t xml:space="preserve"> </w:t>
      </w:r>
      <w:r>
        <w:rPr>
          <w:iCs/>
          <w:i/>
        </w:rPr>
        <w:t xml:space="preserve">Yiqiejing yinyi</w:t>
      </w:r>
      <w:r>
        <w:t xml:space="preserve">. Additionally, the original compilation of the</w:t>
      </w:r>
      <w:r>
        <w:t xml:space="preserve"> </w:t>
      </w:r>
      <w:r>
        <w:rPr>
          <w:iCs/>
          <w:i/>
        </w:rPr>
        <w:t xml:space="preserve">Myōgishō</w:t>
      </w:r>
      <w:r>
        <w:t xml:space="preserve"> </w:t>
      </w:r>
      <w:r>
        <w:t xml:space="preserve">also contains</w:t>
      </w:r>
      <w:r>
        <w:t xml:space="preserve"> </w:t>
      </w:r>
      <w:r>
        <w:rPr>
          <w:rStyle w:val="VerbatimChar"/>
          <w:bCs/>
          <w:b/>
        </w:rPr>
        <w:t xml:space="preserve">Phonetic Glosses</w:t>
      </w:r>
      <w:r>
        <w:t xml:space="preserve"> </w:t>
      </w:r>
      <w:r>
        <w:t xml:space="preserve">derived from the</w:t>
      </w:r>
      <w:r>
        <w:t xml:space="preserve"> </w:t>
      </w:r>
      <w:r>
        <w:rPr>
          <w:iCs/>
          <w:i/>
        </w:rPr>
        <w:t xml:space="preserve">Wamyō Ruijushō</w:t>
      </w:r>
      <w:r>
        <w:t xml:space="preserve">, which sometimes diverge from the Middle Chinese phonological system.</w:t>
      </w:r>
    </w:p>
    <w:p>
      <w:pPr>
        <w:pStyle w:val="BodyText"/>
      </w:pPr>
      <w:r>
        <w:t xml:space="preserve">However, depending on how one counts, the Kanchi-in manuscript contains approximately 24,000</w:t>
      </w:r>
      <w:r>
        <w:t xml:space="preserve"> </w:t>
      </w:r>
      <w:r>
        <w:rPr>
          <w:rStyle w:val="VerbatimChar"/>
          <w:bCs/>
          <w:b/>
        </w:rPr>
        <w:t xml:space="preserve">Phonetic Glosses</w:t>
      </w:r>
      <w:r>
        <w:t xml:space="preserve">, and collation will take considerable time. First, using the</w:t>
      </w:r>
      <w:r>
        <w:t xml:space="preserve"> </w:t>
      </w:r>
      <w:r>
        <w:rPr>
          <w:iCs/>
          <w:i/>
        </w:rPr>
        <w:t xml:space="preserve">Guangyun</w:t>
      </w:r>
      <w:r>
        <w:t xml:space="preserve"> </w:t>
      </w:r>
      <w:r>
        <w:t xml:space="preserve">as a reference, we will investigate whether each</w:t>
      </w:r>
      <w:r>
        <w:t xml:space="preserve"> </w:t>
      </w:r>
      <w:r>
        <w:rPr>
          <w:rStyle w:val="VerbatimChar"/>
          <w:bCs/>
          <w:b/>
        </w:rPr>
        <w:t xml:space="preserve">Headword</w:t>
      </w:r>
      <w:r>
        <w:t xml:space="preserve"> </w:t>
      </w:r>
      <w:r>
        <w:t xml:space="preserve">appears there, its rhyme group, its</w:t>
      </w:r>
      <w:r>
        <w:t xml:space="preserve"> </w:t>
      </w:r>
      <w:r>
        <w:rPr>
          <w:iCs/>
          <w:i/>
        </w:rPr>
        <w:t xml:space="preserve">fanqie</w:t>
      </w:r>
      <w:r>
        <w:t xml:space="preserve"> </w:t>
      </w:r>
      <w:r>
        <w:t xml:space="preserve">spelling, and its</w:t>
      </w:r>
      <w:r>
        <w:t xml:space="preserve"> </w:t>
      </w:r>
      <w:r>
        <w:rPr>
          <w:iCs/>
          <w:i/>
        </w:rPr>
        <w:t xml:space="preserve">xiaoyun</w:t>
      </w:r>
      <w:r>
        <w:t xml:space="preserve"> </w:t>
      </w:r>
      <w:r>
        <w:t xml:space="preserve">character, among other points. Next, for</w:t>
      </w:r>
      <w:r>
        <w:t xml:space="preserve"> </w:t>
      </w:r>
      <w:r>
        <w:rPr>
          <w:rStyle w:val="VerbatimChar"/>
          <w:bCs/>
          <w:b/>
        </w:rPr>
        <w:t xml:space="preserve">Phonetic Glosses</w:t>
      </w:r>
      <w:r>
        <w:t xml:space="preserve"> </w:t>
      </w:r>
      <w:r>
        <w:t xml:space="preserve">that do not match the</w:t>
      </w:r>
      <w:r>
        <w:t xml:space="preserve"> </w:t>
      </w:r>
      <w:r>
        <w:rPr>
          <w:iCs/>
          <w:i/>
        </w:rPr>
        <w:t xml:space="preserve">Guangyun</w:t>
      </w:r>
      <w:r>
        <w:t xml:space="preserve">, we will examine them in turn against the</w:t>
      </w:r>
      <w:r>
        <w:t xml:space="preserve"> </w:t>
      </w:r>
      <w:r>
        <w:rPr>
          <w:iCs/>
          <w:i/>
        </w:rPr>
        <w:t xml:space="preserve">Tenrei Banshō Meigi</w:t>
      </w:r>
      <w:r>
        <w:t xml:space="preserve">, the Song edition of the</w:t>
      </w:r>
      <w:r>
        <w:t xml:space="preserve"> </w:t>
      </w:r>
      <w:r>
        <w:rPr>
          <w:iCs/>
          <w:i/>
        </w:rPr>
        <w:t xml:space="preserve">Yupian</w:t>
      </w:r>
      <w:r>
        <w:t xml:space="preserve">, the</w:t>
      </w:r>
      <w:r>
        <w:t xml:space="preserve"> </w:t>
      </w:r>
      <w:r>
        <w:rPr>
          <w:iCs/>
          <w:i/>
        </w:rPr>
        <w:t xml:space="preserve">Yiqiejing yinyi</w:t>
      </w:r>
      <w:r>
        <w:t xml:space="preserve">, the</w:t>
      </w:r>
      <w:r>
        <w:t xml:space="preserve"> </w:t>
      </w:r>
      <w:r>
        <w:rPr>
          <w:iCs/>
          <w:i/>
        </w:rPr>
        <w:t xml:space="preserve">Wamyō Ruijushō</w:t>
      </w:r>
      <w:r>
        <w:t xml:space="preserve">, and other sources.</w:t>
      </w:r>
    </w:p>
    <w:p>
      <w:pPr>
        <w:pStyle w:val="BodyText"/>
      </w:pPr>
      <w:r>
        <w:t xml:space="preserve">Although there is no direct citation in the original compilation of the</w:t>
      </w:r>
      <w:r>
        <w:t xml:space="preserve"> </w:t>
      </w:r>
      <w:r>
        <w:rPr>
          <w:iCs/>
          <w:i/>
        </w:rPr>
        <w:t xml:space="preserve">Myōgishō</w:t>
      </w:r>
      <w:r>
        <w:t xml:space="preserve">, the revised compilation contains entries similar to those in the</w:t>
      </w:r>
      <w:r>
        <w:t xml:space="preserve"> </w:t>
      </w:r>
      <w:r>
        <w:rPr>
          <w:iCs/>
          <w:i/>
        </w:rPr>
        <w:t xml:space="preserve">Longkan Shoujian/Shoujing</w:t>
      </w:r>
      <w:r>
        <w:t xml:space="preserve">, so reference to the</w:t>
      </w:r>
      <w:r>
        <w:t xml:space="preserve"> </w:t>
      </w:r>
      <w:r>
        <w:rPr>
          <w:iCs/>
          <w:i/>
        </w:rPr>
        <w:t xml:space="preserve">Longkan Shoujian/Shoujing</w:t>
      </w:r>
      <w:r>
        <w:t xml:space="preserve"> </w:t>
      </w:r>
      <w:r>
        <w:t xml:space="preserve">is also indispensable.</w:t>
      </w:r>
    </w:p>
    <w:bookmarkStart w:id="611" w:name="X6069a0f04a966b7045e98b9a2775d533b0a4828"/>
    <w:p>
      <w:pPr>
        <w:pStyle w:val="Heading2"/>
      </w:pPr>
      <w:r>
        <w:rPr>
          <w:rStyle w:val="SectionNumber"/>
        </w:rPr>
        <w:t xml:space="preserve">23.1</w:t>
      </w:r>
      <w:r>
        <w:tab/>
      </w:r>
      <w:r>
        <w:t xml:space="preserve">Types of Phonetic Glosses</w:t>
      </w:r>
    </w:p>
    <w:p>
      <w:pPr>
        <w:pStyle w:val="FirstParagraph"/>
      </w:pPr>
      <w:r>
        <w:t xml:space="preserve">In terms of notational form, there are</w:t>
      </w:r>
      <w:r>
        <w:t xml:space="preserve"> </w:t>
      </w:r>
      <w:r>
        <w:rPr>
          <w:rStyle w:val="VerbatimChar"/>
          <w:bCs/>
          <w:b/>
        </w:rPr>
        <w:t xml:space="preserve">Fanqie spellings</w:t>
      </w:r>
      <w:r>
        <w:t xml:space="preserve">, homophone-character glosses,</w:t>
      </w:r>
      <w:r>
        <w:t xml:space="preserve"> </w:t>
      </w:r>
      <w:r>
        <w:rPr>
          <w:rStyle w:val="VerbatimChar"/>
          <w:bCs/>
          <w:b/>
        </w:rPr>
        <w:t xml:space="preserve">Kana glosses</w:t>
      </w:r>
      <w:r>
        <w:t xml:space="preserve">, and</w:t>
      </w:r>
      <w:r>
        <w:t xml:space="preserve"> </w:t>
      </w:r>
      <w:r>
        <w:rPr>
          <w:rStyle w:val="VerbatimChar"/>
          <w:bCs/>
          <w:b/>
        </w:rPr>
        <w:t xml:space="preserve">Tone Marks</w:t>
      </w:r>
      <w:r>
        <w:t xml:space="preserve">.</w:t>
      </w:r>
    </w:p>
    <w:p>
      <w:pPr>
        <w:pStyle w:val="BodyText"/>
      </w:pPr>
      <w:r>
        <w:t xml:space="preserve">In terms of content, there are</w:t>
      </w:r>
      <w:r>
        <w:t xml:space="preserve"> </w:t>
      </w:r>
      <w:r>
        <w:rPr>
          <w:iCs/>
          <w:i/>
        </w:rPr>
        <w:t xml:space="preserve">Seion</w:t>
      </w:r>
      <w:r>
        <w:t xml:space="preserve"> </w:t>
      </w:r>
      <w:r>
        <w:t xml:space="preserve">(正音, standard pronunciations),</w:t>
      </w:r>
      <w:r>
        <w:t xml:space="preserve"> </w:t>
      </w:r>
      <w:r>
        <w:rPr>
          <w:iCs/>
          <w:i/>
        </w:rPr>
        <w:t xml:space="preserve">Kan-on</w:t>
      </w:r>
      <w:r>
        <w:t xml:space="preserve">,</w:t>
      </w:r>
      <w:r>
        <w:t xml:space="preserve"> </w:t>
      </w:r>
      <w:r>
        <w:rPr>
          <w:iCs/>
          <w:i/>
        </w:rPr>
        <w:t xml:space="preserve">Wa-on</w:t>
      </w:r>
      <w:r>
        <w:t xml:space="preserve">, and</w:t>
      </w:r>
      <w:r>
        <w:t xml:space="preserve"> </w:t>
      </w:r>
      <w:r>
        <w:rPr>
          <w:iCs/>
          <w:i/>
        </w:rPr>
        <w:t xml:space="preserve">Go-on</w:t>
      </w:r>
      <w:r>
        <w:t xml:space="preserve">.</w:t>
      </w:r>
    </w:p>
    <w:bookmarkEnd w:id="611"/>
    <w:bookmarkStart w:id="635" w:name="X3cf125019e66425f60e9401b931b1ded3622265"/>
    <w:p>
      <w:pPr>
        <w:pStyle w:val="Heading2"/>
      </w:pPr>
      <w:r>
        <w:rPr>
          <w:rStyle w:val="SectionNumber"/>
        </w:rPr>
        <w:t xml:space="preserve">23.2</w:t>
      </w:r>
      <w:r>
        <w:tab/>
      </w:r>
      <w:r>
        <w:t xml:space="preserve">Fanqie Spellings</w:t>
      </w:r>
    </w:p>
    <w:p>
      <w:pPr>
        <w:pStyle w:val="FirstParagraph"/>
      </w:pPr>
      <w:r>
        <w:t xml:space="preserve">The following is a passage where</w:t>
      </w:r>
      <w:r>
        <w:t xml:space="preserve"> </w:t>
      </w:r>
      <w:r>
        <w:rPr>
          <w:rStyle w:val="VerbatimChar"/>
          <w:bCs/>
          <w:b/>
        </w:rPr>
        <w:t xml:space="preserve">Headwords</w:t>
      </w:r>
      <w:r>
        <w:t xml:space="preserve"> </w:t>
      </w:r>
      <w:r>
        <w:t xml:space="preserve">not recorded in the</w:t>
      </w:r>
      <w:r>
        <w:t xml:space="preserve"> </w:t>
      </w:r>
      <w:r>
        <w:rPr>
          <w:iCs/>
          <w:i/>
        </w:rPr>
        <w:t xml:space="preserve">Guangyun</w:t>
      </w:r>
      <w:r>
        <w:t xml:space="preserve"> </w:t>
      </w:r>
      <w:r>
        <w:t xml:space="preserve">appear in succession.</w:t>
      </w:r>
    </w:p>
    <w:p>
      <w:pPr>
        <w:numPr>
          <w:ilvl w:val="0"/>
          <w:numId w:val="1236"/>
        </w:numPr>
        <w:pStyle w:val="Compact"/>
      </w:pPr>
      <w:r>
        <w:rPr>
          <w:rStyle w:val="VerbatimChar"/>
        </w:rPr>
        <w:t xml:space="preserve">kazama_location</w:t>
      </w:r>
      <w:r>
        <w:t xml:space="preserve">: K01016330,</w:t>
      </w:r>
      <w:r>
        <w:t xml:space="preserve"> </w:t>
      </w:r>
      <w:r>
        <w:rPr>
          <w:rStyle w:val="VerbatimChar"/>
        </w:rPr>
        <w:t xml:space="preserve">hanzi_entry</w:t>
      </w:r>
      <w:r>
        <w:t xml:space="preserve">: 仱,</w:t>
      </w:r>
      <w:r>
        <w:t xml:space="preserve"> </w:t>
      </w:r>
      <w:r>
        <w:rPr>
          <w:rStyle w:val="VerbatimChar"/>
        </w:rPr>
        <w:t xml:space="preserve">definition</w:t>
      </w:r>
      <w:r>
        <w:t xml:space="preserve">: 紺音　渠廉反　古樂人</w:t>
      </w:r>
    </w:p>
    <w:p>
      <w:pPr>
        <w:numPr>
          <w:ilvl w:val="0"/>
          <w:numId w:val="1236"/>
        </w:numPr>
        <w:pStyle w:val="Compact"/>
      </w:pPr>
      <w:r>
        <w:rPr>
          <w:rStyle w:val="VerbatimChar"/>
        </w:rPr>
        <w:t xml:space="preserve">kazama_location</w:t>
      </w:r>
      <w:r>
        <w:t xml:space="preserve">: K01016340,</w:t>
      </w:r>
      <w:r>
        <w:t xml:space="preserve"> </w:t>
      </w:r>
      <w:r>
        <w:rPr>
          <w:rStyle w:val="VerbatimChar"/>
        </w:rPr>
        <w:t xml:space="preserve">hanzi_entry</w:t>
      </w:r>
      <w:r>
        <w:t xml:space="preserve">: 佡,</w:t>
      </w:r>
      <w:r>
        <w:t xml:space="preserve"> </w:t>
      </w:r>
      <w:r>
        <w:rPr>
          <w:rStyle w:val="VerbatimChar"/>
        </w:rPr>
        <w:t xml:space="preserve">definition</w:t>
      </w:r>
      <w:r>
        <w:t xml:space="preserve">: 俗仚字　丘豉反　呼莚反</w:t>
      </w:r>
    </w:p>
    <w:p>
      <w:pPr>
        <w:numPr>
          <w:ilvl w:val="0"/>
          <w:numId w:val="1236"/>
        </w:numPr>
        <w:pStyle w:val="Compact"/>
      </w:pPr>
      <w:r>
        <w:rPr>
          <w:rStyle w:val="VerbatimChar"/>
        </w:rPr>
        <w:t xml:space="preserve">kazama_location</w:t>
      </w:r>
      <w:r>
        <w:t xml:space="preserve">: K01016410,</w:t>
      </w:r>
      <w:r>
        <w:t xml:space="preserve"> </w:t>
      </w:r>
      <w:r>
        <w:rPr>
          <w:rStyle w:val="VerbatimChar"/>
        </w:rPr>
        <w:t xml:space="preserve">hanzi_entry</w:t>
      </w:r>
      <w:r>
        <w:t xml:space="preserve">: ⿰亻企,</w:t>
      </w:r>
      <w:r>
        <w:t xml:space="preserve"> </w:t>
      </w:r>
      <w:r>
        <w:rPr>
          <w:rStyle w:val="VerbatimChar"/>
        </w:rPr>
        <w:t xml:space="preserve">definition</w:t>
      </w:r>
      <w:r>
        <w:t xml:space="preserve">: 俗企字</w:t>
      </w:r>
    </w:p>
    <w:p>
      <w:pPr>
        <w:pStyle w:val="FirstParagraph"/>
      </w:pPr>
      <w:r>
        <w:t xml:space="preserve">Let us divide these three entries according to the differences in the content of their</w:t>
      </w:r>
      <w:r>
        <w:t xml:space="preserve"> </w:t>
      </w:r>
      <w:r>
        <w:rPr>
          <w:rStyle w:val="VerbatimChar"/>
          <w:bCs/>
          <w:b/>
        </w:rPr>
        <w:t xml:space="preserve">Original Glosses</w:t>
      </w:r>
      <w:r>
        <w:t xml:space="preserve">, number them in order of appearance, and add a commentary to each.</w:t>
      </w:r>
    </w:p>
    <w:p>
      <w:pPr>
        <w:numPr>
          <w:ilvl w:val="0"/>
          <w:numId w:val="1237"/>
        </w:numPr>
        <w:pStyle w:val="Compact"/>
      </w:pPr>
      <w:r>
        <w:rPr>
          <w:rStyle w:val="VerbatimChar"/>
        </w:rPr>
        <w:t xml:space="preserve">kazama_location</w:t>
      </w:r>
      <w:r>
        <w:t xml:space="preserve">: K01016330,</w:t>
      </w:r>
      <w:r>
        <w:t xml:space="preserve"> </w:t>
      </w:r>
      <w:r>
        <w:rPr>
          <w:rStyle w:val="VerbatimChar"/>
        </w:rPr>
        <w:t xml:space="preserve">hanzi_entry</w:t>
      </w:r>
      <w:r>
        <w:t xml:space="preserve">: 仱,</w:t>
      </w:r>
      <w:r>
        <w:br/>
      </w:r>
      <w:r>
        <w:rPr>
          <w:rStyle w:val="VerbatimChar"/>
        </w:rPr>
        <w:t xml:space="preserve">definition</w:t>
      </w:r>
      <w:r>
        <w:t xml:space="preserve">:</w:t>
      </w:r>
    </w:p>
    <w:p>
      <w:pPr>
        <w:numPr>
          <w:ilvl w:val="1"/>
          <w:numId w:val="1238"/>
        </w:numPr>
        <w:pStyle w:val="Compact"/>
      </w:pPr>
      <w:r>
        <w:t xml:space="preserve">紺音,</w:t>
      </w:r>
      <w:r>
        <w:t xml:space="preserve"> </w:t>
      </w:r>
      <w:r>
        <w:rPr>
          <w:rStyle w:val="VerbatimChar"/>
        </w:rPr>
        <w:t xml:space="preserve">remarks</w:t>
      </w:r>
      <w:r>
        <w:t xml:space="preserve">: Not found in the</w:t>
      </w:r>
      <w:r>
        <w:t xml:space="preserve"> </w:t>
      </w:r>
      <w:r>
        <w:rPr>
          <w:iCs/>
          <w:i/>
        </w:rPr>
        <w:t xml:space="preserve">Guangyun</w:t>
      </w:r>
      <w:r>
        <w:t xml:space="preserve">.</w:t>
      </w:r>
      <w:r>
        <w:t xml:space="preserve"> </w:t>
      </w:r>
      <w:r>
        <w:t xml:space="preserve">‘</w:t>
      </w:r>
      <w:r>
        <w:t xml:space="preserve">紺</w:t>
      </w:r>
      <w:r>
        <w:t xml:space="preserve">’</w:t>
      </w:r>
      <w:r>
        <w:t xml:space="preserve"> </w:t>
      </w:r>
      <w:r>
        <w:t xml:space="preserve">appears in the</w:t>
      </w:r>
      <w:r>
        <w:t xml:space="preserve"> </w:t>
      </w:r>
      <w:r>
        <w:rPr>
          <w:iCs/>
          <w:i/>
        </w:rPr>
        <w:t xml:space="preserve">Guangyun</w:t>
      </w:r>
      <w:r>
        <w:t xml:space="preserve"> </w:t>
      </w:r>
      <w:r>
        <w:t xml:space="preserve">as 古暗切 (Departing tone,</w:t>
      </w:r>
      <w:r>
        <w:t xml:space="preserve"> </w:t>
      </w:r>
      <w:r>
        <w:rPr>
          <w:iCs/>
          <w:i/>
        </w:rPr>
        <w:t xml:space="preserve">Kan</w:t>
      </w:r>
      <w:r>
        <w:t xml:space="preserve"> </w:t>
      </w:r>
      <w:r>
        <w:t xml:space="preserve">rhyme).</w:t>
      </w:r>
    </w:p>
    <w:p>
      <w:pPr>
        <w:numPr>
          <w:ilvl w:val="1"/>
          <w:numId w:val="1238"/>
        </w:numPr>
        <w:pStyle w:val="Compact"/>
      </w:pPr>
      <w:r>
        <w:t xml:space="preserve">渠廉反,</w:t>
      </w:r>
      <w:r>
        <w:t xml:space="preserve"> </w:t>
      </w:r>
      <w:r>
        <w:rPr>
          <w:rStyle w:val="VerbatimChar"/>
        </w:rPr>
        <w:t xml:space="preserve">remarks</w:t>
      </w:r>
      <w:r>
        <w:t xml:space="preserve">:</w:t>
      </w:r>
      <w:r>
        <w:t xml:space="preserve"> </w:t>
      </w:r>
      <w:r>
        <w:rPr>
          <w:iCs/>
          <w:i/>
        </w:rPr>
        <w:t xml:space="preserve">Tenrei Banshō Meigi</w:t>
      </w:r>
      <w:r>
        <w:t xml:space="preserve">: 渠廉反. Level tone,</w:t>
      </w:r>
      <w:r>
        <w:t xml:space="preserve"> </w:t>
      </w:r>
      <w:r>
        <w:rPr>
          <w:iCs/>
          <w:i/>
        </w:rPr>
        <w:t xml:space="preserve">Yan</w:t>
      </w:r>
      <w:r>
        <w:t xml:space="preserve"> </w:t>
      </w:r>
      <w:r>
        <w:t xml:space="preserve">rhyme,</w:t>
      </w:r>
      <w:r>
        <w:t xml:space="preserve"> </w:t>
      </w:r>
      <w:r>
        <w:rPr>
          <w:iCs/>
          <w:i/>
        </w:rPr>
        <w:t xml:space="preserve">Qun</w:t>
      </w:r>
      <w:r>
        <w:t xml:space="preserve"> </w:t>
      </w:r>
      <w:r>
        <w:t xml:space="preserve">initial.</w:t>
      </w:r>
    </w:p>
    <w:p>
      <w:pPr>
        <w:numPr>
          <w:ilvl w:val="1"/>
          <w:numId w:val="1238"/>
        </w:numPr>
        <w:pStyle w:val="Compact"/>
      </w:pPr>
      <w:r>
        <w:t xml:space="preserve">古樂人,</w:t>
      </w:r>
      <w:r>
        <w:t xml:space="preserve"> </w:t>
      </w:r>
      <w:r>
        <w:rPr>
          <w:rStyle w:val="VerbatimChar"/>
        </w:rPr>
        <w:t xml:space="preserve">remarks</w:t>
      </w:r>
      <w:r>
        <w:t xml:space="preserve">:</w:t>
      </w:r>
      <w:r>
        <w:t xml:space="preserve"> </w:t>
      </w:r>
      <w:r>
        <w:rPr>
          <w:iCs/>
          <w:i/>
        </w:rPr>
        <w:t xml:space="preserve">Tenrei Banshō Meigi</w:t>
      </w:r>
      <w:r>
        <w:t xml:space="preserve">: 古樂人也.</w:t>
      </w:r>
    </w:p>
    <w:p>
      <w:pPr>
        <w:numPr>
          <w:ilvl w:val="0"/>
          <w:numId w:val="1237"/>
        </w:numPr>
        <w:pStyle w:val="Compact"/>
      </w:pPr>
      <w:r>
        <w:rPr>
          <w:rStyle w:val="VerbatimChar"/>
        </w:rPr>
        <w:t xml:space="preserve">kazama_location</w:t>
      </w:r>
      <w:r>
        <w:t xml:space="preserve">: K01016340,</w:t>
      </w:r>
      <w:r>
        <w:t xml:space="preserve"> </w:t>
      </w:r>
      <w:r>
        <w:rPr>
          <w:rStyle w:val="VerbatimChar"/>
        </w:rPr>
        <w:t xml:space="preserve">hanzi_entry</w:t>
      </w:r>
      <w:r>
        <w:t xml:space="preserve">: 佡,</w:t>
      </w:r>
      <w:r>
        <w:br/>
      </w:r>
      <w:r>
        <w:rPr>
          <w:rStyle w:val="VerbatimChar"/>
        </w:rPr>
        <w:t xml:space="preserve">definition</w:t>
      </w:r>
      <w:r>
        <w:t xml:space="preserve">:</w:t>
      </w:r>
    </w:p>
    <w:p>
      <w:pPr>
        <w:numPr>
          <w:ilvl w:val="1"/>
          <w:numId w:val="1239"/>
        </w:numPr>
        <w:pStyle w:val="Compact"/>
      </w:pPr>
      <w:r>
        <w:t xml:space="preserve">俗仚字,</w:t>
      </w:r>
      <w:r>
        <w:t xml:space="preserve"> </w:t>
      </w:r>
      <w:r>
        <w:rPr>
          <w:rStyle w:val="VerbatimChar"/>
        </w:rPr>
        <w:t xml:space="preserve">remarks</w:t>
      </w:r>
      <w:r>
        <w:t xml:space="preserve">:</w:t>
      </w:r>
      <w:r>
        <w:t xml:space="preserve"> </w:t>
      </w:r>
      <w:r>
        <w:t xml:space="preserve">‘</w:t>
      </w:r>
      <w:r>
        <w:t xml:space="preserve">仚</w:t>
      </w:r>
      <w:r>
        <w:t xml:space="preserve">’</w:t>
      </w:r>
      <w:r>
        <w:t xml:space="preserve"> </w:t>
      </w:r>
      <w:r>
        <w:t xml:space="preserve">appears in the</w:t>
      </w:r>
      <w:r>
        <w:t xml:space="preserve"> </w:t>
      </w:r>
      <w:r>
        <w:rPr>
          <w:iCs/>
          <w:i/>
        </w:rPr>
        <w:t xml:space="preserve">Shuowen Jiezi</w:t>
      </w:r>
      <w:r>
        <w:t xml:space="preserve"> </w:t>
      </w:r>
      <w:r>
        <w:t xml:space="preserve">as</w:t>
      </w:r>
      <w:r>
        <w:t xml:space="preserve"> </w:t>
      </w:r>
      <w:r>
        <w:t xml:space="preserve">‘</w:t>
      </w:r>
      <w:r>
        <w:t xml:space="preserve">人在山上</w:t>
      </w:r>
      <w:r>
        <w:t xml:space="preserve">’</w:t>
      </w:r>
      <w:r>
        <w:t xml:space="preserve"> </w:t>
      </w:r>
      <w:r>
        <w:t xml:space="preserve">(a person atop a mountain).</w:t>
      </w:r>
    </w:p>
    <w:p>
      <w:pPr>
        <w:numPr>
          <w:ilvl w:val="1"/>
          <w:numId w:val="1239"/>
        </w:numPr>
        <w:pStyle w:val="Compact"/>
      </w:pPr>
      <w:r>
        <w:t xml:space="preserve">丘豉反,</w:t>
      </w:r>
      <w:r>
        <w:t xml:space="preserve"> </w:t>
      </w:r>
      <w:r>
        <w:rPr>
          <w:rStyle w:val="VerbatimChar"/>
        </w:rPr>
        <w:t xml:space="preserve">remarks</w:t>
      </w:r>
      <w:r>
        <w:t xml:space="preserve">: Not found in the</w:t>
      </w:r>
      <w:r>
        <w:t xml:space="preserve"> </w:t>
      </w:r>
      <w:r>
        <w:rPr>
          <w:iCs/>
          <w:i/>
        </w:rPr>
        <w:t xml:space="preserve">Guangyun</w:t>
      </w:r>
      <w:r>
        <w:t xml:space="preserve">.</w:t>
      </w:r>
      <w:r>
        <w:t xml:space="preserve"> </w:t>
      </w:r>
      <w:r>
        <w:t xml:space="preserve">‘</w:t>
      </w:r>
      <w:r>
        <w:t xml:space="preserve">仚</w:t>
      </w:r>
      <w:r>
        <w:t xml:space="preserve">’</w:t>
      </w:r>
      <w:r>
        <w:t xml:space="preserve"> </w:t>
      </w:r>
      <w:r>
        <w:t xml:space="preserve">appears in the</w:t>
      </w:r>
      <w:r>
        <w:t xml:space="preserve"> </w:t>
      </w:r>
      <w:r>
        <w:rPr>
          <w:iCs/>
          <w:i/>
        </w:rPr>
        <w:t xml:space="preserve">Guangyun</w:t>
      </w:r>
      <w:r>
        <w:t xml:space="preserve"> </w:t>
      </w:r>
      <w:r>
        <w:t xml:space="preserve">as 許延切 (Level tone,</w:t>
      </w:r>
      <w:r>
        <w:t xml:space="preserve"> </w:t>
      </w:r>
      <w:r>
        <w:rPr>
          <w:iCs/>
          <w:i/>
        </w:rPr>
        <w:t xml:space="preserve">Xian</w:t>
      </w:r>
      <w:r>
        <w:t xml:space="preserve"> </w:t>
      </w:r>
      <w:r>
        <w:t xml:space="preserve">rhyme).</w:t>
      </w:r>
      <w:r>
        <w:t xml:space="preserve"> </w:t>
      </w:r>
      <w:r>
        <w:t xml:space="preserve">‘</w:t>
      </w:r>
      <w:r>
        <w:t xml:space="preserve">丘豉反</w:t>
      </w:r>
      <w:r>
        <w:t xml:space="preserve">’</w:t>
      </w:r>
      <w:r>
        <w:t xml:space="preserve"> </w:t>
      </w:r>
      <w:r>
        <w:t xml:space="preserve">corresponds to the Departing tone,</w:t>
      </w:r>
      <w:r>
        <w:t xml:space="preserve"> </w:t>
      </w:r>
      <w:r>
        <w:rPr>
          <w:iCs/>
          <w:i/>
        </w:rPr>
        <w:t xml:space="preserve">Zhi</w:t>
      </w:r>
      <w:r>
        <w:t xml:space="preserve"> </w:t>
      </w:r>
      <w:r>
        <w:t xml:space="preserve">rhyme,</w:t>
      </w:r>
      <w:r>
        <w:t xml:space="preserve"> </w:t>
      </w:r>
      <w:r>
        <w:rPr>
          <w:iCs/>
          <w:i/>
        </w:rPr>
        <w:t xml:space="preserve">Xi</w:t>
      </w:r>
      <w:r>
        <w:t xml:space="preserve"> </w:t>
      </w:r>
      <w:r>
        <w:t xml:space="preserve">initial.</w:t>
      </w:r>
      <w:r>
        <w:t xml:space="preserve"> </w:t>
      </w:r>
      <w:r>
        <w:t xml:space="preserve">‘</w:t>
      </w:r>
      <w:r>
        <w:t xml:space="preserve">企</w:t>
      </w:r>
      <w:r>
        <w:t xml:space="preserve">’</w:t>
      </w:r>
      <w:r>
        <w:t xml:space="preserve"> </w:t>
      </w:r>
      <w:r>
        <w:t xml:space="preserve">appears in the</w:t>
      </w:r>
      <w:r>
        <w:t xml:space="preserve"> </w:t>
      </w:r>
      <w:r>
        <w:rPr>
          <w:iCs/>
          <w:i/>
        </w:rPr>
        <w:t xml:space="preserve">Guangyun</w:t>
      </w:r>
      <w:r>
        <w:t xml:space="preserve"> </w:t>
      </w:r>
      <w:r>
        <w:t xml:space="preserve">as both 丘弭切 (Rising tone,</w:t>
      </w:r>
      <w:r>
        <w:t xml:space="preserve"> </w:t>
      </w:r>
      <w:r>
        <w:rPr>
          <w:iCs/>
          <w:i/>
        </w:rPr>
        <w:t xml:space="preserve">Zhi</w:t>
      </w:r>
      <w:r>
        <w:t xml:space="preserve"> </w:t>
      </w:r>
      <w:r>
        <w:t xml:space="preserve">rhyme) and 去智切 (Departing tone,</w:t>
      </w:r>
      <w:r>
        <w:t xml:space="preserve"> </w:t>
      </w:r>
      <w:r>
        <w:rPr>
          <w:iCs/>
          <w:i/>
        </w:rPr>
        <w:t xml:space="preserve">Zhi</w:t>
      </w:r>
      <w:r>
        <w:t xml:space="preserve"> </w:t>
      </w:r>
      <w:r>
        <w:t xml:space="preserve">rhyme); this corresponds to the latter reading.</w:t>
      </w:r>
    </w:p>
    <w:p>
      <w:pPr>
        <w:numPr>
          <w:ilvl w:val="1"/>
          <w:numId w:val="1239"/>
        </w:numPr>
        <w:pStyle w:val="Compact"/>
      </w:pPr>
      <w:r>
        <w:t xml:space="preserve">呼莚反,</w:t>
      </w:r>
      <w:r>
        <w:t xml:space="preserve"> </w:t>
      </w:r>
      <w:r>
        <w:rPr>
          <w:rStyle w:val="VerbatimChar"/>
        </w:rPr>
        <w:t xml:space="preserve">remarks</w:t>
      </w:r>
      <w:r>
        <w:t xml:space="preserve">:</w:t>
      </w:r>
      <w:r>
        <w:t xml:space="preserve"> </w:t>
      </w:r>
      <w:r>
        <w:rPr>
          <w:iCs/>
          <w:i/>
        </w:rPr>
        <w:t xml:space="preserve">Longkan Shoujian/Shoujing</w:t>
      </w:r>
      <w:r>
        <w:t xml:space="preserve">:</w:t>
      </w:r>
      <w:r>
        <w:t xml:space="preserve"> </w:t>
      </w:r>
      <w:r>
        <w:t xml:space="preserve">‘</w:t>
      </w:r>
      <w:r>
        <w:t xml:space="preserve">佡仚　許延反。輕也。二。</w:t>
      </w:r>
      <w:r>
        <w:t xml:space="preserve">’</w:t>
      </w:r>
      <w:r>
        <w:t xml:space="preserve"> </w:t>
      </w:r>
      <w:r>
        <w:t xml:space="preserve">(Fascicle 1,</w:t>
      </w:r>
      <w:r>
        <w:t xml:space="preserve"> </w:t>
      </w:r>
      <w:r>
        <w:t xml:space="preserve">‘</w:t>
      </w:r>
      <w:r>
        <w:t xml:space="preserve">人</w:t>
      </w:r>
      <w:r>
        <w:t xml:space="preserve">’</w:t>
      </w:r>
      <w:r>
        <w:t xml:space="preserve"> </w:t>
      </w:r>
      <w:r>
        <w:t xml:space="preserve">radical).</w:t>
      </w:r>
    </w:p>
    <w:p>
      <w:pPr>
        <w:numPr>
          <w:ilvl w:val="0"/>
          <w:numId w:val="1237"/>
        </w:numPr>
        <w:pStyle w:val="Compact"/>
      </w:pPr>
      <w:r>
        <w:rPr>
          <w:rStyle w:val="VerbatimChar"/>
        </w:rPr>
        <w:t xml:space="preserve">kazama_location</w:t>
      </w:r>
      <w:r>
        <w:t xml:space="preserve">: K01016410,</w:t>
      </w:r>
      <w:r>
        <w:t xml:space="preserve"> </w:t>
      </w:r>
      <w:r>
        <w:rPr>
          <w:rStyle w:val="VerbatimChar"/>
        </w:rPr>
        <w:t xml:space="preserve">hanzi_entry</w:t>
      </w:r>
      <w:r>
        <w:t xml:space="preserve">: ⿰亻企,</w:t>
      </w:r>
      <w:r>
        <w:t xml:space="preserve"> </w:t>
      </w:r>
      <w:r>
        <w:rPr>
          <w:rStyle w:val="VerbatimChar"/>
        </w:rPr>
        <w:t xml:space="preserve">definition</w:t>
      </w:r>
      <w:r>
        <w:t xml:space="preserve">:</w:t>
      </w:r>
    </w:p>
    <w:p>
      <w:pPr>
        <w:numPr>
          <w:ilvl w:val="1"/>
          <w:numId w:val="1240"/>
        </w:numPr>
        <w:pStyle w:val="Compact"/>
      </w:pPr>
      <w:r>
        <w:t xml:space="preserve">俗企字</w:t>
      </w:r>
    </w:p>
    <w:p>
      <w:pPr>
        <w:pStyle w:val="FirstParagraph"/>
      </w:pPr>
      <w:r>
        <w:t xml:space="preserve">The last one,</w:t>
      </w:r>
      <w:r>
        <w:t xml:space="preserve"> </w:t>
      </w:r>
      <w:r>
        <w:rPr>
          <w:rStyle w:val="VerbatimChar"/>
        </w:rPr>
        <w:t xml:space="preserve">K01016410</w:t>
      </w:r>
      <w:r>
        <w:t xml:space="preserve"> </w:t>
      </w:r>
      <w:r>
        <w:t xml:space="preserve">‘</w:t>
      </w:r>
      <w:r>
        <w:t xml:space="preserve">⿰亻企</w:t>
      </w:r>
      <w:r>
        <w:t xml:space="preserve">’</w:t>
      </w:r>
      <w:r>
        <w:t xml:space="preserve">, is at Unicode U+2CF7E (𬽾), but may not display depending on the environment. Displayed via GlyphWiki, it appears as</w:t>
      </w:r>
      <w:r>
        <w:t xml:space="preserve"> </w:t>
      </w:r>
      <w:r>
        <w:drawing>
          <wp:inline>
            <wp:extent cx="635000" cy="635000"/>
            <wp:effectExtent b="0" l="0" r="0" t="0"/>
            <wp:docPr descr="⿰亻企" title="" id="613" name="Picture"/>
            <a:graphic>
              <a:graphicData uri="http://schemas.openxmlformats.org/drawingml/2006/picture">
                <pic:pic>
                  <pic:nvPicPr>
                    <pic:cNvPr descr="https://glyphwiki.org/glyph/u2cf7e.50px.png" id="614" name="Picture"/>
                    <pic:cNvPicPr>
                      <a:picLocks noChangeArrowheads="1" noChangeAspect="1"/>
                    </pic:cNvPicPr>
                  </pic:nvPicPr>
                  <pic:blipFill>
                    <a:blip r:embed="rId612"/>
                    <a:stretch>
                      <a:fillRect/>
                    </a:stretch>
                  </pic:blipFill>
                  <pic:spPr bwMode="auto">
                    <a:xfrm>
                      <a:off x="0" y="0"/>
                      <a:ext cx="635000" cy="635000"/>
                    </a:xfrm>
                    <a:prstGeom prst="rect">
                      <a:avLst/>
                    </a:prstGeom>
                    <a:noFill/>
                    <a:ln w="9525">
                      <a:noFill/>
                      <a:headEnd/>
                      <a:tailEnd/>
                    </a:ln>
                  </pic:spPr>
                </pic:pic>
              </a:graphicData>
            </a:graphic>
          </wp:inline>
        </w:drawing>
      </w:r>
      <w:r>
        <w:t xml:space="preserve">.</w:t>
      </w:r>
    </w:p>
    <w:p>
      <w:pPr>
        <w:pStyle w:val="BodyText"/>
      </w:pPr>
      <w:r>
        <w:t xml:space="preserve">Now,</w:t>
      </w:r>
      <w:r>
        <w:t xml:space="preserve"> </w:t>
      </w:r>
      <w:r>
        <w:rPr>
          <w:rStyle w:val="VerbatimChar"/>
        </w:rPr>
        <w:t xml:space="preserve">K01016340</w:t>
      </w:r>
      <w:r>
        <w:t xml:space="preserve"> </w:t>
      </w:r>
      <w:r>
        <w:t xml:space="preserve">‘</w:t>
      </w:r>
      <w:r>
        <w:t xml:space="preserve">佡</w:t>
      </w:r>
      <w:r>
        <w:t xml:space="preserve">’</w:t>
      </w:r>
      <w:r>
        <w:t xml:space="preserve"> </w:t>
      </w:r>
      <w:r>
        <w:t xml:space="preserve">does not appear in the</w:t>
      </w:r>
      <w:r>
        <w:t xml:space="preserve"> </w:t>
      </w:r>
      <w:r>
        <w:rPr>
          <w:iCs/>
          <w:i/>
        </w:rPr>
        <w:t xml:space="preserve">Guangyun</w:t>
      </w:r>
      <w:r>
        <w:t xml:space="preserve">. Nor does it appear in the</w:t>
      </w:r>
      <w:r>
        <w:t xml:space="preserve"> </w:t>
      </w:r>
      <w:r>
        <w:rPr>
          <w:iCs/>
          <w:i/>
        </w:rPr>
        <w:t xml:space="preserve">Tenrei Banshō Meigi</w:t>
      </w:r>
      <w:r>
        <w:t xml:space="preserve"> </w:t>
      </w:r>
      <w:r>
        <w:t xml:space="preserve">or the Song edition of the</w:t>
      </w:r>
      <w:r>
        <w:t xml:space="preserve"> </w:t>
      </w:r>
      <w:r>
        <w:rPr>
          <w:iCs/>
          <w:i/>
        </w:rPr>
        <w:t xml:space="preserve">Yupian</w:t>
      </w:r>
      <w:r>
        <w:t xml:space="preserve">. The</w:t>
      </w:r>
      <w:r>
        <w:t xml:space="preserve"> </w:t>
      </w:r>
      <w:r>
        <w:rPr>
          <w:iCs/>
          <w:i/>
        </w:rPr>
        <w:t xml:space="preserve">Longkan Shoujian/Shoujing</w:t>
      </w:r>
      <w:r>
        <w:t xml:space="preserve"> </w:t>
      </w:r>
      <w:r>
        <w:t xml:space="preserve">gives</w:t>
      </w:r>
      <w:r>
        <w:t xml:space="preserve"> </w:t>
      </w:r>
      <w:r>
        <w:t xml:space="preserve">‘</w:t>
      </w:r>
      <w:r>
        <w:t xml:space="preserve">許延反</w:t>
      </w:r>
      <w:r>
        <w:t xml:space="preserve">’</w:t>
      </w:r>
      <w:r>
        <w:t xml:space="preserve"> </w:t>
      </w:r>
      <w:r>
        <w:t xml:space="preserve">(Level tone,</w:t>
      </w:r>
      <w:r>
        <w:t xml:space="preserve"> </w:t>
      </w:r>
      <w:r>
        <w:rPr>
          <w:iCs/>
          <w:i/>
        </w:rPr>
        <w:t xml:space="preserve">Xian</w:t>
      </w:r>
      <w:r>
        <w:t xml:space="preserve"> </w:t>
      </w:r>
      <w:r>
        <w:t xml:space="preserve">rhyme), which is close to the Kanchi-in manuscript’s</w:t>
      </w:r>
      <w:r>
        <w:t xml:space="preserve"> </w:t>
      </w:r>
      <w:r>
        <w:t xml:space="preserve">‘</w:t>
      </w:r>
      <w:r>
        <w:t xml:space="preserve">呼莚反</w:t>
      </w:r>
      <w:r>
        <w:t xml:space="preserve">’</w:t>
      </w:r>
      <w:r>
        <w:t xml:space="preserve">.</w:t>
      </w:r>
    </w:p>
    <w:p>
      <w:pPr>
        <w:pStyle w:val="BodyText"/>
      </w:pPr>
      <w:r>
        <w:t xml:space="preserve">The Kanchi-in manuscript additionally records</w:t>
      </w:r>
      <w:r>
        <w:t xml:space="preserve"> </w:t>
      </w:r>
      <w:r>
        <w:t xml:space="preserve">‘</w:t>
      </w:r>
      <w:r>
        <w:t xml:space="preserve">丘豉反</w:t>
      </w:r>
      <w:r>
        <w:t xml:space="preserve">’</w:t>
      </w:r>
      <w:r>
        <w:t xml:space="preserve"> </w:t>
      </w:r>
      <w:r>
        <w:t xml:space="preserve">(Departing tone,</w:t>
      </w:r>
      <w:r>
        <w:t xml:space="preserve"> </w:t>
      </w:r>
      <w:r>
        <w:rPr>
          <w:iCs/>
          <w:i/>
        </w:rPr>
        <w:t xml:space="preserve">Zhi</w:t>
      </w:r>
      <w:r>
        <w:t xml:space="preserve"> </w:t>
      </w:r>
      <w:r>
        <w:t xml:space="preserve">rhyme). This</w:t>
      </w:r>
      <w:r>
        <w:t xml:space="preserve"> </w:t>
      </w:r>
      <w:r>
        <w:rPr>
          <w:iCs/>
          <w:i/>
        </w:rPr>
        <w:t xml:space="preserve">fanqie</w:t>
      </w:r>
      <w:r>
        <w:t xml:space="preserve"> </w:t>
      </w:r>
      <w:r>
        <w:t xml:space="preserve">spelling appears in Xuanying’s</w:t>
      </w:r>
      <w:r>
        <w:t xml:space="preserve"> </w:t>
      </w:r>
      <w:r>
        <w:rPr>
          <w:iCs/>
          <w:i/>
        </w:rPr>
        <w:t xml:space="preserve">Yiqiejing yinyi</w:t>
      </w:r>
      <w:r>
        <w:t xml:space="preserve">, Fascicle 4, in the first fascicle of the</w:t>
      </w:r>
      <w:r>
        <w:t xml:space="preserve"> </w:t>
      </w:r>
      <w:r>
        <w:rPr>
          <w:iCs/>
          <w:i/>
        </w:rPr>
        <w:t xml:space="preserve">Great Consecration Sūtra</w:t>
      </w:r>
      <w:r>
        <w:t xml:space="preserve"> </w:t>
      </w:r>
      <w:r>
        <w:t xml:space="preserve">(大灌頂經), as:</w:t>
      </w:r>
    </w:p>
    <w:p>
      <w:pPr>
        <w:pStyle w:val="SourceCode"/>
      </w:pPr>
      <w:r>
        <w:rPr>
          <w:rStyle w:val="VerbatimChar"/>
        </w:rPr>
        <w:t xml:space="preserve">郁佡　丘豉反。經文作㑫、非也。（高麗本）</w:t>
      </w:r>
    </w:p>
    <w:p>
      <w:pPr>
        <w:pStyle w:val="FirstParagraph"/>
      </w:pPr>
      <w:r>
        <w:t xml:space="preserve">‘</w:t>
      </w:r>
      <w:r>
        <w:t xml:space="preserve">佡</w:t>
      </w:r>
      <w:r>
        <w:t xml:space="preserve">’</w:t>
      </w:r>
      <w:r>
        <w:t xml:space="preserve"> </w:t>
      </w:r>
      <w:r>
        <w:t xml:space="preserve">agrees between the Kongō-ji and Saihō-ji manuscripts, but the Nanatsu-dera manuscript writes</w:t>
      </w:r>
      <w:r>
        <w:t xml:space="preserve"> </w:t>
      </w:r>
      <w:r>
        <w:t xml:space="preserve">‘</w:t>
      </w:r>
      <w:r>
        <w:t xml:space="preserve">伱</w:t>
      </w:r>
      <w:r>
        <w:t xml:space="preserve">’</w:t>
      </w:r>
      <w:r>
        <w:t xml:space="preserve">.</w:t>
      </w:r>
    </w:p>
    <w:p>
      <w:pPr>
        <w:pStyle w:val="BodyText"/>
      </w:pPr>
      <w:r>
        <w:t xml:space="preserve">Additionally, in Xuanying’s</w:t>
      </w:r>
      <w:r>
        <w:t xml:space="preserve"> </w:t>
      </w:r>
      <w:r>
        <w:rPr>
          <w:iCs/>
          <w:i/>
        </w:rPr>
        <w:t xml:space="preserve">Yiqiejing yinyi</w:t>
      </w:r>
      <w:r>
        <w:t xml:space="preserve">, Fascicle 5, in the first fascicle of the</w:t>
      </w:r>
      <w:r>
        <w:t xml:space="preserve"> </w:t>
      </w:r>
      <w:r>
        <w:rPr>
          <w:iCs/>
          <w:i/>
        </w:rPr>
        <w:t xml:space="preserve">Sūtra of the Spells of the Seven Buddhas</w:t>
      </w:r>
      <w:r>
        <w:t xml:space="preserve"> </w:t>
      </w:r>
      <w:r>
        <w:t xml:space="preserve">(七佛神呪經), it appears as:</w:t>
      </w:r>
    </w:p>
    <w:p>
      <w:pPr>
        <w:pStyle w:val="SourceCode"/>
      </w:pPr>
      <w:r>
        <w:rPr>
          <w:rStyle w:val="VerbatimChar"/>
        </w:rPr>
        <w:t xml:space="preserve">目佡　丘豉反。（高麗本）</w:t>
      </w:r>
    </w:p>
    <w:p>
      <w:pPr>
        <w:pStyle w:val="FirstParagraph"/>
      </w:pPr>
      <w:r>
        <w:t xml:space="preserve">Few old manuscripts survive for this passage, and the Nanatsu-dera manuscript writes</w:t>
      </w:r>
      <w:r>
        <w:t xml:space="preserve"> </w:t>
      </w:r>
      <w:r>
        <w:t xml:space="preserve">‘</w:t>
      </w:r>
      <w:r>
        <w:t xml:space="preserve">伱</w:t>
      </w:r>
      <w:r>
        <w:t xml:space="preserve">’</w:t>
      </w:r>
      <w:r>
        <w:t xml:space="preserve">. It is not possible to determine which of these two is correct, but it seems reasonable to regard the Kanchi-in manuscript’s</w:t>
      </w:r>
      <w:r>
        <w:t xml:space="preserve"> </w:t>
      </w:r>
      <w:r>
        <w:t xml:space="preserve">‘</w:t>
      </w:r>
      <w:r>
        <w:t xml:space="preserve">丘豉反</w:t>
      </w:r>
      <w:r>
        <w:t xml:space="preserve">’</w:t>
      </w:r>
      <w:r>
        <w:t xml:space="preserve"> </w:t>
      </w:r>
      <w:r>
        <w:t xml:space="preserve">as deriving from the</w:t>
      </w:r>
      <w:r>
        <w:t xml:space="preserve"> </w:t>
      </w:r>
      <w:r>
        <w:rPr>
          <w:iCs/>
          <w:i/>
        </w:rPr>
        <w:t xml:space="preserve">Yiqiejing yinyi</w:t>
      </w:r>
      <w:r>
        <w:t xml:space="preserve">.</w:t>
      </w:r>
    </w:p>
    <w:p>
      <w:pPr>
        <w:pStyle w:val="BodyText"/>
      </w:pPr>
      <w:r>
        <w:t xml:space="preserve">Searching the Taishō Tripiṭaka for</w:t>
      </w:r>
      <w:r>
        <w:t xml:space="preserve"> </w:t>
      </w:r>
      <w:r>
        <w:t xml:space="preserve">‘</w:t>
      </w:r>
      <w:r>
        <w:t xml:space="preserve">郁佡</w:t>
      </w:r>
      <w:r>
        <w:t xml:space="preserve">’</w:t>
      </w:r>
      <w:r>
        <w:t xml:space="preserve"> </w:t>
      </w:r>
      <w:r>
        <w:t xml:space="preserve">in the</w:t>
      </w:r>
      <w:r>
        <w:t xml:space="preserve"> </w:t>
      </w:r>
      <w:r>
        <w:rPr>
          <w:iCs/>
          <w:i/>
        </w:rPr>
        <w:t xml:space="preserve">Great Consecration Sūtra</w:t>
      </w:r>
      <w:r>
        <w:t xml:space="preserve">, the corresponding passage appears to be in the</w:t>
      </w:r>
      <w:r>
        <w:t xml:space="preserve"> </w:t>
      </w:r>
      <w:r>
        <w:rPr>
          <w:iCs/>
          <w:i/>
        </w:rPr>
        <w:t xml:space="preserve">Sūtra of the Seven Myriad Two Thousand Spirit-King Protector Bhikṣus Spoken by the Buddha at the Consecration</w:t>
      </w:r>
      <w:r>
        <w:t xml:space="preserve"> </w:t>
      </w:r>
      <w:r>
        <w:t xml:space="preserve">(佛説灌頂七萬二千神王護比丘呪經, Taishō No. 1331, translated by Śrīmitra), which reads</w:t>
      </w:r>
      <w:r>
        <w:t xml:space="preserve"> </w:t>
      </w:r>
      <w:r>
        <w:t xml:space="preserve">‘</w:t>
      </w:r>
      <w:r>
        <w:t xml:space="preserve">神名闍羅尼郁⿰亻企目＊⿰亻企</w:t>
      </w:r>
      <w:r>
        <w:t xml:space="preserve">’</w:t>
      </w:r>
      <w:r>
        <w:t xml:space="preserve"> </w:t>
      </w:r>
      <w:r>
        <w:t xml:space="preserve">(Taishō vol. 21, 496a). Searching for</w:t>
      </w:r>
      <w:r>
        <w:t xml:space="preserve"> </w:t>
      </w:r>
      <w:r>
        <w:t xml:space="preserve">‘</w:t>
      </w:r>
      <w:r>
        <w:t xml:space="preserve">目佡</w:t>
      </w:r>
      <w:r>
        <w:t xml:space="preserve">’</w:t>
      </w:r>
      <w:r>
        <w:t xml:space="preserve"> </w:t>
      </w:r>
      <w:r>
        <w:t xml:space="preserve">in the</w:t>
      </w:r>
      <w:r>
        <w:t xml:space="preserve"> </w:t>
      </w:r>
      <w:r>
        <w:rPr>
          <w:iCs/>
          <w:i/>
        </w:rPr>
        <w:t xml:space="preserve">Sūtra of the Spells of the Seven Buddhas</w:t>
      </w:r>
      <w:r>
        <w:t xml:space="preserve">, several instances of</w:t>
      </w:r>
      <w:r>
        <w:t xml:space="preserve"> </w:t>
      </w:r>
      <w:r>
        <w:t xml:space="preserve">‘</w:t>
      </w:r>
      <w:r>
        <w:t xml:space="preserve">目⿰亻企</w:t>
      </w:r>
      <w:r>
        <w:t xml:space="preserve">’</w:t>
      </w:r>
      <w:r>
        <w:t xml:space="preserve"> </w:t>
      </w:r>
      <w:r>
        <w:t xml:space="preserve">are used in the</w:t>
      </w:r>
      <w:r>
        <w:t xml:space="preserve"> </w:t>
      </w:r>
      <w:r>
        <w:rPr>
          <w:iCs/>
          <w:i/>
        </w:rPr>
        <w:t xml:space="preserve">Great Dhāraṇī Spirit-Spell Sūtra Spoken by the Seven Buddhas and Eight Bodhisattvas</w:t>
      </w:r>
      <w:r>
        <w:t xml:space="preserve"> </w:t>
      </w:r>
      <w:r>
        <w:t xml:space="preserve">(七佛八菩薩所説大陀羅尼神呪經, Taishō No. 1332). Both</w:t>
      </w:r>
      <w:r>
        <w:t xml:space="preserve"> </w:t>
      </w:r>
      <w:r>
        <w:t xml:space="preserve">‘</w:t>
      </w:r>
      <w:r>
        <w:t xml:space="preserve">郁⿰亻企</w:t>
      </w:r>
      <w:r>
        <w:t xml:space="preserve">’</w:t>
      </w:r>
      <w:r>
        <w:t xml:space="preserve"> </w:t>
      </w:r>
      <w:r>
        <w:t xml:space="preserve">and</w:t>
      </w:r>
      <w:r>
        <w:t xml:space="preserve"> </w:t>
      </w:r>
      <w:r>
        <w:t xml:space="preserve">‘</w:t>
      </w:r>
      <w:r>
        <w:t xml:space="preserve">目⿰亻企</w:t>
      </w:r>
      <w:r>
        <w:t xml:space="preserve">’</w:t>
      </w:r>
      <w:r>
        <w:t xml:space="preserve"> </w:t>
      </w:r>
      <w:r>
        <w:t xml:space="preserve">are examples of Sanskrit phonetic transliteration.</w:t>
      </w:r>
    </w:p>
    <w:p>
      <w:pPr>
        <w:pStyle w:val="BodyText"/>
      </w:pPr>
      <w:r>
        <w:t xml:space="preserve">Finally, let us also look at the entries surrounding the three entries discussed above.</w:t>
      </w:r>
    </w:p>
    <w:p>
      <w:pPr>
        <w:numPr>
          <w:ilvl w:val="0"/>
          <w:numId w:val="1241"/>
        </w:numPr>
        <w:pStyle w:val="Compact"/>
      </w:pPr>
      <w:r>
        <w:rPr>
          <w:rStyle w:val="VerbatimChar"/>
        </w:rPr>
        <w:t xml:space="preserve">kazama_location</w:t>
      </w:r>
      <w:r>
        <w:t xml:space="preserve">: K01016320,</w:t>
      </w:r>
      <w:r>
        <w:t xml:space="preserve"> </w:t>
      </w:r>
      <w:r>
        <w:rPr>
          <w:rStyle w:val="VerbatimChar"/>
        </w:rPr>
        <w:t xml:space="preserve">hanzi_entry</w:t>
      </w:r>
      <w:r>
        <w:t xml:space="preserve">: 㑫,</w:t>
      </w:r>
      <w:r>
        <w:t xml:space="preserve"> </w:t>
      </w:r>
      <w:r>
        <w:rPr>
          <w:rStyle w:val="VerbatimChar"/>
        </w:rPr>
        <w:t xml:space="preserve">definition</w:t>
      </w:r>
      <w:r>
        <w:t xml:space="preserve">: 俗捻字　又俗佡字歟</w:t>
      </w:r>
    </w:p>
    <w:p>
      <w:pPr>
        <w:numPr>
          <w:ilvl w:val="0"/>
          <w:numId w:val="1241"/>
        </w:numPr>
        <w:pStyle w:val="Compact"/>
      </w:pPr>
      <w:r>
        <w:rPr>
          <w:rStyle w:val="VerbatimChar"/>
        </w:rPr>
        <w:t xml:space="preserve">kazama_location</w:t>
      </w:r>
      <w:r>
        <w:t xml:space="preserve">: K01016330,</w:t>
      </w:r>
      <w:r>
        <w:t xml:space="preserve"> </w:t>
      </w:r>
      <w:r>
        <w:rPr>
          <w:rStyle w:val="VerbatimChar"/>
        </w:rPr>
        <w:t xml:space="preserve">hanzi_entry</w:t>
      </w:r>
      <w:r>
        <w:t xml:space="preserve">: 仱,</w:t>
      </w:r>
      <w:r>
        <w:t xml:space="preserve"> </w:t>
      </w:r>
      <w:r>
        <w:rPr>
          <w:rStyle w:val="VerbatimChar"/>
        </w:rPr>
        <w:t xml:space="preserve">definition</w:t>
      </w:r>
      <w:r>
        <w:t xml:space="preserve">: 紺音　渠廉反　古樂人</w:t>
      </w:r>
    </w:p>
    <w:p>
      <w:pPr>
        <w:numPr>
          <w:ilvl w:val="0"/>
          <w:numId w:val="1241"/>
        </w:numPr>
        <w:pStyle w:val="Compact"/>
      </w:pPr>
      <w:r>
        <w:rPr>
          <w:rStyle w:val="VerbatimChar"/>
        </w:rPr>
        <w:t xml:space="preserve">kazama_location</w:t>
      </w:r>
      <w:r>
        <w:t xml:space="preserve">: K01016340,</w:t>
      </w:r>
      <w:r>
        <w:t xml:space="preserve"> </w:t>
      </w:r>
      <w:r>
        <w:rPr>
          <w:rStyle w:val="VerbatimChar"/>
        </w:rPr>
        <w:t xml:space="preserve">hanzi_entry</w:t>
      </w:r>
      <w:r>
        <w:t xml:space="preserve">: 佡,</w:t>
      </w:r>
      <w:r>
        <w:t xml:space="preserve"> </w:t>
      </w:r>
      <w:r>
        <w:rPr>
          <w:rStyle w:val="VerbatimChar"/>
        </w:rPr>
        <w:t xml:space="preserve">definition</w:t>
      </w:r>
      <w:r>
        <w:t xml:space="preserve">: 俗仚字　丘豉反　呼莚反</w:t>
      </w:r>
    </w:p>
    <w:p>
      <w:pPr>
        <w:numPr>
          <w:ilvl w:val="0"/>
          <w:numId w:val="1241"/>
        </w:numPr>
        <w:pStyle w:val="Compact"/>
      </w:pPr>
      <w:r>
        <w:rPr>
          <w:rStyle w:val="VerbatimChar"/>
        </w:rPr>
        <w:t xml:space="preserve">kazama_location</w:t>
      </w:r>
      <w:r>
        <w:t xml:space="preserve">: K01016410,</w:t>
      </w:r>
      <w:r>
        <w:t xml:space="preserve"> </w:t>
      </w:r>
      <w:r>
        <w:rPr>
          <w:rStyle w:val="VerbatimChar"/>
        </w:rPr>
        <w:t xml:space="preserve">hanzi_entry</w:t>
      </w:r>
      <w:r>
        <w:t xml:space="preserve">: ⿰亻企,</w:t>
      </w:r>
      <w:r>
        <w:t xml:space="preserve"> </w:t>
      </w:r>
      <w:r>
        <w:rPr>
          <w:rStyle w:val="VerbatimChar"/>
        </w:rPr>
        <w:t xml:space="preserve">definition</w:t>
      </w:r>
      <w:r>
        <w:t xml:space="preserve">: 俗企字</w:t>
      </w:r>
    </w:p>
    <w:p>
      <w:pPr>
        <w:numPr>
          <w:ilvl w:val="0"/>
          <w:numId w:val="1241"/>
        </w:numPr>
        <w:pStyle w:val="Compact"/>
      </w:pPr>
      <w:r>
        <w:rPr>
          <w:rStyle w:val="VerbatimChar"/>
        </w:rPr>
        <w:t xml:space="preserve">kazama_location</w:t>
      </w:r>
      <w:r>
        <w:t xml:space="preserve">: K01016421,</w:t>
      </w:r>
      <w:r>
        <w:t xml:space="preserve"> </w:t>
      </w:r>
      <w:r>
        <w:rPr>
          <w:rStyle w:val="VerbatimChar"/>
        </w:rPr>
        <w:t xml:space="preserve">hanzi_entry</w:t>
      </w:r>
      <w:r>
        <w:t xml:space="preserve">: 伱／你,</w:t>
      </w:r>
      <w:r>
        <w:t xml:space="preserve"> </w:t>
      </w:r>
      <w:r>
        <w:rPr>
          <w:rStyle w:val="VerbatimChar"/>
        </w:rPr>
        <w:t xml:space="preserve">definition</w:t>
      </w:r>
      <w:r>
        <w:t xml:space="preserve">: 尼(LV)尒反　ナムチ　イマ　ヲヒ</w:t>
      </w:r>
    </w:p>
    <w:p>
      <w:pPr>
        <w:pStyle w:val="FirstParagraph"/>
      </w:pPr>
      <w:r>
        <w:t xml:space="preserve">The</w:t>
      </w:r>
      <w:r>
        <w:t xml:space="preserve"> </w:t>
      </w:r>
      <w:r>
        <w:rPr>
          <w:rStyle w:val="VerbatimChar"/>
          <w:bCs/>
          <w:b/>
        </w:rPr>
        <w:t xml:space="preserve">Headwords</w:t>
      </w:r>
      <w:r>
        <w:t xml:space="preserve"> </w:t>
      </w:r>
      <w:r>
        <w:t xml:space="preserve">are shown via GlyphWiki as follows.</w:t>
      </w:r>
    </w:p>
    <w:p>
      <w:pPr>
        <w:pStyle w:val="BodyText"/>
      </w:pPr>
      <w:r>
        <w:drawing>
          <wp:inline>
            <wp:extent cx="476250" cy="476250"/>
            <wp:effectExtent b="0" l="0" r="0" t="0"/>
            <wp:docPr descr="㑫" title="" id="616" name="Picture"/>
            <a:graphic>
              <a:graphicData uri="http://schemas.openxmlformats.org/drawingml/2006/picture">
                <pic:pic>
                  <pic:nvPicPr>
                    <pic:cNvPr descr="https://glyphwiki.org/glyph/hdic_hkrm-01016320.50px.png" id="617" name="Picture"/>
                    <pic:cNvPicPr>
                      <a:picLocks noChangeArrowheads="1" noChangeAspect="1"/>
                    </pic:cNvPicPr>
                  </pic:nvPicPr>
                  <pic:blipFill>
                    <a:blip r:embed="rId615"/>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476250" cy="476250"/>
            <wp:effectExtent b="0" l="0" r="0" t="0"/>
            <wp:docPr descr="仱" title="" id="619" name="Picture"/>
            <a:graphic>
              <a:graphicData uri="http://schemas.openxmlformats.org/drawingml/2006/picture">
                <pic:pic>
                  <pic:nvPicPr>
                    <pic:cNvPr descr="https://glyphwiki.org/glyph/hdic_hkrm-01016330.50px.png" id="620" name="Picture"/>
                    <pic:cNvPicPr>
                      <a:picLocks noChangeArrowheads="1" noChangeAspect="1"/>
                    </pic:cNvPicPr>
                  </pic:nvPicPr>
                  <pic:blipFill>
                    <a:blip r:embed="rId618"/>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635000" cy="635000"/>
            <wp:effectExtent b="0" l="0" r="0" t="0"/>
            <wp:docPr descr="佡" title="" id="622" name="Picture"/>
            <a:graphic>
              <a:graphicData uri="http://schemas.openxmlformats.org/drawingml/2006/picture">
                <pic:pic>
                  <pic:nvPicPr>
                    <pic:cNvPr descr="https://glyphwiki.org/glyph/hdic_hkrm-01016340.50px.png" id="623" name="Picture"/>
                    <pic:cNvPicPr>
                      <a:picLocks noChangeArrowheads="1" noChangeAspect="1"/>
                    </pic:cNvPicPr>
                  </pic:nvPicPr>
                  <pic:blipFill>
                    <a:blip r:embed="rId621"/>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drawing>
          <wp:inline>
            <wp:extent cx="476250" cy="476250"/>
            <wp:effectExtent b="0" l="0" r="0" t="0"/>
            <wp:docPr descr="⿰亻企" title="" id="625" name="Picture"/>
            <a:graphic>
              <a:graphicData uri="http://schemas.openxmlformats.org/drawingml/2006/picture">
                <pic:pic>
                  <pic:nvPicPr>
                    <pic:cNvPr descr="https://glyphwiki.org/glyph/hdic_hkrm-01016410.50px.png" id="626" name="Picture"/>
                    <pic:cNvPicPr>
                      <a:picLocks noChangeArrowheads="1" noChangeAspect="1"/>
                    </pic:cNvPicPr>
                  </pic:nvPicPr>
                  <pic:blipFill>
                    <a:blip r:embed="rId624"/>
                    <a:stretch>
                      <a:fillRect/>
                    </a:stretch>
                  </pic:blipFill>
                  <pic:spPr bwMode="auto">
                    <a:xfrm>
                      <a:off x="0" y="0"/>
                      <a:ext cx="476250" cy="476250"/>
                    </a:xfrm>
                    <a:prstGeom prst="rect">
                      <a:avLst/>
                    </a:prstGeom>
                    <a:noFill/>
                    <a:ln w="9525">
                      <a:noFill/>
                      <a:headEnd/>
                      <a:tailEnd/>
                    </a:ln>
                  </pic:spPr>
                </pic:pic>
              </a:graphicData>
            </a:graphic>
          </wp:inline>
        </w:drawing>
      </w:r>
      <w:r>
        <w:t xml:space="preserve"> </w:t>
      </w:r>
      <w:r>
        <w:drawing>
          <wp:inline>
            <wp:extent cx="635000" cy="635000"/>
            <wp:effectExtent b="0" l="0" r="0" t="0"/>
            <wp:docPr descr="伱" title="" id="628" name="Picture"/>
            <a:graphic>
              <a:graphicData uri="http://schemas.openxmlformats.org/drawingml/2006/picture">
                <pic:pic>
                  <pic:nvPicPr>
                    <pic:cNvPr descr="https://glyphwiki.org/glyph/hdic_hkrm-01016421.50px.png" id="629" name="Picture"/>
                    <pic:cNvPicPr>
                      <a:picLocks noChangeArrowheads="1" noChangeAspect="1"/>
                    </pic:cNvPicPr>
                  </pic:nvPicPr>
                  <pic:blipFill>
                    <a:blip r:embed="rId627"/>
                    <a:stretch>
                      <a:fillRect/>
                    </a:stretch>
                  </pic:blipFill>
                  <pic:spPr bwMode="auto">
                    <a:xfrm>
                      <a:off x="0" y="0"/>
                      <a:ext cx="635000" cy="635000"/>
                    </a:xfrm>
                    <a:prstGeom prst="rect">
                      <a:avLst/>
                    </a:prstGeom>
                    <a:noFill/>
                    <a:ln w="9525">
                      <a:noFill/>
                      <a:headEnd/>
                      <a:tailEnd/>
                    </a:ln>
                  </pic:spPr>
                </pic:pic>
              </a:graphicData>
            </a:graphic>
          </wp:inline>
        </w:drawing>
      </w:r>
      <w:r>
        <w:t xml:space="preserve"> </w:t>
      </w:r>
      <w:r>
        <w:drawing>
          <wp:inline>
            <wp:extent cx="635000" cy="635000"/>
            <wp:effectExtent b="0" l="0" r="0" t="0"/>
            <wp:docPr descr="你" title="" id="631" name="Picture"/>
            <a:graphic>
              <a:graphicData uri="http://schemas.openxmlformats.org/drawingml/2006/picture">
                <pic:pic>
                  <pic:nvPicPr>
                    <pic:cNvPr descr="https://glyphwiki.org/glyph/hdic_hkrm-01016422.50px.png" id="632" name="Picture"/>
                    <pic:cNvPicPr>
                      <a:picLocks noChangeArrowheads="1" noChangeAspect="1"/>
                    </pic:cNvPicPr>
                  </pic:nvPicPr>
                  <pic:blipFill>
                    <a:blip r:embed="rId630"/>
                    <a:stretch>
                      <a:fillRect/>
                    </a:stretch>
                  </pic:blipFill>
                  <pic:spPr bwMode="auto">
                    <a:xfrm>
                      <a:off x="0" y="0"/>
                      <a:ext cx="635000" cy="635000"/>
                    </a:xfrm>
                    <a:prstGeom prst="rect">
                      <a:avLst/>
                    </a:prstGeom>
                    <a:noFill/>
                    <a:ln w="9525">
                      <a:noFill/>
                      <a:headEnd/>
                      <a:tailEnd/>
                    </a:ln>
                  </pic:spPr>
                </pic:pic>
              </a:graphicData>
            </a:graphic>
          </wp:inline>
        </w:drawing>
      </w:r>
    </w:p>
    <w:p>
      <w:pPr>
        <w:pStyle w:val="BodyText"/>
      </w:pPr>
      <w:r>
        <w:t xml:space="preserve">The first one, K0101632</w:t>
      </w:r>
      <w:r>
        <w:t xml:space="preserve"> </w:t>
      </w:r>
      <w:r>
        <w:t xml:space="preserve">‘</w:t>
      </w:r>
      <w:r>
        <w:t xml:space="preserve">㑫</w:t>
      </w:r>
      <w:r>
        <w:t xml:space="preserve">’</w:t>
      </w:r>
      <w:r>
        <w:t xml:space="preserve">, is presumably related to the note</w:t>
      </w:r>
      <w:r>
        <w:t xml:space="preserve"> </w:t>
      </w:r>
      <w:r>
        <w:t xml:space="preserve">“</w:t>
      </w:r>
      <w:r>
        <w:t xml:space="preserve">經文作㑫、非也</w:t>
      </w:r>
      <w:r>
        <w:t xml:space="preserve">”</w:t>
      </w:r>
      <w:r>
        <w:t xml:space="preserve"> </w:t>
      </w:r>
      <w:r>
        <w:t xml:space="preserve">(</w:t>
      </w:r>
      <w:r>
        <w:t xml:space="preserve">“</w:t>
      </w:r>
      <w:r>
        <w:t xml:space="preserve">the sutra text writes it as 㑫, which is incorrect</w:t>
      </w:r>
      <w:r>
        <w:t xml:space="preserve">”</w:t>
      </w:r>
      <w:r>
        <w:t xml:space="preserve">) found in Xuanying’s</w:t>
      </w:r>
      <w:r>
        <w:t xml:space="preserve"> </w:t>
      </w:r>
      <w:r>
        <w:rPr>
          <w:iCs/>
          <w:i/>
        </w:rPr>
        <w:t xml:space="preserve">Yiqiejing yinyi</w:t>
      </w:r>
      <w:r>
        <w:t xml:space="preserve">, Fascicle 4, in the first fascicle of the</w:t>
      </w:r>
      <w:r>
        <w:t xml:space="preserve"> </w:t>
      </w:r>
      <w:r>
        <w:rPr>
          <w:iCs/>
          <w:i/>
        </w:rPr>
        <w:t xml:space="preserve">Great Consecration Sūtra</w:t>
      </w:r>
      <w:r>
        <w:t xml:space="preserve">:</w:t>
      </w:r>
    </w:p>
    <w:p>
      <w:pPr>
        <w:pStyle w:val="SourceCode"/>
      </w:pPr>
      <w:r>
        <w:rPr>
          <w:rStyle w:val="VerbatimChar"/>
        </w:rPr>
        <w:t xml:space="preserve">郁佡　丘豉反。經文作㑫、非也。</w:t>
      </w:r>
    </w:p>
    <w:p>
      <w:pPr>
        <w:pStyle w:val="FirstParagraph"/>
      </w:pPr>
      <w:r>
        <w:t xml:space="preserve">Additionally,</w:t>
      </w:r>
      <w:r>
        <w:t xml:space="preserve"> </w:t>
      </w:r>
      <w:r>
        <w:t xml:space="preserve">‘</w:t>
      </w:r>
      <w:r>
        <w:t xml:space="preserve">㑫</w:t>
      </w:r>
      <w:r>
        <w:t xml:space="preserve">’</w:t>
      </w:r>
      <w:r>
        <w:t xml:space="preserve"> </w:t>
      </w:r>
      <w:r>
        <w:t xml:space="preserve">appears in the</w:t>
      </w:r>
      <w:r>
        <w:t xml:space="preserve"> </w:t>
      </w:r>
      <w:r>
        <w:rPr>
          <w:iCs/>
          <w:i/>
        </w:rPr>
        <w:t xml:space="preserve">Longkan Shoujian/Shoujing</w:t>
      </w:r>
      <w:r>
        <w:t xml:space="preserve"> </w:t>
      </w:r>
      <w:r>
        <w:t xml:space="preserve">as follows.</w:t>
      </w:r>
    </w:p>
    <w:p>
      <w:pPr>
        <w:numPr>
          <w:ilvl w:val="0"/>
          <w:numId w:val="1242"/>
        </w:numPr>
        <w:pStyle w:val="Compact"/>
      </w:pPr>
      <w:r>
        <w:rPr>
          <w:rStyle w:val="VerbatimChar"/>
        </w:rPr>
        <w:t xml:space="preserve">location</w:t>
      </w:r>
      <w:r>
        <w:t xml:space="preserve">: La0390903,</w:t>
      </w:r>
      <w:r>
        <w:t xml:space="preserve"> </w:t>
      </w:r>
      <w:r>
        <w:rPr>
          <w:rStyle w:val="VerbatimChar"/>
        </w:rPr>
        <w:t xml:space="preserve">hanzi_entry</w:t>
      </w:r>
      <w:r>
        <w:t xml:space="preserve">: 㑫,</w:t>
      </w:r>
      <w:r>
        <w:t xml:space="preserve"> </w:t>
      </w:r>
      <w:r>
        <w:rPr>
          <w:rStyle w:val="VerbatimChar"/>
        </w:rPr>
        <w:t xml:space="preserve">definition</w:t>
      </w:r>
      <w:r>
        <w:t xml:space="preserve">: 俗。乃叶反。又舊藏作弃。在七佛神咒經。（高麗本）</w:t>
      </w:r>
    </w:p>
    <w:p>
      <w:pPr>
        <w:pStyle w:val="FirstParagraph"/>
      </w:pPr>
      <w:r>
        <w:t xml:space="preserve">The Korean edition of the</w:t>
      </w:r>
      <w:r>
        <w:t xml:space="preserve"> </w:t>
      </w:r>
      <w:r>
        <w:rPr>
          <w:iCs/>
          <w:i/>
        </w:rPr>
        <w:t xml:space="preserve">Longkan Shoujian/Shoujing</w:t>
      </w:r>
      <w:r>
        <w:t xml:space="preserve"> </w:t>
      </w:r>
      <w:r>
        <w:t xml:space="preserve">writes</w:t>
      </w:r>
      <w:r>
        <w:t xml:space="preserve"> </w:t>
      </w:r>
      <w:r>
        <w:t xml:space="preserve">‘</w:t>
      </w:r>
      <w:r>
        <w:t xml:space="preserve">㑫</w:t>
      </w:r>
      <w:r>
        <w:t xml:space="preserve">’</w:t>
      </w:r>
      <w:r>
        <w:t xml:space="preserve"> </w:t>
      </w:r>
      <w:r>
        <w:t xml:space="preserve">as</w:t>
      </w:r>
      <w:r>
        <w:t xml:space="preserve"> </w:t>
      </w:r>
      <w:r>
        <w:drawing>
          <wp:inline>
            <wp:extent cx="476250" cy="476250"/>
            <wp:effectExtent b="0" l="0" r="0" t="0"/>
            <wp:docPr descr="㑫" title="" id="633" name="Picture"/>
            <a:graphic>
              <a:graphicData uri="http://schemas.openxmlformats.org/drawingml/2006/picture">
                <pic:pic>
                  <pic:nvPicPr>
                    <pic:cNvPr descr="https://glyphwiki.org/glyph/hdic_hkrm-01016320.50px.png" id="634" name="Picture"/>
                    <pic:cNvPicPr>
                      <a:picLocks noChangeArrowheads="1" noChangeAspect="1"/>
                    </pic:cNvPicPr>
                  </pic:nvPicPr>
                  <pic:blipFill>
                    <a:blip r:embed="rId615"/>
                    <a:stretch>
                      <a:fillRect/>
                    </a:stretch>
                  </pic:blipFill>
                  <pic:spPr bwMode="auto">
                    <a:xfrm>
                      <a:off x="0" y="0"/>
                      <a:ext cx="476250" cy="476250"/>
                    </a:xfrm>
                    <a:prstGeom prst="rect">
                      <a:avLst/>
                    </a:prstGeom>
                    <a:noFill/>
                    <a:ln w="9525">
                      <a:noFill/>
                      <a:headEnd/>
                      <a:tailEnd/>
                    </a:ln>
                  </pic:spPr>
                </pic:pic>
              </a:graphicData>
            </a:graphic>
          </wp:inline>
        </w:drawing>
      </w:r>
      <w:r>
        <w:t xml:space="preserve">, which agrees with the Kanchi-in manuscript.</w:t>
      </w:r>
    </w:p>
    <w:p>
      <w:pPr>
        <w:pStyle w:val="BodyText"/>
      </w:pPr>
      <w:r>
        <w:rPr>
          <w:rStyle w:val="VerbatimChar"/>
        </w:rPr>
        <w:t xml:space="preserve">K0101642</w:t>
      </w:r>
      <w:r>
        <w:t xml:space="preserve"> </w:t>
      </w:r>
      <w:r>
        <w:t xml:space="preserve">‘</w:t>
      </w:r>
      <w:r>
        <w:t xml:space="preserve">伱／你</w:t>
      </w:r>
      <w:r>
        <w:t xml:space="preserve">’</w:t>
      </w:r>
      <w:r>
        <w:t xml:space="preserve"> </w:t>
      </w:r>
      <w:r>
        <w:t xml:space="preserve">is a glyph form similar to the preceding</w:t>
      </w:r>
      <w:r>
        <w:t xml:space="preserve"> </w:t>
      </w:r>
      <w:r>
        <w:t xml:space="preserve">‘</w:t>
      </w:r>
      <w:r>
        <w:t xml:space="preserve">佡</w:t>
      </w:r>
      <w:r>
        <w:t xml:space="preserve">’</w:t>
      </w:r>
      <w:r>
        <w:t xml:space="preserve"> </w:t>
      </w:r>
      <w:r>
        <w:t xml:space="preserve">and</w:t>
      </w:r>
      <w:r>
        <w:t xml:space="preserve"> </w:t>
      </w:r>
      <w:r>
        <w:t xml:space="preserve">‘</w:t>
      </w:r>
      <w:r>
        <w:t xml:space="preserve">⿰亻企</w:t>
      </w:r>
      <w:r>
        <w:t xml:space="preserve">’</w:t>
      </w:r>
      <w:r>
        <w:t xml:space="preserve">.</w:t>
      </w:r>
    </w:p>
    <w:bookmarkEnd w:id="635"/>
    <w:bookmarkStart w:id="636" w:name="X3aa92b0bf2a7b6a6bcc1da9318da2b3e4c76c38"/>
    <w:p>
      <w:pPr>
        <w:pStyle w:val="Heading2"/>
      </w:pPr>
      <w:r>
        <w:rPr>
          <w:rStyle w:val="SectionNumber"/>
        </w:rPr>
        <w:t xml:space="preserve">23.3</w:t>
      </w:r>
      <w:r>
        <w:tab/>
      </w:r>
      <w:r>
        <w:t xml:space="preserve">Homophone-Character Glosses</w:t>
      </w:r>
    </w:p>
    <w:p>
      <w:pPr>
        <w:pStyle w:val="FirstParagraph"/>
      </w:pPr>
      <w:r>
        <w:rPr>
          <w:rStyle w:val="VerbatimChar"/>
          <w:bCs/>
          <w:b/>
        </w:rPr>
        <w:t xml:space="preserve">Homophone glosses</w:t>
      </w:r>
      <w:r>
        <w:t xml:space="preserve"> </w:t>
      </w:r>
      <w:r>
        <w:t xml:space="preserve">(同音字注,</w:t>
      </w:r>
      <w:r>
        <w:t xml:space="preserve"> </w:t>
      </w:r>
      <w:r>
        <w:rPr>
          <w:iCs/>
          <w:i/>
        </w:rPr>
        <w:t xml:space="preserve">dōonji-chū</w:t>
      </w:r>
      <w:r>
        <w:t xml:space="preserve">) are also called</w:t>
      </w:r>
      <w:r>
        <w:t xml:space="preserve"> </w:t>
      </w:r>
      <w:r>
        <w:rPr>
          <w:rStyle w:val="VerbatimChar"/>
          <w:bCs/>
          <w:b/>
        </w:rPr>
        <w:t xml:space="preserve">Similar sound notes</w:t>
      </w:r>
      <w:r>
        <w:t xml:space="preserve"> </w:t>
      </w:r>
      <w:r>
        <w:t xml:space="preserve">(類音注,</w:t>
      </w:r>
      <w:r>
        <w:t xml:space="preserve"> </w:t>
      </w:r>
      <w:r>
        <w:rPr>
          <w:iCs/>
          <w:i/>
        </w:rPr>
        <w:t xml:space="preserve">ruion-chū</w:t>
      </w:r>
      <w:r>
        <w:t xml:space="preserve">). These are annotations that indicate a</w:t>
      </w:r>
      <w:r>
        <w:t xml:space="preserve"> </w:t>
      </w:r>
      <w:r>
        <w:rPr>
          <w:rStyle w:val="VerbatimChar"/>
          <w:bCs/>
          <w:b/>
        </w:rPr>
        <w:t xml:space="preserve">Headword</w:t>
      </w:r>
      <w:r>
        <w:t xml:space="preserve">’s pronunciation using a single homophonous or near-homophonous character, mostly in the form</w:t>
      </w:r>
      <w:r>
        <w:t xml:space="preserve"> </w:t>
      </w:r>
      <w:r>
        <w:t xml:space="preserve">‘</w:t>
      </w:r>
      <w:r>
        <w:t xml:space="preserve">音◯</w:t>
      </w:r>
      <w:r>
        <w:t xml:space="preserve">’</w:t>
      </w:r>
      <w:r>
        <w:t xml:space="preserve"> </w:t>
      </w:r>
      <w:r>
        <w:t xml:space="preserve">or</w:t>
      </w:r>
      <w:r>
        <w:t xml:space="preserve"> </w:t>
      </w:r>
      <w:r>
        <w:t xml:space="preserve">‘</w:t>
      </w:r>
      <w:r>
        <w:t xml:space="preserve">◯音.</w:t>
      </w:r>
      <w:r>
        <w:t xml:space="preserve">’</w:t>
      </w:r>
      <w:r>
        <w:t xml:space="preserve"> </w:t>
      </w:r>
      <w:r>
        <w:t xml:space="preserve">For two-character compounds, the marker</w:t>
      </w:r>
      <w:r>
        <w:t xml:space="preserve"> </w:t>
      </w:r>
      <w:r>
        <w:t xml:space="preserve">‘</w:t>
      </w:r>
      <w:r>
        <w:t xml:space="preserve">二音</w:t>
      </w:r>
      <w:r>
        <w:t xml:space="preserve">’</w:t>
      </w:r>
      <w:r>
        <w:t xml:space="preserve"> </w:t>
      </w:r>
      <w:r>
        <w:t xml:space="preserve">(</w:t>
      </w:r>
      <w:r>
        <w:t xml:space="preserve">“</w:t>
      </w:r>
      <w:r>
        <w:t xml:space="preserve">two readings</w:t>
      </w:r>
      <w:r>
        <w:t xml:space="preserve">”</w:t>
      </w:r>
      <w:r>
        <w:t xml:space="preserve">) may be appended, giving the form</w:t>
      </w:r>
      <w:r>
        <w:t xml:space="preserve"> </w:t>
      </w:r>
      <w:r>
        <w:t xml:space="preserve">‘</w:t>
      </w:r>
      <w:r>
        <w:t xml:space="preserve">◯△二音.</w:t>
      </w:r>
      <w:r>
        <w:t xml:space="preserve">’</w:t>
      </w:r>
    </w:p>
    <w:p>
      <w:pPr>
        <w:pStyle w:val="BodyText"/>
      </w:pPr>
      <w:r>
        <w:t xml:space="preserve">For example,</w:t>
      </w:r>
      <w:r>
        <w:t xml:space="preserve"> </w:t>
      </w:r>
      <w:r>
        <w:t xml:space="preserve">‘</w:t>
      </w:r>
      <w:r>
        <w:t xml:space="preserve">留</w:t>
      </w:r>
      <w:r>
        <w:t xml:space="preserve">’</w:t>
      </w:r>
      <w:r>
        <w:t xml:space="preserve"> </w:t>
      </w:r>
      <w:r>
        <w:t xml:space="preserve">has</w:t>
      </w:r>
      <w:r>
        <w:t xml:space="preserve"> </w:t>
      </w:r>
      <w:r>
        <w:t xml:space="preserve">‘</w:t>
      </w:r>
      <w:r>
        <w:t xml:space="preserve">音流,</w:t>
      </w:r>
      <w:r>
        <w:t xml:space="preserve">’</w:t>
      </w:r>
      <w:r>
        <w:t xml:space="preserve"> </w:t>
      </w:r>
      <w:r>
        <w:t xml:space="preserve">indicating it is read with the pronunciation of</w:t>
      </w:r>
      <w:r>
        <w:t xml:space="preserve"> </w:t>
      </w:r>
      <w:r>
        <w:t xml:space="preserve">‘</w:t>
      </w:r>
      <w:r>
        <w:t xml:space="preserve">流.</w:t>
      </w:r>
      <w:r>
        <w:t xml:space="preserve">’</w:t>
      </w:r>
      <w:r>
        <w:t xml:space="preserve"> </w:t>
      </w:r>
      <w:r>
        <w:t xml:space="preserve">The two-character compound</w:t>
      </w:r>
      <w:r>
        <w:t xml:space="preserve"> </w:t>
      </w:r>
      <w:r>
        <w:t xml:space="preserve">‘</w:t>
      </w:r>
      <w:r>
        <w:t xml:space="preserve">鷦鷯</w:t>
      </w:r>
      <w:r>
        <w:t xml:space="preserve">’</w:t>
      </w:r>
      <w:r>
        <w:t xml:space="preserve"> </w:t>
      </w:r>
      <w:r>
        <w:t xml:space="preserve">has</w:t>
      </w:r>
      <w:r>
        <w:t xml:space="preserve"> </w:t>
      </w:r>
      <w:r>
        <w:t xml:space="preserve">‘</w:t>
      </w:r>
      <w:r>
        <w:t xml:space="preserve">焦(L)「セウ」遼(L)「レウ」二音,</w:t>
      </w:r>
      <w:r>
        <w:t xml:space="preserve">’</w:t>
      </w:r>
      <w:r>
        <w:t xml:space="preserve"> </w:t>
      </w:r>
      <w:r>
        <w:t xml:space="preserve">recording the</w:t>
      </w:r>
      <w:r>
        <w:t xml:space="preserve"> </w:t>
      </w:r>
      <w:r>
        <w:rPr>
          <w:rStyle w:val="VerbatimChar"/>
          <w:bCs/>
          <w:b/>
        </w:rPr>
        <w:t xml:space="preserve">Similar sound notes</w:t>
      </w:r>
      <w:r>
        <w:t xml:space="preserve"> </w:t>
      </w:r>
      <w:r>
        <w:t xml:space="preserve">for</w:t>
      </w:r>
      <w:r>
        <w:t xml:space="preserve"> </w:t>
      </w:r>
      <w:r>
        <w:t xml:space="preserve">‘</w:t>
      </w:r>
      <w:r>
        <w:t xml:space="preserve">鷦</w:t>
      </w:r>
      <w:r>
        <w:t xml:space="preserve">’</w:t>
      </w:r>
      <w:r>
        <w:t xml:space="preserve"> </w:t>
      </w:r>
      <w:r>
        <w:t xml:space="preserve">and</w:t>
      </w:r>
      <w:r>
        <w:t xml:space="preserve"> </w:t>
      </w:r>
      <w:r>
        <w:t xml:space="preserve">‘</w:t>
      </w:r>
      <w:r>
        <w:t xml:space="preserve">鷯</w:t>
      </w:r>
      <w:r>
        <w:t xml:space="preserve">’</w:t>
      </w:r>
      <w:r>
        <w:t xml:space="preserve"> </w:t>
      </w:r>
      <w:r>
        <w:t xml:space="preserve">together under a single</w:t>
      </w:r>
      <w:r>
        <w:t xml:space="preserve"> </w:t>
      </w:r>
      <w:r>
        <w:t xml:space="preserve">‘</w:t>
      </w:r>
      <w:r>
        <w:t xml:space="preserve">二音.</w:t>
      </w:r>
      <w:r>
        <w:t xml:space="preserve">’</w:t>
      </w:r>
      <w:r>
        <w:t xml:space="preserve"> </w:t>
      </w:r>
      <w:r>
        <w:t xml:space="preserve">Special cases that also indicate tone, such as</w:t>
      </w:r>
      <w:r>
        <w:t xml:space="preserve"> </w:t>
      </w:r>
      <w:r>
        <w:t xml:space="preserve">‘</w:t>
      </w:r>
      <w:r>
        <w:t xml:space="preserve">音鴛之上声</w:t>
      </w:r>
      <w:r>
        <w:t xml:space="preserve">’</w:t>
      </w:r>
      <w:r>
        <w:t xml:space="preserve"> </w:t>
      </w:r>
      <w:r>
        <w:t xml:space="preserve">(</w:t>
      </w:r>
      <w:r>
        <w:t xml:space="preserve">“</w:t>
      </w:r>
      <w:r>
        <w:t xml:space="preserve">pronounced as 鴛, Rising tone</w:t>
      </w:r>
      <w:r>
        <w:t xml:space="preserve">”</w:t>
      </w:r>
      <w:r>
        <w:t xml:space="preserve">), are classified under</w:t>
      </w:r>
      <w:r>
        <w:t xml:space="preserve"> </w:t>
      </w:r>
      <w:r>
        <w:t xml:space="preserve">“</w:t>
      </w:r>
      <w:r>
        <w:t xml:space="preserve">Other.</w:t>
      </w:r>
      <w:r>
        <w:t xml:space="preserve">”</w:t>
      </w:r>
    </w:p>
    <w:bookmarkEnd w:id="636"/>
    <w:bookmarkStart w:id="637" w:name="Xb268f2fe86786678775cf4ca49b55d6879b4cc0"/>
    <w:p>
      <w:pPr>
        <w:pStyle w:val="Heading2"/>
      </w:pPr>
      <w:r>
        <w:rPr>
          <w:rStyle w:val="SectionNumber"/>
        </w:rPr>
        <w:t xml:space="preserve">23.4</w:t>
      </w:r>
      <w:r>
        <w:tab/>
      </w:r>
      <w:r>
        <w:t xml:space="preserve">Kana Glosses</w:t>
      </w:r>
    </w:p>
    <w:p>
      <w:pPr>
        <w:pStyle w:val="FirstParagraph"/>
      </w:pPr>
      <w:r>
        <w:rPr>
          <w:rStyle w:val="VerbatimChar"/>
          <w:bCs/>
          <w:b/>
        </w:rPr>
        <w:t xml:space="preserve">Kana glosses</w:t>
      </w:r>
      <w:r>
        <w:t xml:space="preserve"> </w:t>
      </w:r>
      <w:r>
        <w:t xml:space="preserve">(仮名音注,</w:t>
      </w:r>
      <w:r>
        <w:t xml:space="preserve"> </w:t>
      </w:r>
      <w:r>
        <w:rPr>
          <w:iCs/>
          <w:i/>
        </w:rPr>
        <w:t xml:space="preserve">kana-onchū</w:t>
      </w:r>
      <w:r>
        <w:t xml:space="preserve">) are phonetic glosses written in katakana. Irregular examples that use Chinese characters to indicate a palatalized (</w:t>
      </w:r>
      <w:r>
        <w:rPr>
          <w:iCs/>
          <w:i/>
        </w:rPr>
        <w:t xml:space="preserve">yōon</w:t>
      </w:r>
      <w:r>
        <w:t xml:space="preserve">) or voiced (</w:t>
      </w:r>
      <w:r>
        <w:rPr>
          <w:iCs/>
          <w:i/>
        </w:rPr>
        <w:t xml:space="preserve">dakuon</w:t>
      </w:r>
      <w:r>
        <w:t xml:space="preserve">) sound are also included among</w:t>
      </w:r>
      <w:r>
        <w:t xml:space="preserve"> </w:t>
      </w:r>
      <w:r>
        <w:rPr>
          <w:rStyle w:val="VerbatimChar"/>
          <w:bCs/>
          <w:b/>
        </w:rPr>
        <w:t xml:space="preserve">Kana glosses</w:t>
      </w:r>
      <w:r>
        <w:t xml:space="preserve">.</w:t>
      </w:r>
    </w:p>
    <w:p>
      <w:pPr>
        <w:pStyle w:val="BodyText"/>
      </w:pPr>
      <w:r>
        <w:t xml:space="preserve">For example,</w:t>
      </w:r>
      <w:r>
        <w:t xml:space="preserve"> </w:t>
      </w:r>
      <w:r>
        <w:t xml:space="preserve">‘</w:t>
      </w:r>
      <w:r>
        <w:t xml:space="preserve">正</w:t>
      </w:r>
      <w:r>
        <w:t xml:space="preserve">’</w:t>
      </w:r>
      <w:r>
        <w:t xml:space="preserve"> </w:t>
      </w:r>
      <w:r>
        <w:t xml:space="preserve">has</w:t>
      </w:r>
      <w:r>
        <w:t xml:space="preserve"> </w:t>
      </w:r>
      <w:r>
        <w:t xml:space="preserve">‘</w:t>
      </w:r>
      <w:r>
        <w:t xml:space="preserve">和者ウ,</w:t>
      </w:r>
      <w:r>
        <w:t xml:space="preserve">’</w:t>
      </w:r>
      <w:r>
        <w:t xml:space="preserve"> </w:t>
      </w:r>
      <w:r>
        <w:t xml:space="preserve">indicating a palatalized sound using Chinese characters, and</w:t>
      </w:r>
      <w:r>
        <w:t xml:space="preserve"> </w:t>
      </w:r>
      <w:r>
        <w:t xml:space="preserve">‘</w:t>
      </w:r>
      <w:r>
        <w:t xml:space="preserve">堂</w:t>
      </w:r>
      <w:r>
        <w:t xml:space="preserve">’</w:t>
      </w:r>
      <w:r>
        <w:t xml:space="preserve"> </w:t>
      </w:r>
      <w:r>
        <w:t xml:space="preserve">has</w:t>
      </w:r>
      <w:r>
        <w:t xml:space="preserve"> </w:t>
      </w:r>
      <w:r>
        <w:t xml:space="preserve">‘</w:t>
      </w:r>
      <w:r>
        <w:t xml:space="preserve">俗云堕ウ,</w:t>
      </w:r>
      <w:r>
        <w:t xml:space="preserve">’</w:t>
      </w:r>
      <w:r>
        <w:t xml:space="preserve"> </w:t>
      </w:r>
      <w:r>
        <w:t xml:space="preserve">indicating a voiced sound using Chinese characters.</w:t>
      </w:r>
    </w:p>
    <w:bookmarkEnd w:id="637"/>
    <w:bookmarkStart w:id="638" w:name="X71e9d18824a96cedcb2ab1befbe38ee6d10808e"/>
    <w:p>
      <w:pPr>
        <w:pStyle w:val="Heading2"/>
      </w:pPr>
      <w:r>
        <w:rPr>
          <w:rStyle w:val="SectionNumber"/>
        </w:rPr>
        <w:t xml:space="preserve">23.5</w:t>
      </w:r>
      <w:r>
        <w:tab/>
      </w:r>
      <w:r>
        <w:t xml:space="preserve">Tone Marks</w:t>
      </w:r>
    </w:p>
    <w:p>
      <w:pPr>
        <w:pStyle w:val="FirstParagraph"/>
      </w:pPr>
      <w:r>
        <w:rPr>
          <w:rStyle w:val="VerbatimChar"/>
          <w:bCs/>
          <w:b/>
        </w:rPr>
        <w:t xml:space="preserve">Tone Marks</w:t>
      </w:r>
      <w:r>
        <w:t xml:space="preserve"> </w:t>
      </w:r>
      <w:r>
        <w:t xml:space="preserve">indicate the tonal category (the four tones, or six tones) and the voiced/unvoiced distinction, applied to</w:t>
      </w:r>
      <w:r>
        <w:t xml:space="preserve"> </w:t>
      </w:r>
      <w:r>
        <w:rPr>
          <w:rStyle w:val="VerbatimChar"/>
          <w:bCs/>
          <w:b/>
        </w:rPr>
        <w:t xml:space="preserve">Headwords</w:t>
      </w:r>
      <w:r>
        <w:t xml:space="preserve"> </w:t>
      </w:r>
      <w:r>
        <w:t xml:space="preserve">and to the characters used within</w:t>
      </w:r>
      <w:r>
        <w:t xml:space="preserve"> </w:t>
      </w:r>
      <w:r>
        <w:rPr>
          <w:rStyle w:val="VerbatimChar"/>
          <w:bCs/>
          <w:b/>
        </w:rPr>
        <w:t xml:space="preserve">Phonetic Glosses</w:t>
      </w:r>
      <w:r>
        <w:t xml:space="preserve">. Following a specification change in March 2025, KRM represents these with a single Roman letter, as shown below.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Symbol</w:t>
            </w:r>
          </w:p>
        </w:tc>
      </w:tr>
      <w:tr>
        <w:tc>
          <w:tcPr/>
          <w:p>
            <w:pPr>
              <w:pStyle w:val="Compact"/>
              <w:jc w:val="left"/>
            </w:pPr>
            <w:r>
              <w:t xml:space="preserve">平 (Level)</w:t>
            </w:r>
          </w:p>
        </w:tc>
        <w:tc>
          <w:tcPr/>
          <w:p>
            <w:pPr>
              <w:pStyle w:val="Compact"/>
              <w:jc w:val="left"/>
            </w:pPr>
            <w:r>
              <w:t xml:space="preserve">L</w:t>
            </w:r>
          </w:p>
        </w:tc>
      </w:tr>
      <w:tr>
        <w:tc>
          <w:tcPr/>
          <w:p>
            <w:pPr>
              <w:pStyle w:val="Compact"/>
              <w:jc w:val="left"/>
            </w:pPr>
            <w:r>
              <w:t xml:space="preserve">平軽 (Light Level)</w:t>
            </w:r>
          </w:p>
        </w:tc>
        <w:tc>
          <w:tcPr/>
          <w:p>
            <w:pPr>
              <w:pStyle w:val="Compact"/>
              <w:jc w:val="left"/>
            </w:pPr>
            <w:r>
              <w:t xml:space="preserve">F</w:t>
            </w:r>
          </w:p>
        </w:tc>
      </w:tr>
      <w:tr>
        <w:tc>
          <w:tcPr/>
          <w:p>
            <w:pPr>
              <w:pStyle w:val="Compact"/>
              <w:jc w:val="left"/>
            </w:pPr>
            <w:r>
              <w:t xml:space="preserve">上 (Rising)</w:t>
            </w:r>
          </w:p>
        </w:tc>
        <w:tc>
          <w:tcPr/>
          <w:p>
            <w:pPr>
              <w:pStyle w:val="Compact"/>
              <w:jc w:val="left"/>
            </w:pPr>
            <w:r>
              <w:t xml:space="preserve">H</w:t>
            </w:r>
          </w:p>
        </w:tc>
      </w:tr>
      <w:tr>
        <w:tc>
          <w:tcPr/>
          <w:p>
            <w:pPr>
              <w:pStyle w:val="Compact"/>
              <w:jc w:val="left"/>
            </w:pPr>
            <w:r>
              <w:t xml:space="preserve">去 (Departing)</w:t>
            </w:r>
          </w:p>
        </w:tc>
        <w:tc>
          <w:tcPr/>
          <w:p>
            <w:pPr>
              <w:pStyle w:val="Compact"/>
              <w:jc w:val="left"/>
            </w:pPr>
            <w:r>
              <w:t xml:space="preserve">R</w:t>
            </w:r>
          </w:p>
        </w:tc>
      </w:tr>
      <w:tr>
        <w:tc>
          <w:tcPr/>
          <w:p>
            <w:pPr>
              <w:pStyle w:val="Compact"/>
              <w:jc w:val="left"/>
            </w:pPr>
            <w:r>
              <w:t xml:space="preserve">入 (Entering)</w:t>
            </w:r>
          </w:p>
        </w:tc>
        <w:tc>
          <w:tcPr/>
          <w:p>
            <w:pPr>
              <w:pStyle w:val="Compact"/>
              <w:jc w:val="left"/>
            </w:pPr>
            <w:r>
              <w:t xml:space="preserve">T</w:t>
            </w:r>
          </w:p>
        </w:tc>
      </w:tr>
      <w:tr>
        <w:tc>
          <w:tcPr/>
          <w:p>
            <w:pPr>
              <w:pStyle w:val="Compact"/>
              <w:jc w:val="left"/>
            </w:pPr>
            <w:r>
              <w:t xml:space="preserve">入軽 (Light Entering)</w:t>
            </w:r>
          </w:p>
        </w:tc>
        <w:tc>
          <w:tcPr/>
          <w:p>
            <w:pPr>
              <w:pStyle w:val="Compact"/>
              <w:jc w:val="left"/>
            </w:pPr>
            <w:r>
              <w:t xml:space="preserve">S</w:t>
            </w:r>
          </w:p>
        </w:tc>
      </w:tr>
      <w:tr>
        <w:tc>
          <w:tcPr/>
          <w:p>
            <w:pPr>
              <w:pStyle w:val="Compact"/>
              <w:jc w:val="left"/>
            </w:pPr>
            <w:r>
              <w:t xml:space="preserve">濁 (Voiced)</w:t>
            </w:r>
          </w:p>
        </w:tc>
        <w:tc>
          <w:tcPr/>
          <w:p>
            <w:pPr>
              <w:pStyle w:val="Compact"/>
              <w:jc w:val="left"/>
            </w:pPr>
            <w:r>
              <w:t xml:space="preserve">V</w:t>
            </w:r>
          </w:p>
        </w:tc>
      </w:tr>
      <w:tr>
        <w:tc>
          <w:tcPr/>
          <w:p>
            <w:pPr>
              <w:pStyle w:val="Compact"/>
              <w:jc w:val="left"/>
            </w:pPr>
            <w:r>
              <w:t xml:space="preserve">No tone mark</w:t>
            </w:r>
          </w:p>
        </w:tc>
        <w:tc>
          <w:tcPr/>
          <w:p>
            <w:pPr>
              <w:pStyle w:val="Compact"/>
              <w:jc w:val="left"/>
            </w:pPr>
            <w:r>
              <w:t xml:space="preserve">_</w:t>
            </w:r>
          </w:p>
        </w:tc>
      </w:tr>
      <w:tr>
        <w:tc>
          <w:tcPr/>
          <w:p>
            <w:pPr>
              <w:pStyle w:val="Compact"/>
              <w:jc w:val="left"/>
            </w:pPr>
            <w:r>
              <w:t xml:space="preserve">Nasal symbol</w:t>
            </w:r>
          </w:p>
        </w:tc>
        <w:tc>
          <w:tcPr/>
          <w:p>
            <w:pPr>
              <w:pStyle w:val="Compact"/>
              <w:jc w:val="left"/>
            </w:pPr>
            <w:r>
              <w:t xml:space="preserve">N</w:t>
            </w:r>
          </w:p>
        </w:tc>
      </w:tr>
    </w:tbl>
    <w:bookmarkEnd w:id="638"/>
    <w:bookmarkStart w:id="639" w:name="X402d4215fe2748a228682fcc1441a790ca8b468"/>
    <w:p>
      <w:pPr>
        <w:pStyle w:val="Heading2"/>
      </w:pPr>
      <w:r>
        <w:rPr>
          <w:rStyle w:val="SectionNumber"/>
        </w:rPr>
        <w:t xml:space="preserve">23.6</w:t>
      </w:r>
      <w:r>
        <w:tab/>
      </w:r>
      <w:r>
        <w:t xml:space="preserve">Fanqie Spellings Easily Mistaken for Katakana</w:t>
      </w:r>
    </w:p>
    <w:p>
      <w:pPr>
        <w:pStyle w:val="SourceCode"/>
      </w:pPr>
      <w:r>
        <w:rPr>
          <w:rStyle w:val="VerbatimChar"/>
        </w:rPr>
        <w:t xml:space="preserve">K0310343    楔  先結反　始死ー齒　又工八反　門雨邊木　ニハサクラ　ニハクサ</w:t>
      </w:r>
      <w:r>
        <w:br/>
      </w:r>
      <w:r>
        <w:rPr>
          <w:rStyle w:val="VerbatimChar"/>
        </w:rPr>
        <w:t xml:space="preserve">K0401963    尬  工八反　又斤音　又五點反　ー尬行不正</w:t>
      </w:r>
    </w:p>
    <w:p>
      <w:pPr>
        <w:pStyle w:val="FirstParagraph"/>
      </w:pPr>
      <w:r>
        <w:t xml:space="preserve">The first one,</w:t>
      </w:r>
      <w:r>
        <w:t xml:space="preserve"> </w:t>
      </w:r>
      <w:r>
        <w:t xml:space="preserve">‘</w:t>
      </w:r>
      <w:r>
        <w:t xml:space="preserve">楔</w:t>
      </w:r>
      <w:r>
        <w:t xml:space="preserve">’</w:t>
      </w:r>
      <w:r>
        <w:t xml:space="preserve">, has two readings in the</w:t>
      </w:r>
      <w:r>
        <w:t xml:space="preserve"> </w:t>
      </w:r>
      <w:r>
        <w:rPr>
          <w:iCs/>
          <w:i/>
        </w:rPr>
        <w:t xml:space="preserve">Guangyun</w:t>
      </w:r>
      <w:r>
        <w:t xml:space="preserve">: 古黠切 (Entering tone,</w:t>
      </w:r>
      <w:r>
        <w:t xml:space="preserve"> </w:t>
      </w:r>
      <w:r>
        <w:rPr>
          <w:iCs/>
          <w:i/>
        </w:rPr>
        <w:t xml:space="preserve">Xia</w:t>
      </w:r>
      <w:r>
        <w:t xml:space="preserve"> </w:t>
      </w:r>
      <w:r>
        <w:t xml:space="preserve">rhyme,</w:t>
      </w:r>
      <w:r>
        <w:t xml:space="preserve"> </w:t>
      </w:r>
      <w:r>
        <w:rPr>
          <w:iCs/>
          <w:i/>
        </w:rPr>
        <w:t xml:space="preserve">xiaoyun</w:t>
      </w:r>
      <w:r>
        <w:t xml:space="preserve"> </w:t>
      </w:r>
      <w:r>
        <w:t xml:space="preserve">戛) and 先結切 (Entering tone,</w:t>
      </w:r>
      <w:r>
        <w:t xml:space="preserve"> </w:t>
      </w:r>
      <w:r>
        <w:rPr>
          <w:iCs/>
          <w:i/>
        </w:rPr>
        <w:t xml:space="preserve">Xie</w:t>
      </w:r>
      <w:r>
        <w:t xml:space="preserve"> </w:t>
      </w:r>
      <w:r>
        <w:t xml:space="preserve">rhyme,</w:t>
      </w:r>
      <w:r>
        <w:t xml:space="preserve"> </w:t>
      </w:r>
      <w:r>
        <w:rPr>
          <w:iCs/>
          <w:i/>
        </w:rPr>
        <w:t xml:space="preserve">xiaoyun</w:t>
      </w:r>
      <w:r>
        <w:t xml:space="preserve"> </w:t>
      </w:r>
      <w:r>
        <w:t xml:space="preserve">屑);</w:t>
      </w:r>
      <w:r>
        <w:t xml:space="preserve"> </w:t>
      </w:r>
      <w:r>
        <w:t xml:space="preserve">‘</w:t>
      </w:r>
      <w:r>
        <w:t xml:space="preserve">工八反</w:t>
      </w:r>
      <w:r>
        <w:t xml:space="preserve">’</w:t>
      </w:r>
      <w:r>
        <w:t xml:space="preserve"> </w:t>
      </w:r>
      <w:r>
        <w:t xml:space="preserve">corresponds to 古黠切. Masamune’s Index and Kusakawa’s</w:t>
      </w:r>
      <w:r>
        <w:t xml:space="preserve"> </w:t>
      </w:r>
      <w:r>
        <w:rPr>
          <w:iCs/>
          <w:i/>
        </w:rPr>
        <w:t xml:space="preserve">Wakun Shūsei</w:t>
      </w:r>
      <w:r>
        <w:t xml:space="preserve"> </w:t>
      </w:r>
      <w:r>
        <w:t xml:space="preserve">record</w:t>
      </w:r>
      <w:r>
        <w:t xml:space="preserve"> </w:t>
      </w:r>
      <w:r>
        <w:t xml:space="preserve">‘</w:t>
      </w:r>
      <w:r>
        <w:t xml:space="preserve">工八反</w:t>
      </w:r>
      <w:r>
        <w:t xml:space="preserve">’</w:t>
      </w:r>
      <w:r>
        <w:t xml:space="preserve"> </w:t>
      </w:r>
      <w:r>
        <w:t xml:space="preserve">as</w:t>
      </w:r>
      <w:r>
        <w:t xml:space="preserve"> </w:t>
      </w:r>
      <w:r>
        <w:t xml:space="preserve">‘</w:t>
      </w:r>
      <w:r>
        <w:t xml:space="preserve">エハメ</w:t>
      </w:r>
      <w:r>
        <w:t xml:space="preserve">’</w:t>
      </w:r>
      <w:r>
        <w:t xml:space="preserve"> </w:t>
      </w:r>
      <w:r>
        <w:t xml:space="preserve">(</w:t>
      </w:r>
      <w:r>
        <w:rPr>
          <w:iCs/>
          <w:i/>
        </w:rPr>
        <w:t xml:space="preserve">ehame</w:t>
      </w:r>
      <w:r>
        <w:t xml:space="preserve">), but this is an example that should be classified as a</w:t>
      </w:r>
      <w:r>
        <w:t xml:space="preserve"> </w:t>
      </w:r>
      <w:r>
        <w:rPr>
          <w:iCs/>
          <w:i/>
        </w:rPr>
        <w:t xml:space="preserve">fanqie</w:t>
      </w:r>
      <w:r>
        <w:t xml:space="preserve"> </w:t>
      </w:r>
      <w:r>
        <w:t xml:space="preserve">spelling rather than a</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w:t>
      </w:r>
    </w:p>
    <w:p>
      <w:pPr>
        <w:pStyle w:val="BodyText"/>
      </w:pPr>
      <w:r>
        <w:t xml:space="preserve">The second one,</w:t>
      </w:r>
      <w:r>
        <w:t xml:space="preserve"> </w:t>
      </w:r>
      <w:r>
        <w:t xml:space="preserve">‘</w:t>
      </w:r>
      <w:r>
        <w:t xml:space="preserve">尬</w:t>
      </w:r>
      <w:r>
        <w:t xml:space="preserve">’</w:t>
      </w:r>
      <w:r>
        <w:t xml:space="preserve">, appears in the</w:t>
      </w:r>
      <w:r>
        <w:t xml:space="preserve"> </w:t>
      </w:r>
      <w:r>
        <w:rPr>
          <w:iCs/>
          <w:i/>
        </w:rPr>
        <w:t xml:space="preserve">Guangyun</w:t>
      </w:r>
      <w:r>
        <w:t xml:space="preserve"> </w:t>
      </w:r>
      <w:r>
        <w:t xml:space="preserve">as 古拜切 (Departing tone,</w:t>
      </w:r>
      <w:r>
        <w:t xml:space="preserve"> </w:t>
      </w:r>
      <w:r>
        <w:rPr>
          <w:iCs/>
          <w:i/>
        </w:rPr>
        <w:t xml:space="preserve">Guai</w:t>
      </w:r>
      <w:r>
        <w:t xml:space="preserve"> </w:t>
      </w:r>
      <w:r>
        <w:t xml:space="preserve">rhyme,</w:t>
      </w:r>
      <w:r>
        <w:t xml:space="preserve"> </w:t>
      </w:r>
      <w:r>
        <w:rPr>
          <w:iCs/>
          <w:i/>
        </w:rPr>
        <w:t xml:space="preserve">xiaoyun</w:t>
      </w:r>
      <w:r>
        <w:t xml:space="preserve"> </w:t>
      </w:r>
      <w:r>
        <w:t xml:space="preserve">誡), but the</w:t>
      </w:r>
      <w:r>
        <w:t xml:space="preserve"> </w:t>
      </w:r>
      <w:r>
        <w:rPr>
          <w:iCs/>
          <w:i/>
        </w:rPr>
        <w:t xml:space="preserve">Tenrei Banshō Meigi</w:t>
      </w:r>
      <w:r>
        <w:t xml:space="preserve"> </w:t>
      </w:r>
      <w:r>
        <w:t xml:space="preserve">gives 公八反, the</w:t>
      </w:r>
      <w:r>
        <w:t xml:space="preserve"> </w:t>
      </w:r>
      <w:r>
        <w:rPr>
          <w:iCs/>
          <w:i/>
        </w:rPr>
        <w:t xml:space="preserve">Shinsen Jikyō</w:t>
      </w:r>
      <w:r>
        <w:t xml:space="preserve"> </w:t>
      </w:r>
      <w:r>
        <w:t xml:space="preserve">gives 公八公鎋二反, and the Song edition of the</w:t>
      </w:r>
      <w:r>
        <w:t xml:space="preserve"> </w:t>
      </w:r>
      <w:r>
        <w:rPr>
          <w:iCs/>
          <w:i/>
        </w:rPr>
        <w:t xml:space="preserve">Yupian</w:t>
      </w:r>
      <w:r>
        <w:t xml:space="preserve"> </w:t>
      </w:r>
      <w:r>
        <w:t xml:space="preserve">gives 公拜公鎋二切 — all of which record a</w:t>
      </w:r>
      <w:r>
        <w:t xml:space="preserve"> </w:t>
      </w:r>
      <w:r>
        <w:rPr>
          <w:iCs/>
          <w:i/>
        </w:rPr>
        <w:t xml:space="preserve">fanqie</w:t>
      </w:r>
      <w:r>
        <w:t xml:space="preserve"> </w:t>
      </w:r>
      <w:r>
        <w:t xml:space="preserve">spelling for the Entering tone,</w:t>
      </w:r>
      <w:r>
        <w:t xml:space="preserve"> </w:t>
      </w:r>
      <w:r>
        <w:rPr>
          <w:iCs/>
          <w:i/>
        </w:rPr>
        <w:t xml:space="preserve">Xia</w:t>
      </w:r>
      <w:r>
        <w:t xml:space="preserve"> </w:t>
      </w:r>
      <w:r>
        <w:t xml:space="preserve">rhyme (</w:t>
      </w:r>
      <w:r>
        <w:t xml:space="preserve">‘</w:t>
      </w:r>
      <w:r>
        <w:t xml:space="preserve">公八</w:t>
      </w:r>
      <w:r>
        <w:t xml:space="preserve">’</w:t>
      </w:r>
      <w:r>
        <w:t xml:space="preserve">). Masamune’s Index and Kusakawa’s</w:t>
      </w:r>
      <w:r>
        <w:t xml:space="preserve"> </w:t>
      </w:r>
      <w:r>
        <w:rPr>
          <w:iCs/>
          <w:i/>
        </w:rPr>
        <w:t xml:space="preserve">Wakun Shūsei</w:t>
      </w:r>
      <w:r>
        <w:t xml:space="preserve"> </w:t>
      </w:r>
      <w:r>
        <w:t xml:space="preserve">record this as</w:t>
      </w:r>
      <w:r>
        <w:t xml:space="preserve"> </w:t>
      </w:r>
      <w:r>
        <w:t xml:space="preserve">‘</w:t>
      </w:r>
      <w:r>
        <w:t xml:space="preserve">コハメ</w:t>
      </w:r>
      <w:r>
        <w:t xml:space="preserve">’</w:t>
      </w:r>
      <w:r>
        <w:t xml:space="preserve"> </w:t>
      </w:r>
      <w:r>
        <w:t xml:space="preserve">(</w:t>
      </w:r>
      <w:r>
        <w:rPr>
          <w:iCs/>
          <w:i/>
        </w:rPr>
        <w:t xml:space="preserve">kohame</w:t>
      </w:r>
      <w:r>
        <w:t xml:space="preserve">), but this too is an example that should be classified as a</w:t>
      </w:r>
      <w:r>
        <w:t xml:space="preserve"> </w:t>
      </w:r>
      <w:r>
        <w:rPr>
          <w:iCs/>
          <w:i/>
        </w:rPr>
        <w:t xml:space="preserve">fanqie</w:t>
      </w:r>
      <w:r>
        <w:t xml:space="preserve"> </w:t>
      </w:r>
      <w:r>
        <w:t xml:space="preserve">spelling rather than a</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w:t>
      </w:r>
    </w:p>
    <w:bookmarkEnd w:id="639"/>
    <w:bookmarkStart w:id="640" w:name="X18c901f08b2d36018c5539054ad4a3d2d6623f8"/>
    <w:p>
      <w:pPr>
        <w:pStyle w:val="Heading2"/>
      </w:pPr>
      <w:r>
        <w:rPr>
          <w:rStyle w:val="SectionNumber"/>
        </w:rPr>
        <w:t xml:space="preserve">23.7</w:t>
      </w:r>
      <w:r>
        <w:tab/>
      </w:r>
      <w:r>
        <w:t xml:space="preserve">References</w:t>
      </w:r>
    </w:p>
    <w:p>
      <w:pPr>
        <w:numPr>
          <w:ilvl w:val="0"/>
          <w:numId w:val="1243"/>
        </w:numPr>
        <w:pStyle w:val="Compact"/>
      </w:pPr>
      <w:r>
        <w:t xml:space="preserve">Yoshida, Kanehiko.</w:t>
      </w:r>
      <w:r>
        <w:t xml:space="preserve"> </w:t>
      </w:r>
      <w:r>
        <w:t xml:space="preserve">“</w:t>
      </w:r>
      <w:r>
        <w:t xml:space="preserve">Ruiju Myōgishō ni Mieru Wa-on-chū ni Tsuite</w:t>
      </w:r>
      <w:r>
        <w:t xml:space="preserve">”</w:t>
      </w:r>
      <w:r>
        <w:t xml:space="preserve"> </w:t>
      </w:r>
      <w:r>
        <w:t xml:space="preserve">(On the</w:t>
      </w:r>
      <w:r>
        <w:t xml:space="preserve"> </w:t>
      </w:r>
      <w:r>
        <w:rPr>
          <w:iCs/>
          <w:i/>
        </w:rPr>
        <w:t xml:space="preserve">Wa-on</w:t>
      </w:r>
      <w:r>
        <w:t xml:space="preserve"> </w:t>
      </w:r>
      <w:r>
        <w:t xml:space="preserve">Notes Found in the</w:t>
      </w:r>
      <w:r>
        <w:t xml:space="preserve"> </w:t>
      </w:r>
      <w:r>
        <w:rPr>
          <w:iCs/>
          <w:i/>
        </w:rPr>
        <w:t xml:space="preserve">Ruiju Myōgishō</w:t>
      </w:r>
      <w:r>
        <w:t xml:space="preserve">).</w:t>
      </w:r>
      <w:r>
        <w:t xml:space="preserve"> </w:t>
      </w:r>
      <w:r>
        <w:rPr>
          <w:iCs/>
          <w:i/>
        </w:rPr>
        <w:t xml:space="preserve">Kokugogaku</w:t>
      </w:r>
      <w:r>
        <w:t xml:space="preserve"> </w:t>
      </w:r>
      <w:r>
        <w:t xml:space="preserve">6 (1951): 44–53.</w:t>
      </w:r>
    </w:p>
    <w:p>
      <w:pPr>
        <w:numPr>
          <w:ilvl w:val="0"/>
          <w:numId w:val="1243"/>
        </w:numPr>
        <w:pStyle w:val="Compact"/>
      </w:pPr>
      <w:r>
        <w:t xml:space="preserve">Komatsu, Hideo.</w:t>
      </w:r>
      <w:r>
        <w:t xml:space="preserve"> </w:t>
      </w:r>
      <w:r>
        <w:t xml:space="preserve">“</w:t>
      </w:r>
      <w:r>
        <w:t xml:space="preserve">Zushoryōbon Ruiju Myōgishō ni Mieru Tokushu na Chūon Hōshiki to sono Seikaku (Jō)</w:t>
      </w:r>
      <w:r>
        <w:t xml:space="preserve">”</w:t>
      </w:r>
      <w:r>
        <w:t xml:space="preserve"> </w:t>
      </w:r>
      <w:r>
        <w:t xml:space="preserve">(The Special Phonetic Notation Method Found in the Zushoryōbon</w:t>
      </w:r>
      <w:r>
        <w:t xml:space="preserve"> </w:t>
      </w:r>
      <w:r>
        <w:rPr>
          <w:iCs/>
          <w:i/>
        </w:rPr>
        <w:t xml:space="preserve">Ruiju Myōgishō</w:t>
      </w:r>
      <w:r>
        <w:t xml:space="preserve"> </w:t>
      </w:r>
      <w:r>
        <w:t xml:space="preserve">and Its Character, Part 1).</w:t>
      </w:r>
      <w:r>
        <w:t xml:space="preserve"> </w:t>
      </w:r>
      <w:r>
        <w:rPr>
          <w:iCs/>
          <w:i/>
        </w:rPr>
        <w:t xml:space="preserve">Kuntengo to Kunten Shiryō</w:t>
      </w:r>
      <w:r>
        <w:t xml:space="preserve"> </w:t>
      </w:r>
      <w:r>
        <w:t xml:space="preserve">10 (1958): 416–435.</w:t>
      </w:r>
    </w:p>
    <w:p>
      <w:pPr>
        <w:numPr>
          <w:ilvl w:val="0"/>
          <w:numId w:val="1243"/>
        </w:numPr>
        <w:pStyle w:val="Compact"/>
      </w:pPr>
      <w:r>
        <w:t xml:space="preserve">Watanabe, Osamu.</w:t>
      </w:r>
      <w:r>
        <w:t xml:space="preserve"> </w:t>
      </w:r>
      <w:r>
        <w:t xml:space="preserve">“</w:t>
      </w:r>
      <w:r>
        <w:t xml:space="preserve">Ruiju Myōgishō no Go-on no Seikaku</w:t>
      </w:r>
      <w:r>
        <w:t xml:space="preserve">”</w:t>
      </w:r>
      <w:r>
        <w:t xml:space="preserve"> </w:t>
      </w:r>
      <w:r>
        <w:t xml:space="preserve">(The Character of the</w:t>
      </w:r>
      <w:r>
        <w:t xml:space="preserve"> </w:t>
      </w:r>
      <w:r>
        <w:rPr>
          <w:iCs/>
          <w:i/>
        </w:rPr>
        <w:t xml:space="preserve">Go-on</w:t>
      </w:r>
      <w:r>
        <w:t xml:space="preserve"> </w:t>
      </w:r>
      <w:r>
        <w:t xml:space="preserve">Readings in the</w:t>
      </w:r>
      <w:r>
        <w:t xml:space="preserve"> </w:t>
      </w:r>
      <w:r>
        <w:rPr>
          <w:iCs/>
          <w:i/>
        </w:rPr>
        <w:t xml:space="preserve">Ruiju Myōgishō</w:t>
      </w:r>
      <w:r>
        <w:t xml:space="preserve">).</w:t>
      </w:r>
      <w:r>
        <w:t xml:space="preserve"> </w:t>
      </w:r>
      <w:r>
        <w:rPr>
          <w:iCs/>
          <w:i/>
        </w:rPr>
        <w:t xml:space="preserve">Ōtsuma Joshi Daigaku Bungakubu Kiyō</w:t>
      </w:r>
      <w:r>
        <w:t xml:space="preserve"> </w:t>
      </w:r>
      <w:r>
        <w:t xml:space="preserve">1 (1969): 37–44.</w:t>
      </w:r>
    </w:p>
    <w:p>
      <w:pPr>
        <w:numPr>
          <w:ilvl w:val="0"/>
          <w:numId w:val="1243"/>
        </w:numPr>
        <w:pStyle w:val="Compact"/>
      </w:pPr>
      <w:r>
        <w:t xml:space="preserve">Watanabe, Osamu.</w:t>
      </w:r>
      <w:r>
        <w:t xml:space="preserve"> </w:t>
      </w:r>
      <w:r>
        <w:t xml:space="preserve">“</w:t>
      </w:r>
      <w:r>
        <w:t xml:space="preserve">Ruiju Myōgishō no</w:t>
      </w:r>
      <w:r>
        <w:t xml:space="preserve"> </w:t>
      </w:r>
      <w:r>
        <w:t xml:space="preserve">‘</w:t>
      </w:r>
      <w:r>
        <w:t xml:space="preserve">Go-on</w:t>
      </w:r>
      <w:r>
        <w:t xml:space="preserve">’</w:t>
      </w:r>
      <w:r>
        <w:t xml:space="preserve"> </w:t>
      </w:r>
      <w:r>
        <w:t xml:space="preserve">no Taikei</w:t>
      </w:r>
      <w:r>
        <w:t xml:space="preserve">”</w:t>
      </w:r>
      <w:r>
        <w:t xml:space="preserve"> </w:t>
      </w:r>
      <w:r>
        <w:t xml:space="preserve">(The System of the</w:t>
      </w:r>
      <w:r>
        <w:t xml:space="preserve"> </w:t>
      </w:r>
      <w:r>
        <w:t xml:space="preserve">‘</w:t>
      </w:r>
      <w:r>
        <w:rPr>
          <w:iCs/>
          <w:i/>
        </w:rPr>
        <w:t xml:space="preserve">Go-on</w:t>
      </w:r>
      <w:r>
        <w:t xml:space="preserve">’</w:t>
      </w:r>
      <w:r>
        <w:t xml:space="preserve"> </w:t>
      </w:r>
      <w:r>
        <w:t xml:space="preserve">Readings in the</w:t>
      </w:r>
      <w:r>
        <w:t xml:space="preserve"> </w:t>
      </w:r>
      <w:r>
        <w:rPr>
          <w:iCs/>
          <w:i/>
        </w:rPr>
        <w:t xml:space="preserve">Ruiju Myōgishō</w:t>
      </w:r>
      <w:r>
        <w:t xml:space="preserve">).</w:t>
      </w:r>
      <w:r>
        <w:t xml:space="preserve"> </w:t>
      </w:r>
      <w:r>
        <w:rPr>
          <w:iCs/>
          <w:i/>
        </w:rPr>
        <w:t xml:space="preserve">Kokugo to Kokubungaku</w:t>
      </w:r>
      <w:r>
        <w:t xml:space="preserve"> </w:t>
      </w:r>
      <w:r>
        <w:t xml:space="preserve">47, no. 10 (1970): 109–123.</w:t>
      </w:r>
    </w:p>
    <w:p>
      <w:pPr>
        <w:numPr>
          <w:ilvl w:val="0"/>
          <w:numId w:val="1243"/>
        </w:numPr>
        <w:pStyle w:val="Compact"/>
      </w:pPr>
      <w:r>
        <w:t xml:space="preserve">Watanabe, Osamu.</w:t>
      </w:r>
      <w:r>
        <w:t xml:space="preserve"> </w:t>
      </w:r>
      <w:r>
        <w:t xml:space="preserve">“</w:t>
      </w:r>
      <w:r>
        <w:t xml:space="preserve">Ruiju Myōgishō no Wa-on no Seikaku</w:t>
      </w:r>
      <w:r>
        <w:t xml:space="preserve">”</w:t>
      </w:r>
      <w:r>
        <w:t xml:space="preserve"> </w:t>
      </w:r>
      <w:r>
        <w:t xml:space="preserve">(The Character of the</w:t>
      </w:r>
      <w:r>
        <w:t xml:space="preserve"> </w:t>
      </w:r>
      <w:r>
        <w:rPr>
          <w:iCs/>
          <w:i/>
        </w:rPr>
        <w:t xml:space="preserve">Wa-on</w:t>
      </w:r>
      <w:r>
        <w:t xml:space="preserve"> </w:t>
      </w:r>
      <w:r>
        <w:t xml:space="preserve">Readings in the</w:t>
      </w:r>
      <w:r>
        <w:t xml:space="preserve"> </w:t>
      </w:r>
      <w:r>
        <w:rPr>
          <w:iCs/>
          <w:i/>
        </w:rPr>
        <w:t xml:space="preserve">Ruiju Myōgishō</w:t>
      </w:r>
      <w:r>
        <w:t xml:space="preserve">).</w:t>
      </w:r>
      <w:r>
        <w:t xml:space="preserve"> </w:t>
      </w:r>
      <w:r>
        <w:rPr>
          <w:iCs/>
          <w:i/>
        </w:rPr>
        <w:t xml:space="preserve">Ōtsuma Joshi Daigaku Bungakubu Kiyō</w:t>
      </w:r>
      <w:r>
        <w:t xml:space="preserve"> </w:t>
      </w:r>
      <w:r>
        <w:t xml:space="preserve">3 (1971): 93–106.</w:t>
      </w:r>
    </w:p>
    <w:p>
      <w:pPr>
        <w:numPr>
          <w:ilvl w:val="0"/>
          <w:numId w:val="1243"/>
        </w:numPr>
        <w:pStyle w:val="Compact"/>
      </w:pPr>
      <w:r>
        <w:t xml:space="preserve">Tajiri, Eizō.</w:t>
      </w:r>
      <w:r>
        <w:t xml:space="preserve"> </w:t>
      </w:r>
      <w:r>
        <w:t xml:space="preserve">“</w:t>
      </w:r>
      <w:r>
        <w:t xml:space="preserve">Zushoryōbon Ruiju Myōgishō no Wa-on-chū no Seikaku</w:t>
      </w:r>
      <w:r>
        <w:t xml:space="preserve">”</w:t>
      </w:r>
      <w:r>
        <w:t xml:space="preserve"> </w:t>
      </w:r>
      <w:r>
        <w:t xml:space="preserve">(The Character of the</w:t>
      </w:r>
      <w:r>
        <w:t xml:space="preserve"> </w:t>
      </w:r>
      <w:r>
        <w:rPr>
          <w:iCs/>
          <w:i/>
        </w:rPr>
        <w:t xml:space="preserve">Wa-on</w:t>
      </w:r>
      <w:r>
        <w:t xml:space="preserve"> </w:t>
      </w:r>
      <w:r>
        <w:t xml:space="preserve">Notes in the Zushoryōbon</w:t>
      </w:r>
      <w:r>
        <w:t xml:space="preserve"> </w:t>
      </w:r>
      <w:r>
        <w:rPr>
          <w:iCs/>
          <w:i/>
        </w:rPr>
        <w:t xml:space="preserve">Ruiju Myōgishō</w:t>
      </w:r>
      <w:r>
        <w:t xml:space="preserve">).</w:t>
      </w:r>
      <w:r>
        <w:t xml:space="preserve"> </w:t>
      </w:r>
      <w:r>
        <w:rPr>
          <w:iCs/>
          <w:i/>
        </w:rPr>
        <w:t xml:space="preserve">Gobun Kenkyū</w:t>
      </w:r>
      <w:r>
        <w:t xml:space="preserve"> </w:t>
      </w:r>
      <w:r>
        <w:t xml:space="preserve">33 (1972): 1–12.</w:t>
      </w:r>
    </w:p>
    <w:p>
      <w:pPr>
        <w:numPr>
          <w:ilvl w:val="0"/>
          <w:numId w:val="1243"/>
        </w:numPr>
        <w:pStyle w:val="Compact"/>
      </w:pPr>
      <w:r>
        <w:t xml:space="preserve">Numoto, Katsuaki.</w:t>
      </w:r>
      <w:r>
        <w:t xml:space="preserve"> </w:t>
      </w:r>
      <w:r>
        <w:t xml:space="preserve">“</w:t>
      </w:r>
      <w:r>
        <w:t xml:space="preserve">Zushoryōbon Ruiju Myōgishō</w:t>
      </w:r>
      <w:r>
        <w:t xml:space="preserve"> </w:t>
      </w:r>
      <w:r>
        <w:t xml:space="preserve">‘</w:t>
      </w:r>
      <w:r>
        <w:t xml:space="preserve">Shinkō-on (Wa-on)</w:t>
      </w:r>
      <w:r>
        <w:t xml:space="preserve">’</w:t>
      </w:r>
      <w:r>
        <w:t xml:space="preserve"> </w:t>
      </w:r>
      <w:r>
        <w:t xml:space="preserve">Ron Zokuchō</w:t>
      </w:r>
      <w:r>
        <w:t xml:space="preserve">”</w:t>
      </w:r>
      <w:r>
        <w:t xml:space="preserve"> </w:t>
      </w:r>
      <w:r>
        <w:t xml:space="preserve">(A Supplementary Note on the Discussion of</w:t>
      </w:r>
      <w:r>
        <w:t xml:space="preserve"> </w:t>
      </w:r>
      <w:r>
        <w:t xml:space="preserve">‘</w:t>
      </w:r>
      <w:r>
        <w:t xml:space="preserve">Shinkō-on (</w:t>
      </w:r>
      <w:r>
        <w:rPr>
          <w:iCs/>
          <w:i/>
        </w:rPr>
        <w:t xml:space="preserve">Wa-on</w:t>
      </w:r>
      <w:r>
        <w:t xml:space="preserve">)</w:t>
      </w:r>
      <w:r>
        <w:t xml:space="preserve">’</w:t>
      </w:r>
      <w:r>
        <w:t xml:space="preserve"> </w:t>
      </w:r>
      <w:r>
        <w:t xml:space="preserve">in the Zushoryōbon</w:t>
      </w:r>
      <w:r>
        <w:t xml:space="preserve"> </w:t>
      </w:r>
      <w:r>
        <w:rPr>
          <w:iCs/>
          <w:i/>
        </w:rPr>
        <w:t xml:space="preserve">Ruiju Myōgishō</w:t>
      </w:r>
      <w:r>
        <w:t xml:space="preserve">).</w:t>
      </w:r>
      <w:r>
        <w:t xml:space="preserve"> </w:t>
      </w:r>
      <w:r>
        <w:rPr>
          <w:iCs/>
          <w:i/>
        </w:rPr>
        <w:t xml:space="preserve">Kokugo to Kokubungaku</w:t>
      </w:r>
      <w:r>
        <w:t xml:space="preserve"> </w:t>
      </w:r>
      <w:r>
        <w:t xml:space="preserve">55, no. 10 (1978): 54–68.</w:t>
      </w:r>
    </w:p>
    <w:p>
      <w:pPr>
        <w:numPr>
          <w:ilvl w:val="0"/>
          <w:numId w:val="1243"/>
        </w:numPr>
        <w:pStyle w:val="Compact"/>
      </w:pPr>
      <w:r>
        <w:t xml:space="preserve">Mochizuki, Ikuko.</w:t>
      </w:r>
      <w:r>
        <w:t xml:space="preserve"> </w:t>
      </w:r>
      <w:r>
        <w:t xml:space="preserve">“</w:t>
      </w:r>
      <w:r>
        <w:t xml:space="preserve">Kanchi-in-bon</w:t>
      </w:r>
      <w:r>
        <w:t xml:space="preserve"> </w:t>
      </w:r>
      <w:r>
        <w:t xml:space="preserve">‘</w:t>
      </w:r>
      <w:r>
        <w:t xml:space="preserve">Ruiju Myōgishō</w:t>
      </w:r>
      <w:r>
        <w:t xml:space="preserve">’</w:t>
      </w:r>
      <w:r>
        <w:t xml:space="preserve"> </w:t>
      </w:r>
      <w:r>
        <w:t xml:space="preserve">no Wa-on-chū — Hokekyō Jii to no Kanren ni Oite</w:t>
      </w:r>
      <w:r>
        <w:t xml:space="preserve">”</w:t>
      </w:r>
      <w:r>
        <w:t xml:space="preserve"> </w:t>
      </w:r>
      <w:r>
        <w:t xml:space="preserve">(The</w:t>
      </w:r>
      <w:r>
        <w:t xml:space="preserve"> </w:t>
      </w:r>
      <w:r>
        <w:rPr>
          <w:iCs/>
          <w:i/>
        </w:rPr>
        <w:t xml:space="preserve">Wa-on</w:t>
      </w:r>
      <w:r>
        <w:t xml:space="preserve"> </w:t>
      </w:r>
      <w:r>
        <w:t xml:space="preserve">Notes of the Kanchi-in Manuscript</w:t>
      </w:r>
      <w:r>
        <w:t xml:space="preserve"> </w:t>
      </w:r>
      <w:r>
        <w:rPr>
          <w:iCs/>
          <w:i/>
        </w:rPr>
        <w:t xml:space="preserve">Ruiju Myōgishō</w:t>
      </w:r>
      <w:r>
        <w:t xml:space="preserve">: In Relation to the</w:t>
      </w:r>
      <w:r>
        <w:t xml:space="preserve"> </w:t>
      </w:r>
      <w:r>
        <w:rPr>
          <w:iCs/>
          <w:i/>
        </w:rPr>
        <w:t xml:space="preserve">Hokekyō Jii</w:t>
      </w:r>
      <w:r>
        <w:t xml:space="preserve">).</w:t>
      </w:r>
      <w:r>
        <w:t xml:space="preserve"> </w:t>
      </w:r>
      <w:r>
        <w:rPr>
          <w:iCs/>
          <w:i/>
        </w:rPr>
        <w:t xml:space="preserve">Kuntengo to Kunten Shiryō</w:t>
      </w:r>
      <w:r>
        <w:t xml:space="preserve"> </w:t>
      </w:r>
      <w:r>
        <w:t xml:space="preserve">63 (1979): 1–26.</w:t>
      </w:r>
    </w:p>
    <w:p>
      <w:pPr>
        <w:numPr>
          <w:ilvl w:val="0"/>
          <w:numId w:val="1243"/>
        </w:numPr>
        <w:pStyle w:val="Compact"/>
      </w:pPr>
      <w:r>
        <w:t xml:space="preserve">Numoto, Katsuaki.</w:t>
      </w:r>
      <w:r>
        <w:t xml:space="preserve"> </w:t>
      </w:r>
      <w:r>
        <w:t xml:space="preserve">“</w:t>
      </w:r>
      <w:r>
        <w:t xml:space="preserve">Kanchi-in-bon Ruiju Myōgishō Wa-on Bun’in-hyō</w:t>
      </w:r>
      <w:r>
        <w:t xml:space="preserve">”</w:t>
      </w:r>
      <w:r>
        <w:t xml:space="preserve"> </w:t>
      </w:r>
      <w:r>
        <w:t xml:space="preserve">(A Table of</w:t>
      </w:r>
      <w:r>
        <w:t xml:space="preserve"> </w:t>
      </w:r>
      <w:r>
        <w:rPr>
          <w:iCs/>
          <w:i/>
        </w:rPr>
        <w:t xml:space="preserve">Wa-on</w:t>
      </w:r>
      <w:r>
        <w:t xml:space="preserve"> </w:t>
      </w:r>
      <w:r>
        <w:t xml:space="preserve">Rhyme Classifications in the Kanchi-in Manuscript</w:t>
      </w:r>
      <w:r>
        <w:t xml:space="preserve"> </w:t>
      </w:r>
      <w:r>
        <w:rPr>
          <w:iCs/>
          <w:i/>
        </w:rPr>
        <w:t xml:space="preserve">Ruiju Myōgishō</w:t>
      </w:r>
      <w:r>
        <w:t xml:space="preserve">).</w:t>
      </w:r>
      <w:r>
        <w:t xml:space="preserve"> </w:t>
      </w:r>
      <w:r>
        <w:rPr>
          <w:iCs/>
          <w:i/>
        </w:rPr>
        <w:t xml:space="preserve">Kamakura Jidaigo Kenkyū</w:t>
      </w:r>
      <w:r>
        <w:t xml:space="preserve"> </w:t>
      </w:r>
      <w:r>
        <w:t xml:space="preserve">3 (1980): 61–78.</w:t>
      </w:r>
    </w:p>
    <w:p>
      <w:pPr>
        <w:numPr>
          <w:ilvl w:val="0"/>
          <w:numId w:val="1243"/>
        </w:numPr>
        <w:pStyle w:val="Compact"/>
      </w:pPr>
      <w:r>
        <w:t xml:space="preserve">Takeichi, Masahiro.</w:t>
      </w:r>
      <w:r>
        <w:t xml:space="preserve"> </w:t>
      </w:r>
      <w:r>
        <w:t xml:space="preserve">“</w:t>
      </w:r>
      <w:r>
        <w:t xml:space="preserve">Ruiju Myōgishō Wakun no Bōsho no Bunrui — Onin ni Kansuru Mono ni Tsuite</w:t>
      </w:r>
      <w:r>
        <w:t xml:space="preserve">”</w:t>
      </w:r>
      <w:r>
        <w:t xml:space="preserve"> </w:t>
      </w:r>
      <w:r>
        <w:t xml:space="preserve">(A Classification of the Marginal Glosses on the</w:t>
      </w:r>
      <w:r>
        <w:t xml:space="preserve"> </w:t>
      </w:r>
      <w:r>
        <w:rPr>
          <w:iCs/>
          <w:i/>
        </w:rPr>
        <w:t xml:space="preserve">Wakun</w:t>
      </w:r>
      <w:r>
        <w:t xml:space="preserve"> </w:t>
      </w:r>
      <w:r>
        <w:t xml:space="preserve">of the</w:t>
      </w:r>
      <w:r>
        <w:t xml:space="preserve"> </w:t>
      </w:r>
      <w:r>
        <w:rPr>
          <w:iCs/>
          <w:i/>
        </w:rPr>
        <w:t xml:space="preserve">Ruiju Myōgishō</w:t>
      </w:r>
      <w:r>
        <w:t xml:space="preserve">: Concerning Those Related to Phonology).</w:t>
      </w:r>
      <w:r>
        <w:t xml:space="preserve"> </w:t>
      </w:r>
      <w:r>
        <w:rPr>
          <w:iCs/>
          <w:i/>
        </w:rPr>
        <w:t xml:space="preserve">Yamaguchi Joshi Daigaku Kenkyū Hōkoku, Dai 1-bu, Jinbun, Shakai Kagaku</w:t>
      </w:r>
      <w:r>
        <w:t xml:space="preserve"> </w:t>
      </w:r>
      <w:r>
        <w:t xml:space="preserve">7 (1981): 41–44.</w:t>
      </w:r>
    </w:p>
    <w:p>
      <w:pPr>
        <w:numPr>
          <w:ilvl w:val="0"/>
          <w:numId w:val="1243"/>
        </w:numPr>
        <w:pStyle w:val="Compact"/>
      </w:pPr>
      <w:r>
        <w:t xml:space="preserve">Okimori, Takuya.</w:t>
      </w:r>
      <w:r>
        <w:t xml:space="preserve"> </w:t>
      </w:r>
      <w:r>
        <w:t xml:space="preserve">“</w:t>
      </w:r>
      <w:r>
        <w:t xml:space="preserve">Kanchi-in-bon Ruiju Myōgishō no Wa-on no Seichō</w:t>
      </w:r>
      <w:r>
        <w:t xml:space="preserve">”</w:t>
      </w:r>
      <w:r>
        <w:t xml:space="preserve"> </w:t>
      </w:r>
      <w:r>
        <w:t xml:space="preserve">(The Tonal Values of the</w:t>
      </w:r>
      <w:r>
        <w:t xml:space="preserve"> </w:t>
      </w:r>
      <w:r>
        <w:rPr>
          <w:iCs/>
          <w:i/>
        </w:rPr>
        <w:t xml:space="preserve">Wa-on</w:t>
      </w:r>
      <w:r>
        <w:t xml:space="preserve"> </w:t>
      </w:r>
      <w:r>
        <w:t xml:space="preserve">Readings in the Kanchi-in Manuscript</w:t>
      </w:r>
      <w:r>
        <w:t xml:space="preserve"> </w:t>
      </w:r>
      <w:r>
        <w:rPr>
          <w:iCs/>
          <w:i/>
        </w:rPr>
        <w:t xml:space="preserve">Ruiju Myōgishō</w:t>
      </w:r>
      <w:r>
        <w:t xml:space="preserve">).</w:t>
      </w:r>
      <w:r>
        <w:t xml:space="preserve"> </w:t>
      </w:r>
      <w:r>
        <w:rPr>
          <w:iCs/>
          <w:i/>
        </w:rPr>
        <w:t xml:space="preserve">Shirayuri Joshi Daigaku Kenkyū Kiyō</w:t>
      </w:r>
      <w:r>
        <w:t xml:space="preserve"> </w:t>
      </w:r>
      <w:r>
        <w:t xml:space="preserve">18 (1982): 58–98.</w:t>
      </w:r>
    </w:p>
    <w:p>
      <w:pPr>
        <w:numPr>
          <w:ilvl w:val="0"/>
          <w:numId w:val="1243"/>
        </w:numPr>
        <w:pStyle w:val="Compact"/>
      </w:pPr>
      <w:r>
        <w:t xml:space="preserve">Mochizuki, Ikuko.</w:t>
      </w:r>
      <w:r>
        <w:t xml:space="preserve"> </w:t>
      </w:r>
      <w:r>
        <w:t xml:space="preserve">“</w:t>
      </w:r>
      <w:r>
        <w:t xml:space="preserve">Kanchi-in-bon</w:t>
      </w:r>
      <w:r>
        <w:t xml:space="preserve"> </w:t>
      </w:r>
      <w:r>
        <w:t xml:space="preserve">‘</w:t>
      </w:r>
      <w:r>
        <w:t xml:space="preserve">Ruiju Myōgishō</w:t>
      </w:r>
      <w:r>
        <w:t xml:space="preserve">’</w:t>
      </w:r>
      <w:r>
        <w:t xml:space="preserve"> </w:t>
      </w:r>
      <w:r>
        <w:t xml:space="preserve">no Seion-chū — Dōonji-chū ni Okeru Zushoryōbon to no Icchi o Chūshin ni</w:t>
      </w:r>
      <w:r>
        <w:t xml:space="preserve">”</w:t>
      </w:r>
      <w:r>
        <w:t xml:space="preserve"> </w:t>
      </w:r>
      <w:r>
        <w:t xml:space="preserve">(The</w:t>
      </w:r>
      <w:r>
        <w:t xml:space="preserve"> </w:t>
      </w:r>
      <w:r>
        <w:rPr>
          <w:iCs/>
          <w:i/>
        </w:rPr>
        <w:t xml:space="preserve">Sei-on</w:t>
      </w:r>
      <w:r>
        <w:t xml:space="preserve"> </w:t>
      </w:r>
      <w:r>
        <w:t xml:space="preserve">Notes of the Kanchi-in Manuscript</w:t>
      </w:r>
      <w:r>
        <w:t xml:space="preserve"> </w:t>
      </w:r>
      <w:r>
        <w:rPr>
          <w:iCs/>
          <w:i/>
        </w:rPr>
        <w:t xml:space="preserve">Ruiju Myōgishō</w:t>
      </w:r>
      <w:r>
        <w:t xml:space="preserve">: Focusing on Agreement with the Zushoryōbon in Homophone-Character Notes).</w:t>
      </w:r>
      <w:r>
        <w:t xml:space="preserve"> </w:t>
      </w:r>
      <w:r>
        <w:rPr>
          <w:iCs/>
          <w:i/>
        </w:rPr>
        <w:t xml:space="preserve">Jinbun Ronsō</w:t>
      </w:r>
      <w:r>
        <w:t xml:space="preserve"> </w:t>
      </w:r>
      <w:r>
        <w:t xml:space="preserve">41 (1990): 77–96.</w:t>
      </w:r>
    </w:p>
    <w:p>
      <w:pPr>
        <w:numPr>
          <w:ilvl w:val="0"/>
          <w:numId w:val="1243"/>
        </w:numPr>
        <w:pStyle w:val="Compact"/>
      </w:pPr>
      <w:r>
        <w:t xml:space="preserve">Numoto, Katsuaki.</w:t>
      </w:r>
      <w:r>
        <w:t xml:space="preserve"> </w:t>
      </w:r>
      <w:r>
        <w:t xml:space="preserve">“</w:t>
      </w:r>
      <w:r>
        <w:t xml:space="preserve">Ruiju Myōgishō ni Okeru Dakuon Jibo no Rekishiteki Ichi</w:t>
      </w:r>
      <w:r>
        <w:t xml:space="preserve">”</w:t>
      </w:r>
      <w:r>
        <w:t xml:space="preserve"> </w:t>
      </w:r>
      <w:r>
        <w:t xml:space="preserve">(The Historical Position of Voiced-Sound Graphemes in the</w:t>
      </w:r>
      <w:r>
        <w:t xml:space="preserve"> </w:t>
      </w:r>
      <w:r>
        <w:rPr>
          <w:iCs/>
          <w:i/>
        </w:rPr>
        <w:t xml:space="preserve">Ruiju Myōgishō</w:t>
      </w:r>
      <w:r>
        <w:t xml:space="preserve">).</w:t>
      </w:r>
      <w:r>
        <w:t xml:space="preserve"> </w:t>
      </w:r>
      <w:r>
        <w:rPr>
          <w:iCs/>
          <w:i/>
        </w:rPr>
        <w:t xml:space="preserve">Kokubungaku Kō</w:t>
      </w:r>
      <w:r>
        <w:t xml:space="preserve"> </w:t>
      </w:r>
      <w:r>
        <w:t xml:space="preserve">132/133 (1992): 10–22.</w:t>
      </w:r>
    </w:p>
    <w:p>
      <w:pPr>
        <w:numPr>
          <w:ilvl w:val="0"/>
          <w:numId w:val="1243"/>
        </w:numPr>
        <w:pStyle w:val="Compact"/>
      </w:pPr>
      <w:r>
        <w:t xml:space="preserve">Mochizuki, Ikuko.</w:t>
      </w:r>
      <w:r>
        <w:t xml:space="preserve"> </w:t>
      </w:r>
      <w:r>
        <w:t xml:space="preserve">“</w:t>
      </w:r>
      <w:r>
        <w:t xml:space="preserve">Kanchi-in-bon</w:t>
      </w:r>
      <w:r>
        <w:t xml:space="preserve"> </w:t>
      </w:r>
      <w:r>
        <w:t xml:space="preserve">‘</w:t>
      </w:r>
      <w:r>
        <w:t xml:space="preserve">Ruiju Myōgishō</w:t>
      </w:r>
      <w:r>
        <w:t xml:space="preserve">’</w:t>
      </w:r>
      <w:r>
        <w:t xml:space="preserve"> </w:t>
      </w:r>
      <w:r>
        <w:t xml:space="preserve">no Wa-on-chū Ichiran —</w:t>
      </w:r>
      <w:r>
        <w:t xml:space="preserve"> </w:t>
      </w:r>
      <w:r>
        <w:t xml:space="preserve">‘</w:t>
      </w:r>
      <w:r>
        <w:t xml:space="preserve">Inkyō</w:t>
      </w:r>
      <w:r>
        <w:t xml:space="preserve">’</w:t>
      </w:r>
      <w:r>
        <w:t xml:space="preserve"> </w:t>
      </w:r>
      <w:r>
        <w:t xml:space="preserve">ni Nottotte no Seiri no Kokoromi (1)</w:t>
      </w:r>
      <w:r>
        <w:t xml:space="preserve">”</w:t>
      </w:r>
      <w:r>
        <w:t xml:space="preserve"> </w:t>
      </w:r>
      <w:r>
        <w:t xml:space="preserve">(A List of</w:t>
      </w:r>
      <w:r>
        <w:t xml:space="preserve"> </w:t>
      </w:r>
      <w:r>
        <w:rPr>
          <w:iCs/>
          <w:i/>
        </w:rPr>
        <w:t xml:space="preserve">Wa-on</w:t>
      </w:r>
      <w:r>
        <w:t xml:space="preserve"> </w:t>
      </w:r>
      <w:r>
        <w:t xml:space="preserve">Notes in the Kanchi-in Manuscript</w:t>
      </w:r>
      <w:r>
        <w:t xml:space="preserve"> </w:t>
      </w:r>
      <w:r>
        <w:rPr>
          <w:iCs/>
          <w:i/>
        </w:rPr>
        <w:t xml:space="preserve">Ruiju Myōgishō</w:t>
      </w:r>
      <w:r>
        <w:t xml:space="preserve">: An Attempt at Organization Following the</w:t>
      </w:r>
      <w:r>
        <w:t xml:space="preserve"> </w:t>
      </w:r>
      <w:r>
        <w:rPr>
          <w:iCs/>
          <w:i/>
        </w:rPr>
        <w:t xml:space="preserve">Yunjing</w:t>
      </w:r>
      <w:r>
        <w:t xml:space="preserve">, Part 1).</w:t>
      </w:r>
      <w:r>
        <w:t xml:space="preserve"> </w:t>
      </w:r>
      <w:r>
        <w:rPr>
          <w:iCs/>
          <w:i/>
        </w:rPr>
        <w:t xml:space="preserve">Jinbun Ronsō</w:t>
      </w:r>
      <w:r>
        <w:t xml:space="preserve"> </w:t>
      </w:r>
      <w:r>
        <w:t xml:space="preserve">45, no. 1 (1994): 131–172.</w:t>
      </w:r>
    </w:p>
    <w:p>
      <w:pPr>
        <w:numPr>
          <w:ilvl w:val="0"/>
          <w:numId w:val="1243"/>
        </w:numPr>
        <w:pStyle w:val="Compact"/>
      </w:pPr>
      <w:r>
        <w:t xml:space="preserve">Mochizuki, Ikuko.</w:t>
      </w:r>
      <w:r>
        <w:t xml:space="preserve"> </w:t>
      </w:r>
      <w:r>
        <w:t xml:space="preserve">“</w:t>
      </w:r>
      <w:r>
        <w:t xml:space="preserve">Kanchi-in-bon</w:t>
      </w:r>
      <w:r>
        <w:t xml:space="preserve"> </w:t>
      </w:r>
      <w:r>
        <w:t xml:space="preserve">‘</w:t>
      </w:r>
      <w:r>
        <w:t xml:space="preserve">Ruiju Myōgishō</w:t>
      </w:r>
      <w:r>
        <w:t xml:space="preserve">’</w:t>
      </w:r>
      <w:r>
        <w:t xml:space="preserve"> </w:t>
      </w:r>
      <w:r>
        <w:t xml:space="preserve">no Wa-on-chū Ichiran (2) —</w:t>
      </w:r>
      <w:r>
        <w:t xml:space="preserve"> </w:t>
      </w:r>
      <w:r>
        <w:t xml:space="preserve">‘</w:t>
      </w:r>
      <w:r>
        <w:t xml:space="preserve">Inkyō</w:t>
      </w:r>
      <w:r>
        <w:t xml:space="preserve">’</w:t>
      </w:r>
      <w:r>
        <w:t xml:space="preserve"> </w:t>
      </w:r>
      <w:r>
        <w:t xml:space="preserve">ni Nottotte no Seiri no Kokoromi</w:t>
      </w:r>
      <w:r>
        <w:t xml:space="preserve">”</w:t>
      </w:r>
      <w:r>
        <w:t xml:space="preserve"> </w:t>
      </w:r>
      <w:r>
        <w:t xml:space="preserve">(A List of</w:t>
      </w:r>
      <w:r>
        <w:t xml:space="preserve"> </w:t>
      </w:r>
      <w:r>
        <w:rPr>
          <w:iCs/>
          <w:i/>
        </w:rPr>
        <w:t xml:space="preserve">Wa-on</w:t>
      </w:r>
      <w:r>
        <w:t xml:space="preserve"> </w:t>
      </w:r>
      <w:r>
        <w:t xml:space="preserve">Notes in the Kanchi-in Manuscript</w:t>
      </w:r>
      <w:r>
        <w:t xml:space="preserve"> </w:t>
      </w:r>
      <w:r>
        <w:rPr>
          <w:iCs/>
          <w:i/>
        </w:rPr>
        <w:t xml:space="preserve">Ruiju Myōgishō</w:t>
      </w:r>
      <w:r>
        <w:t xml:space="preserve">, Part 2: An Attempt at Organization Following the</w:t>
      </w:r>
      <w:r>
        <w:t xml:space="preserve"> </w:t>
      </w:r>
      <w:r>
        <w:rPr>
          <w:iCs/>
          <w:i/>
        </w:rPr>
        <w:t xml:space="preserve">Yunjing</w:t>
      </w:r>
      <w:r>
        <w:t xml:space="preserve">).</w:t>
      </w:r>
      <w:r>
        <w:t xml:space="preserve"> </w:t>
      </w:r>
      <w:r>
        <w:rPr>
          <w:iCs/>
          <w:i/>
        </w:rPr>
        <w:t xml:space="preserve">Jinbun Ronsō</w:t>
      </w:r>
      <w:r>
        <w:t xml:space="preserve"> </w:t>
      </w:r>
      <w:r>
        <w:t xml:space="preserve">45, no. 2 (1995): 87–122.</w:t>
      </w:r>
    </w:p>
    <w:p>
      <w:pPr>
        <w:numPr>
          <w:ilvl w:val="0"/>
          <w:numId w:val="1243"/>
        </w:numPr>
        <w:pStyle w:val="Compact"/>
      </w:pPr>
      <w:r>
        <w:t xml:space="preserve">Sasaki, Isamu.</w:t>
      </w:r>
      <w:r>
        <w:t xml:space="preserve"> </w:t>
      </w:r>
      <w:r>
        <w:t xml:space="preserve">“</w:t>
      </w:r>
      <w:r>
        <w:t xml:space="preserve">Kaihenbon</w:t>
      </w:r>
      <w:r>
        <w:t xml:space="preserve"> </w:t>
      </w:r>
      <w:r>
        <w:t xml:space="preserve">‘</w:t>
      </w:r>
      <w:r>
        <w:t xml:space="preserve">Ruiju Myōgishō</w:t>
      </w:r>
      <w:r>
        <w:t xml:space="preserve">’</w:t>
      </w:r>
      <w:r>
        <w:t xml:space="preserve"> </w:t>
      </w:r>
      <w:r>
        <w:t xml:space="preserve">to Sankanbon</w:t>
      </w:r>
      <w:r>
        <w:t xml:space="preserve"> </w:t>
      </w:r>
      <w:r>
        <w:t xml:space="preserve">‘</w:t>
      </w:r>
      <w:r>
        <w:t xml:space="preserve">Iroha Jiruishō</w:t>
      </w:r>
      <w:r>
        <w:t xml:space="preserve">’</w:t>
      </w:r>
      <w:r>
        <w:t xml:space="preserve"> </w:t>
      </w:r>
      <w:r>
        <w:t xml:space="preserve">no Kan-on</w:t>
      </w:r>
      <w:r>
        <w:t xml:space="preserve">”</w:t>
      </w:r>
      <w:r>
        <w:t xml:space="preserve"> </w:t>
      </w:r>
      <w:r>
        <w:t xml:space="preserve">(The</w:t>
      </w:r>
      <w:r>
        <w:t xml:space="preserve"> </w:t>
      </w:r>
      <w:r>
        <w:rPr>
          <w:iCs/>
          <w:i/>
        </w:rPr>
        <w:t xml:space="preserve">Kan-on</w:t>
      </w:r>
      <w:r>
        <w:t xml:space="preserve"> </w:t>
      </w:r>
      <w:r>
        <w:t xml:space="preserve">Readings of the Revised-Compilation</w:t>
      </w:r>
      <w:r>
        <w:t xml:space="preserve"> </w:t>
      </w:r>
      <w:r>
        <w:rPr>
          <w:iCs/>
          <w:i/>
        </w:rPr>
        <w:t xml:space="preserve">Ruiju Myōgishō</w:t>
      </w:r>
      <w:r>
        <w:t xml:space="preserve"> </w:t>
      </w:r>
      <w:r>
        <w:t xml:space="preserve">and the Three-Fascicle</w:t>
      </w:r>
      <w:r>
        <w:t xml:space="preserve"> </w:t>
      </w:r>
      <w:r>
        <w:rPr>
          <w:iCs/>
          <w:i/>
        </w:rPr>
        <w:t xml:space="preserve">Iroha Jiruishō</w:t>
      </w:r>
      <w:r>
        <w:t xml:space="preserve">).</w:t>
      </w:r>
      <w:r>
        <w:t xml:space="preserve"> </w:t>
      </w:r>
      <w:r>
        <w:rPr>
          <w:iCs/>
          <w:i/>
        </w:rPr>
        <w:t xml:space="preserve">Kuntengo to Kunten Shiryō</w:t>
      </w:r>
      <w:r>
        <w:t xml:space="preserve"> </w:t>
      </w:r>
      <w:r>
        <w:t xml:space="preserve">116 (2006): 29–51.</w:t>
      </w:r>
    </w:p>
    <w:p>
      <w:pPr>
        <w:numPr>
          <w:ilvl w:val="0"/>
          <w:numId w:val="1243"/>
        </w:numPr>
        <w:pStyle w:val="Compact"/>
      </w:pPr>
      <w:r>
        <w:t xml:space="preserve">Hizume, Shūji.</w:t>
      </w:r>
      <w:r>
        <w:t xml:space="preserve"> </w:t>
      </w:r>
      <w:r>
        <w:t xml:space="preserve">“</w:t>
      </w:r>
      <w:r>
        <w:t xml:space="preserve">Dakuon Hyōji, Kōnai Bion In’bi Hyōji no Sōkan — Kanchi-in-bon Ruiju Myōgishō o Chūshin ni</w:t>
      </w:r>
      <w:r>
        <w:t xml:space="preserve">”</w:t>
      </w:r>
      <w:r>
        <w:t xml:space="preserve"> </w:t>
      </w:r>
      <w:r>
        <w:t xml:space="preserve">(The Correlation Between Voiced-Sound Notation and Velar Nasal Coda Notation: Focusing on the Kanchi-in Manuscript</w:t>
      </w:r>
      <w:r>
        <w:t xml:space="preserve"> </w:t>
      </w:r>
      <w:r>
        <w:rPr>
          <w:iCs/>
          <w:i/>
        </w:rPr>
        <w:t xml:space="preserve">Ruiju Myōgishō</w:t>
      </w:r>
      <w:r>
        <w:t xml:space="preserve">).</w:t>
      </w:r>
      <w:r>
        <w:t xml:space="preserve"> </w:t>
      </w:r>
      <w:r>
        <w:rPr>
          <w:iCs/>
          <w:i/>
        </w:rPr>
        <w:t xml:space="preserve">Kuntengo to Kunten Shiryō</w:t>
      </w:r>
      <w:r>
        <w:t xml:space="preserve"> </w:t>
      </w:r>
      <w:r>
        <w:t xml:space="preserve">116 (2006): 52–70.</w:t>
      </w:r>
    </w:p>
    <w:p>
      <w:pPr>
        <w:numPr>
          <w:ilvl w:val="0"/>
          <w:numId w:val="1243"/>
        </w:numPr>
        <w:pStyle w:val="Compact"/>
      </w:pPr>
      <w:r>
        <w:t xml:space="preserve">Sasaki, Isamu.</w:t>
      </w:r>
      <w:r>
        <w:t xml:space="preserve"> </w:t>
      </w:r>
      <w:r>
        <w:t xml:space="preserve">“</w:t>
      </w:r>
      <w:r>
        <w:t xml:space="preserve">Zushoryōbon</w:t>
      </w:r>
      <w:r>
        <w:t xml:space="preserve"> </w:t>
      </w:r>
      <w:r>
        <w:t xml:space="preserve">‘</w:t>
      </w:r>
      <w:r>
        <w:t xml:space="preserve">Ruiju Myōgishō</w:t>
      </w:r>
      <w:r>
        <w:t xml:space="preserve">’</w:t>
      </w:r>
      <w:r>
        <w:t xml:space="preserve"> </w:t>
      </w:r>
      <w:r>
        <w:t xml:space="preserve">Insei-ki Ten ni Okeru Kan-on Seichō</w:t>
      </w:r>
      <w:r>
        <w:t xml:space="preserve">”</w:t>
      </w:r>
      <w:r>
        <w:t xml:space="preserve"> </w:t>
      </w:r>
      <w:r>
        <w:t xml:space="preserve">(The Tonal Values of</w:t>
      </w:r>
      <w:r>
        <w:t xml:space="preserve"> </w:t>
      </w:r>
      <w:r>
        <w:rPr>
          <w:iCs/>
          <w:i/>
        </w:rPr>
        <w:t xml:space="preserve">Kan-on</w:t>
      </w:r>
      <w:r>
        <w:t xml:space="preserve"> </w:t>
      </w:r>
      <w:r>
        <w:t xml:space="preserve">Readings in the Insei-Period Glosses of the Zushoryōbon</w:t>
      </w:r>
      <w:r>
        <w:t xml:space="preserve"> </w:t>
      </w:r>
      <w:r>
        <w:rPr>
          <w:iCs/>
          <w:i/>
        </w:rPr>
        <w:t xml:space="preserve">Ruiju Myōgishō</w:t>
      </w:r>
      <w:r>
        <w:t xml:space="preserve">).</w:t>
      </w:r>
      <w:r>
        <w:t xml:space="preserve"> </w:t>
      </w:r>
      <w:r>
        <w:rPr>
          <w:iCs/>
          <w:i/>
        </w:rPr>
        <w:t xml:space="preserve">Kokugo Kokubun</w:t>
      </w:r>
      <w:r>
        <w:t xml:space="preserve"> </w:t>
      </w:r>
      <w:r>
        <w:t xml:space="preserve">75, no. 4 (2006): 12–29.</w:t>
      </w:r>
    </w:p>
    <w:p>
      <w:pPr>
        <w:numPr>
          <w:ilvl w:val="0"/>
          <w:numId w:val="1243"/>
        </w:numPr>
        <w:pStyle w:val="Compact"/>
      </w:pPr>
      <w:r>
        <w:t xml:space="preserve">Suzuki, Yūya.</w:t>
      </w:r>
      <w:r>
        <w:t xml:space="preserve"> </w:t>
      </w:r>
      <w:r>
        <w:t xml:space="preserve">“</w:t>
      </w:r>
      <w:r>
        <w:t xml:space="preserve">Kaihenbon</w:t>
      </w:r>
      <w:r>
        <w:t xml:space="preserve"> </w:t>
      </w:r>
      <w:r>
        <w:t xml:space="preserve">‘</w:t>
      </w:r>
      <w:r>
        <w:t xml:space="preserve">Ruiju Myōgishō</w:t>
      </w:r>
      <w:r>
        <w:t xml:space="preserve">’</w:t>
      </w:r>
      <w:r>
        <w:t xml:space="preserve"> </w:t>
      </w:r>
      <w:r>
        <w:t xml:space="preserve">ni Okeru Wa-on-chū no Keishō to Zōho ni Tsuite</w:t>
      </w:r>
      <w:r>
        <w:t xml:space="preserve">”</w:t>
      </w:r>
      <w:r>
        <w:t xml:space="preserve"> </w:t>
      </w:r>
      <w:r>
        <w:t xml:space="preserve">(On the Inheritance and Augmentation of</w:t>
      </w:r>
      <w:r>
        <w:t xml:space="preserve"> </w:t>
      </w:r>
      <w:r>
        <w:rPr>
          <w:iCs/>
          <w:i/>
        </w:rPr>
        <w:t xml:space="preserve">Wa-on</w:t>
      </w:r>
      <w:r>
        <w:t xml:space="preserve"> </w:t>
      </w:r>
      <w:r>
        <w:t xml:space="preserve">Notes in the Revised-Compilation</w:t>
      </w:r>
      <w:r>
        <w:t xml:space="preserve"> </w:t>
      </w:r>
      <w:r>
        <w:rPr>
          <w:iCs/>
          <w:i/>
        </w:rPr>
        <w:t xml:space="preserve">Ruiju Myōgishō</w:t>
      </w:r>
      <w:r>
        <w:t xml:space="preserve">).</w:t>
      </w:r>
      <w:r>
        <w:t xml:space="preserve"> </w:t>
      </w:r>
      <w:r>
        <w:rPr>
          <w:iCs/>
          <w:i/>
        </w:rPr>
        <w:t xml:space="preserve">Kuntengo to Kunten Shiryō</w:t>
      </w:r>
      <w:r>
        <w:t xml:space="preserve"> </w:t>
      </w:r>
      <w:r>
        <w:t xml:space="preserve">144 (2020): 82–104.</w:t>
      </w:r>
    </w:p>
    <w:p>
      <w:pPr>
        <w:numPr>
          <w:ilvl w:val="0"/>
          <w:numId w:val="1243"/>
        </w:numPr>
        <w:pStyle w:val="Compact"/>
      </w:pPr>
      <w:r>
        <w:t xml:space="preserve">Suzuki, Yūya.</w:t>
      </w:r>
      <w:r>
        <w:t xml:space="preserve"> </w:t>
      </w:r>
      <w:r>
        <w:t xml:space="preserve">“</w:t>
      </w:r>
      <w:r>
        <w:t xml:space="preserve">Kaihenbon</w:t>
      </w:r>
      <w:r>
        <w:t xml:space="preserve"> </w:t>
      </w:r>
      <w:r>
        <w:t xml:space="preserve">‘</w:t>
      </w:r>
      <w:r>
        <w:t xml:space="preserve">Ruiju Myōgishō</w:t>
      </w:r>
      <w:r>
        <w:t xml:space="preserve">’</w:t>
      </w:r>
      <w:r>
        <w:t xml:space="preserve"> </w:t>
      </w:r>
      <w:r>
        <w:t xml:space="preserve">no Go-on-chū to Kyōtsū Sohon ni Tsuite</w:t>
      </w:r>
      <w:r>
        <w:t xml:space="preserve">”</w:t>
      </w:r>
      <w:r>
        <w:t xml:space="preserve"> </w:t>
      </w:r>
      <w:r>
        <w:t xml:space="preserve">(On the</w:t>
      </w:r>
      <w:r>
        <w:t xml:space="preserve"> </w:t>
      </w:r>
      <w:r>
        <w:rPr>
          <w:iCs/>
          <w:i/>
        </w:rPr>
        <w:t xml:space="preserve">Go-on</w:t>
      </w:r>
      <w:r>
        <w:t xml:space="preserve"> </w:t>
      </w:r>
      <w:r>
        <w:t xml:space="preserve">Notes of the Revised-Compilation</w:t>
      </w:r>
      <w:r>
        <w:t xml:space="preserve"> </w:t>
      </w:r>
      <w:r>
        <w:rPr>
          <w:iCs/>
          <w:i/>
        </w:rPr>
        <w:t xml:space="preserve">Ruiju Myōgishō</w:t>
      </w:r>
      <w:r>
        <w:t xml:space="preserve"> </w:t>
      </w:r>
      <w:r>
        <w:t xml:space="preserve">and Their Common Ancestral Text).</w:t>
      </w:r>
      <w:r>
        <w:t xml:space="preserve"> </w:t>
      </w:r>
      <w:r>
        <w:rPr>
          <w:iCs/>
          <w:i/>
        </w:rPr>
        <w:t xml:space="preserve">Kokugo Kokubun</w:t>
      </w:r>
      <w:r>
        <w:t xml:space="preserve"> </w:t>
      </w:r>
      <w:r>
        <w:t xml:space="preserve">90, no. 2 (2021): 27–57.</w:t>
      </w:r>
    </w:p>
    <w:bookmarkEnd w:id="640"/>
    <w:bookmarkEnd w:id="641"/>
    <w:bookmarkEnd w:id="642"/>
    <w:bookmarkStart w:id="656" w:name="X4587aac30844b2f001662634dc50d8944af7dc0"/>
    <w:bookmarkStart w:id="655" w:name="X83c50a798dd486306fe736416d9c2cba8636af6"/>
    <w:p>
      <w:pPr>
        <w:pStyle w:val="Heading1"/>
      </w:pPr>
      <w:r>
        <w:rPr>
          <w:rStyle w:val="SectionNumber"/>
        </w:rPr>
        <w:t xml:space="preserve">24</w:t>
      </w:r>
      <w:r>
        <w:tab/>
      </w:r>
      <w:r>
        <w:t xml:space="preserve">Types and Quantities of Semantic Glosses in Chinese</w:t>
      </w:r>
    </w:p>
    <w:p>
      <w:pPr>
        <w:pStyle w:val="FirstParagraph"/>
      </w:pPr>
      <w:r>
        <w:t xml:space="preserve">A</w:t>
      </w:r>
      <w:r>
        <w:t xml:space="preserve"> </w:t>
      </w:r>
      <w:r>
        <w:rPr>
          <w:rStyle w:val="VerbatimChar"/>
          <w:bCs/>
          <w:b/>
        </w:rPr>
        <w:t xml:space="preserve">Semantic Gloss in Chinese</w:t>
      </w:r>
      <w:r>
        <w:t xml:space="preserve"> </w:t>
      </w:r>
      <w:r>
        <w:t xml:space="preserve">(義注,</w:t>
      </w:r>
      <w:r>
        <w:t xml:space="preserve"> </w:t>
      </w:r>
      <w:r>
        <w:rPr>
          <w:iCs/>
          <w:i/>
        </w:rPr>
        <w:t xml:space="preserve">gichū</w:t>
      </w:r>
      <w:r>
        <w:t xml:space="preserve">) is an annotation of meaning that uses Chinese characters. It is also called a</w:t>
      </w:r>
      <w:r>
        <w:t xml:space="preserve"> </w:t>
      </w:r>
      <w:r>
        <w:rPr>
          <w:rStyle w:val="VerbatimChar"/>
          <w:bCs/>
          <w:b/>
        </w:rPr>
        <w:t xml:space="preserve">Semantic Gloss in Chinese</w:t>
      </w:r>
      <w:r>
        <w:t xml:space="preserve"> </w:t>
      </w:r>
      <w:r>
        <w:t xml:space="preserve">in literary Chinese (漢文義注,</w:t>
      </w:r>
      <w:r>
        <w:t xml:space="preserve"> </w:t>
      </w:r>
      <w:r>
        <w:rPr>
          <w:iCs/>
          <w:i/>
        </w:rPr>
        <w:t xml:space="preserve">kanbun gichū</w:t>
      </w:r>
      <w:r>
        <w:t xml:space="preserve">).</w:t>
      </w:r>
    </w:p>
    <w:bookmarkStart w:id="646" w:name="Xb6cd4bbffec5e7a868739e274770a4be80d5d2b"/>
    <w:p>
      <w:pPr>
        <w:pStyle w:val="Heading2"/>
      </w:pPr>
      <w:r>
        <w:rPr>
          <w:rStyle w:val="SectionNumber"/>
        </w:rPr>
        <w:t xml:space="preserve">24.1</w:t>
      </w:r>
      <w:r>
        <w:tab/>
      </w:r>
      <w:r>
        <w:t xml:space="preserve">Character Count of Semantic Glosses in Chinese</w:t>
      </w:r>
    </w:p>
    <w:p>
      <w:pPr>
        <w:pStyle w:val="FirstParagraph"/>
      </w:pPr>
      <w:r>
        <w:t xml:space="preserve">The Kanchi-in manuscript of the</w:t>
      </w:r>
      <w:r>
        <w:t xml:space="preserve"> </w:t>
      </w:r>
      <w:r>
        <w:rPr>
          <w:iCs/>
          <w:i/>
        </w:rPr>
        <w:t xml:space="preserve">Ruiju Myōgishō</w:t>
      </w:r>
      <w:r>
        <w:t xml:space="preserve"> </w:t>
      </w:r>
      <w:r>
        <w:t xml:space="preserve">contains approximately 12,600</w:t>
      </w:r>
      <w:r>
        <w:t xml:space="preserve"> </w:t>
      </w:r>
      <w:r>
        <w:rPr>
          <w:rStyle w:val="VerbatimChar"/>
          <w:bCs/>
          <w:b/>
        </w:rPr>
        <w:t xml:space="preserve">Semantic Glosses in Chinese</w:t>
      </w:r>
      <w:r>
        <w:t xml:space="preserve">. Classifying these by the number of Chinese characters used in each gloss yields the following.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No. of Characters</w:t>
            </w:r>
          </w:p>
        </w:tc>
        <w:tc>
          <w:tcPr/>
          <w:p>
            <w:pPr>
              <w:pStyle w:val="Compact"/>
              <w:jc w:val="right"/>
            </w:pPr>
            <w:r>
              <w:t xml:space="preserve">No. of Examples</w:t>
            </w:r>
          </w:p>
        </w:tc>
      </w:tr>
      <w:tr>
        <w:tc>
          <w:tcPr/>
          <w:p>
            <w:pPr>
              <w:pStyle w:val="Compact"/>
              <w:jc w:val="left"/>
            </w:pPr>
            <w:r>
              <w:t xml:space="preserve">1</w:t>
            </w:r>
          </w:p>
        </w:tc>
        <w:tc>
          <w:tcPr/>
          <w:p>
            <w:pPr>
              <w:pStyle w:val="Compact"/>
              <w:jc w:val="right"/>
            </w:pPr>
            <w:r>
              <w:t xml:space="preserve">approx. 2,300</w:t>
            </w:r>
          </w:p>
        </w:tc>
      </w:tr>
      <w:tr>
        <w:tc>
          <w:tcPr/>
          <w:p>
            <w:pPr>
              <w:pStyle w:val="Compact"/>
              <w:jc w:val="left"/>
            </w:pPr>
            <w:r>
              <w:t xml:space="preserve">2</w:t>
            </w:r>
          </w:p>
        </w:tc>
        <w:tc>
          <w:tcPr/>
          <w:p>
            <w:pPr>
              <w:pStyle w:val="Compact"/>
              <w:jc w:val="right"/>
            </w:pPr>
            <w:r>
              <w:t xml:space="preserve">approx. 6,100</w:t>
            </w:r>
          </w:p>
        </w:tc>
      </w:tr>
      <w:tr>
        <w:tc>
          <w:tcPr/>
          <w:p>
            <w:pPr>
              <w:pStyle w:val="Compact"/>
              <w:jc w:val="left"/>
            </w:pPr>
            <w:r>
              <w:t xml:space="preserve">3</w:t>
            </w:r>
          </w:p>
        </w:tc>
        <w:tc>
          <w:tcPr/>
          <w:p>
            <w:pPr>
              <w:pStyle w:val="Compact"/>
              <w:jc w:val="right"/>
            </w:pPr>
            <w:r>
              <w:t xml:space="preserve">approx. 2,100</w:t>
            </w:r>
          </w:p>
        </w:tc>
      </w:tr>
      <w:tr>
        <w:tc>
          <w:tcPr/>
          <w:p>
            <w:pPr>
              <w:pStyle w:val="Compact"/>
              <w:jc w:val="left"/>
            </w:pPr>
            <w:r>
              <w:t xml:space="preserve">4</w:t>
            </w:r>
          </w:p>
        </w:tc>
        <w:tc>
          <w:tcPr/>
          <w:p>
            <w:pPr>
              <w:pStyle w:val="Compact"/>
              <w:jc w:val="right"/>
            </w:pPr>
            <w:r>
              <w:t xml:space="preserve">approx. 1,100</w:t>
            </w:r>
          </w:p>
        </w:tc>
      </w:tr>
      <w:tr>
        <w:tc>
          <w:tcPr/>
          <w:p>
            <w:pPr>
              <w:pStyle w:val="Compact"/>
              <w:jc w:val="left"/>
            </w:pPr>
            <w:r>
              <w:t xml:space="preserve">5</w:t>
            </w:r>
          </w:p>
        </w:tc>
        <w:tc>
          <w:tcPr/>
          <w:p>
            <w:pPr>
              <w:pStyle w:val="Compact"/>
              <w:jc w:val="right"/>
            </w:pPr>
            <w:r>
              <w:t xml:space="preserve">approx. 500</w:t>
            </w:r>
          </w:p>
        </w:tc>
      </w:tr>
      <w:tr>
        <w:tc>
          <w:tcPr/>
          <w:p>
            <w:pPr>
              <w:pStyle w:val="Compact"/>
              <w:jc w:val="left"/>
            </w:pPr>
            <w:r>
              <w:t xml:space="preserve">6+</w:t>
            </w:r>
          </w:p>
        </w:tc>
        <w:tc>
          <w:tcPr/>
          <w:p>
            <w:pPr>
              <w:pStyle w:val="Compact"/>
              <w:jc w:val="right"/>
            </w:pPr>
            <w:r>
              <w:t xml:space="preserve">approx. 500</w:t>
            </w:r>
          </w:p>
        </w:tc>
      </w:tr>
      <w:tr>
        <w:tc>
          <w:tcPr/>
          <w:p>
            <w:pPr>
              <w:pStyle w:val="Compact"/>
              <w:jc w:val="left"/>
            </w:pPr>
            <w:r>
              <w:t xml:space="preserve">Total</w:t>
            </w:r>
          </w:p>
        </w:tc>
        <w:tc>
          <w:tcPr/>
          <w:p>
            <w:pPr>
              <w:pStyle w:val="Compact"/>
              <w:jc w:val="right"/>
            </w:pPr>
            <w:r>
              <w:t xml:space="preserve">approx. 12,600</w:t>
            </w:r>
          </w:p>
        </w:tc>
      </w:tr>
    </w:tbl>
    <w:p>
      <w:pPr>
        <w:pStyle w:val="BodyText"/>
      </w:pPr>
      <w:r>
        <w:t xml:space="preserve">According to this, glosses of two characters are the most numerous, at approximately 6,100 — nearly half of the approximately 12,600 total</w:t>
      </w:r>
      <w:r>
        <w:t xml:space="preserve"> </w:t>
      </w:r>
      <w:r>
        <w:rPr>
          <w:rStyle w:val="VerbatimChar"/>
          <w:bCs/>
          <w:b/>
        </w:rPr>
        <w:t xml:space="preserve">Semantic Glosses in Chinese</w:t>
      </w:r>
      <w:r>
        <w:t xml:space="preserve">.</w:t>
      </w:r>
    </w:p>
    <w:bookmarkStart w:id="643" w:name="X66cbc1848718baaa47e073b72f3f16238b297e8"/>
    <w:p>
      <w:pPr>
        <w:pStyle w:val="Heading3"/>
      </w:pPr>
      <w:r>
        <w:rPr>
          <w:rStyle w:val="SectionNumber"/>
        </w:rPr>
        <w:t xml:space="preserve">24.1.1</w:t>
      </w:r>
      <w:r>
        <w:tab/>
      </w:r>
      <w:r>
        <w:t xml:space="preserve">One-Character Semantic Glosses in Chinese</w:t>
      </w:r>
    </w:p>
    <w:p>
      <w:pPr>
        <w:pStyle w:val="FirstParagraph"/>
      </w:pPr>
      <w:r>
        <w:t xml:space="preserve">A one-character</w:t>
      </w:r>
      <w:r>
        <w:t xml:space="preserve"> </w:t>
      </w:r>
      <w:r>
        <w:rPr>
          <w:rStyle w:val="VerbatimChar"/>
          <w:bCs/>
          <w:b/>
        </w:rPr>
        <w:t xml:space="preserve">Semantic Gloss in Chinese</w:t>
      </w:r>
      <w:r>
        <w:t xml:space="preserve"> </w:t>
      </w:r>
      <w:r>
        <w:t xml:space="preserve">is a gloss in which the</w:t>
      </w:r>
      <w:r>
        <w:t xml:space="preserve"> </w:t>
      </w:r>
      <w:r>
        <w:t xml:space="preserve">‘</w:t>
      </w:r>
      <w:r>
        <w:t xml:space="preserve">也</w:t>
      </w:r>
      <w:r>
        <w:t xml:space="preserve">’</w:t>
      </w:r>
      <w:r>
        <w:t xml:space="preserve"> </w:t>
      </w:r>
      <w:r>
        <w:t xml:space="preserve">of the pattern</w:t>
      </w:r>
      <w:r>
        <w:t xml:space="preserve"> </w:t>
      </w:r>
      <w:r>
        <w:t xml:space="preserve">‘</w:t>
      </w:r>
      <w:r>
        <w:t xml:space="preserve">C也</w:t>
      </w:r>
      <w:r>
        <w:t xml:space="preserve">’</w:t>
      </w:r>
      <w:r>
        <w:t xml:space="preserve"> </w:t>
      </w:r>
      <w:r>
        <w:t xml:space="preserve">has been omitted. When a single</w:t>
      </w:r>
      <w:r>
        <w:t xml:space="preserve"> </w:t>
      </w:r>
      <w:r>
        <w:rPr>
          <w:rStyle w:val="VerbatimChar"/>
          <w:bCs/>
          <w:b/>
        </w:rPr>
        <w:t xml:space="preserve">Semantic Gloss in Chinese</w:t>
      </w:r>
      <w:r>
        <w:t xml:space="preserve"> </w:t>
      </w:r>
      <w:r>
        <w:t xml:space="preserve">follows a</w:t>
      </w:r>
      <w:r>
        <w:t xml:space="preserve"> </w:t>
      </w:r>
      <w:r>
        <w:rPr>
          <w:rStyle w:val="VerbatimChar"/>
          <w:bCs/>
          <w:b/>
        </w:rPr>
        <w:t xml:space="preserve">Phonetic Gloss</w:t>
      </w:r>
      <w:r>
        <w:t xml:space="preserve">, and there is no risk of confusion with a</w:t>
      </w:r>
      <w:r>
        <w:t xml:space="preserve"> </w:t>
      </w:r>
      <w:r>
        <w:rPr>
          <w:rStyle w:val="VerbatimChar"/>
          <w:bCs/>
          <w:b/>
        </w:rPr>
        <w:t xml:space="preserve">Note on Character Form</w:t>
      </w:r>
      <w:r>
        <w:t xml:space="preserve"> </w:t>
      </w:r>
      <w:r>
        <w:t xml:space="preserve">or</w:t>
      </w:r>
      <w:r>
        <w:t xml:space="preserve"> </w:t>
      </w:r>
      <w:r>
        <w:rPr>
          <w:rStyle w:val="VerbatimChar"/>
          <w:bCs/>
          <w:b/>
        </w:rPr>
        <w:t xml:space="preserve">Phonetic Gloss</w:t>
      </w:r>
      <w:r>
        <w:t xml:space="preserve">, the</w:t>
      </w:r>
      <w:r>
        <w:t xml:space="preserve"> </w:t>
      </w:r>
      <w:r>
        <w:t xml:space="preserve">‘</w:t>
      </w:r>
      <w:r>
        <w:t xml:space="preserve">也</w:t>
      </w:r>
      <w:r>
        <w:t xml:space="preserve">’</w:t>
      </w:r>
      <w:r>
        <w:t xml:space="preserve"> </w:t>
      </w:r>
      <w:r>
        <w:t xml:space="preserve">is often omitted. In the pattern</w:t>
      </w:r>
      <w:r>
        <w:t xml:space="preserve"> </w:t>
      </w:r>
      <w:r>
        <w:t xml:space="preserve">‘</w:t>
      </w:r>
      <w:r>
        <w:t xml:space="preserve">C也</w:t>
      </w:r>
      <w:r>
        <w:t xml:space="preserve">’</w:t>
      </w:r>
      <w:r>
        <w:t xml:space="preserve">,</w:t>
      </w:r>
      <w:r>
        <w:t xml:space="preserve"> </w:t>
      </w:r>
      <w:r>
        <w:rPr>
          <w:rStyle w:val="VerbatimChar"/>
          <w:bCs/>
          <w:b/>
        </w:rPr>
        <w:t xml:space="preserve">Headword</w:t>
      </w:r>
      <w:r>
        <w:t xml:space="preserve"> </w:t>
      </w:r>
      <w:r>
        <w:t xml:space="preserve">A is glossed by Chinese character C using the form</w:t>
      </w:r>
      <w:r>
        <w:t xml:space="preserve"> </w:t>
      </w:r>
      <w:r>
        <w:t xml:space="preserve">‘</w:t>
      </w:r>
      <w:r>
        <w:t xml:space="preserve">C也</w:t>
      </w:r>
      <w:r>
        <w:t xml:space="preserve">’</w:t>
      </w:r>
      <w:r>
        <w:t xml:space="preserve">; in this case, A and C are shown to be synonymous.</w:t>
      </w:r>
    </w:p>
    <w:p>
      <w:pPr>
        <w:pStyle w:val="BodyText"/>
      </w:pPr>
      <w:r>
        <w:rPr>
          <w:bCs/>
          <w:b/>
        </w:rPr>
        <w:t xml:space="preserve">Examples</w:t>
      </w:r>
      <w:r>
        <w:t xml:space="preserve"> </w:t>
      </w:r>
      <w:r>
        <w:t xml:space="preserve">1.</w:t>
      </w:r>
      <w:r>
        <w:t xml:space="preserve"> </w:t>
      </w:r>
      <w:r>
        <w:rPr>
          <w:rStyle w:val="VerbatimChar"/>
        </w:rPr>
        <w:t xml:space="preserve">hanzi_entry</w:t>
      </w:r>
      <w:r>
        <w:t xml:space="preserve">: 迀,</w:t>
      </w:r>
      <w:r>
        <w:t xml:space="preserve"> </w:t>
      </w:r>
      <w:r>
        <w:rPr>
          <w:rStyle w:val="VerbatimChar"/>
        </w:rPr>
        <w:t xml:space="preserve">definition</w:t>
      </w:r>
      <w:r>
        <w:t xml:space="preserve">: 進</w:t>
      </w:r>
      <w:r>
        <w:t xml:space="preserve"> </w:t>
      </w:r>
      <w:r>
        <w:t xml:space="preserve">2.</w:t>
      </w:r>
      <w:r>
        <w:t xml:space="preserve"> </w:t>
      </w:r>
      <w:r>
        <w:rPr>
          <w:rStyle w:val="VerbatimChar"/>
        </w:rPr>
        <w:t xml:space="preserve">hanzi_entry</w:t>
      </w:r>
      <w:r>
        <w:t xml:space="preserve">: 丕,</w:t>
      </w:r>
      <w:r>
        <w:t xml:space="preserve"> </w:t>
      </w:r>
      <w:r>
        <w:rPr>
          <w:rStyle w:val="VerbatimChar"/>
        </w:rPr>
        <w:t xml:space="preserve">definition</w:t>
      </w:r>
      <w:r>
        <w:t xml:space="preserve">: 多</w:t>
      </w:r>
    </w:p>
    <w:p>
      <w:pPr>
        <w:pStyle w:val="BodyText"/>
      </w:pPr>
      <w:r>
        <w:t xml:space="preserve">For No. 1,</w:t>
      </w:r>
      <w:r>
        <w:t xml:space="preserve"> </w:t>
      </w:r>
      <w:r>
        <w:t xml:space="preserve">‘</w:t>
      </w:r>
      <w:r>
        <w:t xml:space="preserve">迀</w:t>
      </w:r>
      <w:r>
        <w:t xml:space="preserve">’</w:t>
      </w:r>
      <w:r>
        <w:t xml:space="preserve">, the</w:t>
      </w:r>
      <w:r>
        <w:t xml:space="preserve"> </w:t>
      </w:r>
      <w:r>
        <w:rPr>
          <w:iCs/>
          <w:i/>
        </w:rPr>
        <w:t xml:space="preserve">Shuowen Jiezi</w:t>
      </w:r>
      <w:r>
        <w:t xml:space="preserve"> </w:t>
      </w:r>
      <w:r>
        <w:t xml:space="preserve">gives</w:t>
      </w:r>
      <w:r>
        <w:t xml:space="preserve"> </w:t>
      </w:r>
      <w:r>
        <w:t xml:space="preserve">‘</w:t>
      </w:r>
      <w:r>
        <w:t xml:space="preserve">進也</w:t>
      </w:r>
      <w:r>
        <w:t xml:space="preserve">’</w:t>
      </w:r>
      <w:r>
        <w:t xml:space="preserve"> </w:t>
      </w:r>
      <w:r>
        <w:t xml:space="preserve">(to advance), and the</w:t>
      </w:r>
      <w:r>
        <w:t xml:space="preserve"> </w:t>
      </w:r>
      <w:r>
        <w:rPr>
          <w:iCs/>
          <w:i/>
        </w:rPr>
        <w:t xml:space="preserve">Guangyun</w:t>
      </w:r>
      <w:r>
        <w:t xml:space="preserve"> </w:t>
      </w:r>
      <w:r>
        <w:t xml:space="preserve">and the Song edition of the</w:t>
      </w:r>
      <w:r>
        <w:t xml:space="preserve"> </w:t>
      </w:r>
      <w:r>
        <w:rPr>
          <w:iCs/>
          <w:i/>
        </w:rPr>
        <w:t xml:space="preserve">Yupian</w:t>
      </w:r>
      <w:r>
        <w:t xml:space="preserve"> </w:t>
      </w:r>
      <w:r>
        <w:t xml:space="preserve">agree.</w:t>
      </w:r>
      <w:r>
        <w:t xml:space="preserve"> </w:t>
      </w:r>
      <w:r>
        <w:t xml:space="preserve">‘</w:t>
      </w:r>
      <w:r>
        <w:t xml:space="preserve">迀</w:t>
      </w:r>
      <w:r>
        <w:t xml:space="preserve">’</w:t>
      </w:r>
      <w:r>
        <w:t xml:space="preserve"> </w:t>
      </w:r>
      <w:r>
        <w:t xml:space="preserve">does not appear in the</w:t>
      </w:r>
      <w:r>
        <w:t xml:space="preserve"> </w:t>
      </w:r>
      <w:r>
        <w:rPr>
          <w:iCs/>
          <w:i/>
        </w:rPr>
        <w:t xml:space="preserve">Banshō Meigi</w:t>
      </w:r>
      <w:r>
        <w:t xml:space="preserve">, but</w:t>
      </w:r>
      <w:r>
        <w:t xml:space="preserve"> </w:t>
      </w:r>
      <w:r>
        <w:t xml:space="preserve">‘</w:t>
      </w:r>
      <w:r>
        <w:t xml:space="preserve">迁</w:t>
      </w:r>
      <w:r>
        <w:t xml:space="preserve">’</w:t>
      </w:r>
      <w:r>
        <w:t xml:space="preserve"> </w:t>
      </w:r>
      <w:r>
        <w:t xml:space="preserve">is glossed there as</w:t>
      </w:r>
      <w:r>
        <w:t xml:space="preserve"> </w:t>
      </w:r>
      <w:r>
        <w:t xml:space="preserve">‘</w:t>
      </w:r>
      <w:r>
        <w:t xml:space="preserve">進也</w:t>
      </w:r>
      <w:r>
        <w:t xml:space="preserve">’</w:t>
      </w:r>
      <w:r>
        <w:t xml:space="preserve">.</w:t>
      </w:r>
      <w:r>
        <w:t xml:space="preserve"> </w:t>
      </w:r>
      <w:r>
        <w:t xml:space="preserve">For No. 2,</w:t>
      </w:r>
      <w:r>
        <w:t xml:space="preserve"> </w:t>
      </w:r>
      <w:r>
        <w:t xml:space="preserve">‘</w:t>
      </w:r>
      <w:r>
        <w:t xml:space="preserve">丕</w:t>
      </w:r>
      <w:r>
        <w:t xml:space="preserve">’</w:t>
      </w:r>
      <w:r>
        <w:t xml:space="preserve">, the</w:t>
      </w:r>
      <w:r>
        <w:t xml:space="preserve"> </w:t>
      </w:r>
      <w:r>
        <w:rPr>
          <w:iCs/>
          <w:i/>
        </w:rPr>
        <w:t xml:space="preserve">Shuowen Jiezi</w:t>
      </w:r>
      <w:r>
        <w:t xml:space="preserve"> </w:t>
      </w:r>
      <w:r>
        <w:t xml:space="preserve">and the</w:t>
      </w:r>
      <w:r>
        <w:t xml:space="preserve"> </w:t>
      </w:r>
      <w:r>
        <w:rPr>
          <w:iCs/>
          <w:i/>
        </w:rPr>
        <w:t xml:space="preserve">Guangyun</w:t>
      </w:r>
      <w:r>
        <w:t xml:space="preserve"> </w:t>
      </w:r>
      <w:r>
        <w:t xml:space="preserve">give</w:t>
      </w:r>
      <w:r>
        <w:t xml:space="preserve"> </w:t>
      </w:r>
      <w:r>
        <w:t xml:space="preserve">‘</w:t>
      </w:r>
      <w:r>
        <w:t xml:space="preserve">大也</w:t>
      </w:r>
      <w:r>
        <w:t xml:space="preserve">’</w:t>
      </w:r>
      <w:r>
        <w:t xml:space="preserve"> </w:t>
      </w:r>
      <w:r>
        <w:t xml:space="preserve">(great), which does not match; but the</w:t>
      </w:r>
      <w:r>
        <w:t xml:space="preserve"> </w:t>
      </w:r>
      <w:r>
        <w:rPr>
          <w:iCs/>
          <w:i/>
        </w:rPr>
        <w:t xml:space="preserve">Banshō Meigi</w:t>
      </w:r>
      <w:r>
        <w:t xml:space="preserve"> </w:t>
      </w:r>
      <w:r>
        <w:t xml:space="preserve">gives</w:t>
      </w:r>
      <w:r>
        <w:t xml:space="preserve"> </w:t>
      </w:r>
      <w:r>
        <w:t xml:space="preserve">‘</w:t>
      </w:r>
      <w:r>
        <w:t xml:space="preserve">多也</w:t>
      </w:r>
      <w:r>
        <w:t xml:space="preserve">’</w:t>
      </w:r>
      <w:r>
        <w:t xml:space="preserve"> </w:t>
      </w:r>
      <w:r>
        <w:t xml:space="preserve">(many), which is the source of this gloss.</w:t>
      </w:r>
    </w:p>
    <w:bookmarkEnd w:id="643"/>
    <w:bookmarkStart w:id="644" w:name="Xbb415608212d891448315b1df7fbcadf3d13d4e"/>
    <w:p>
      <w:pPr>
        <w:pStyle w:val="Heading3"/>
      </w:pPr>
      <w:r>
        <w:rPr>
          <w:rStyle w:val="SectionNumber"/>
        </w:rPr>
        <w:t xml:space="preserve">24.1.2</w:t>
      </w:r>
      <w:r>
        <w:tab/>
      </w:r>
      <w:r>
        <w:t xml:space="preserve">Two-Character Semantic Glosses in Chinese</w:t>
      </w:r>
    </w:p>
    <w:p>
      <w:pPr>
        <w:pStyle w:val="FirstParagraph"/>
      </w:pPr>
      <w:r>
        <w:t xml:space="preserve">The two-character form using</w:t>
      </w:r>
      <w:r>
        <w:t xml:space="preserve"> </w:t>
      </w:r>
      <w:r>
        <w:t xml:space="preserve">‘</w:t>
      </w:r>
      <w:r>
        <w:t xml:space="preserve">也</w:t>
      </w:r>
      <w:r>
        <w:t xml:space="preserve">’</w:t>
      </w:r>
      <w:r>
        <w:t xml:space="preserve"> </w:t>
      </w:r>
      <w:r>
        <w:t xml:space="preserve">numbers more than approximately 2,400.</w:t>
      </w:r>
    </w:p>
    <w:p>
      <w:pPr>
        <w:pStyle w:val="BodyText"/>
      </w:pPr>
      <w:r>
        <w:rPr>
          <w:bCs/>
          <w:b/>
        </w:rPr>
        <w:t xml:space="preserve">Examples</w:t>
      </w:r>
      <w:r>
        <w:t xml:space="preserve"> </w:t>
      </w:r>
      <w:r>
        <w:t xml:space="preserve">-</w:t>
      </w:r>
      <w:r>
        <w:t xml:space="preserve"> </w:t>
      </w:r>
      <w:r>
        <w:rPr>
          <w:rStyle w:val="VerbatimChar"/>
        </w:rPr>
        <w:t xml:space="preserve">hanzi_entry</w:t>
      </w:r>
      <w:r>
        <w:t xml:space="preserve">: 微,</w:t>
      </w:r>
      <w:r>
        <w:t xml:space="preserve"> </w:t>
      </w:r>
      <w:r>
        <w:rPr>
          <w:rStyle w:val="VerbatimChar"/>
        </w:rPr>
        <w:t xml:space="preserve">definition</w:t>
      </w:r>
      <w:r>
        <w:t xml:space="preserve">: 細也</w:t>
      </w:r>
      <w:r>
        <w:t xml:space="preserve"> </w:t>
      </w:r>
      <w:r>
        <w:t xml:space="preserve">-</w:t>
      </w:r>
      <w:r>
        <w:t xml:space="preserve"> </w:t>
      </w:r>
      <w:r>
        <w:rPr>
          <w:rStyle w:val="VerbatimChar"/>
        </w:rPr>
        <w:t xml:space="preserve">hanzi_entry</w:t>
      </w:r>
      <w:r>
        <w:t xml:space="preserve">: 偉,</w:t>
      </w:r>
      <w:r>
        <w:t xml:space="preserve"> </w:t>
      </w:r>
      <w:r>
        <w:rPr>
          <w:rStyle w:val="VerbatimChar"/>
        </w:rPr>
        <w:t xml:space="preserve">definition</w:t>
      </w:r>
      <w:r>
        <w:t xml:space="preserve">: 大也</w:t>
      </w:r>
    </w:p>
    <w:p>
      <w:pPr>
        <w:pStyle w:val="BodyText"/>
      </w:pPr>
      <w:r>
        <w:t xml:space="preserve">Among the other types, common ones include</w:t>
      </w:r>
      <w:r>
        <w:t xml:space="preserve"> </w:t>
      </w:r>
      <w:r>
        <w:t xml:space="preserve">‘</w:t>
      </w:r>
      <w:r>
        <w:t xml:space="preserve">C名</w:t>
      </w:r>
      <w:r>
        <w:t xml:space="preserve">’</w:t>
      </w:r>
      <w:r>
        <w:t xml:space="preserve"> </w:t>
      </w:r>
      <w:r>
        <w:t xml:space="preserve">(approx. 480),</w:t>
      </w:r>
      <w:r>
        <w:t xml:space="preserve"> </w:t>
      </w:r>
      <w:r>
        <w:t xml:space="preserve">‘</w:t>
      </w:r>
      <w:r>
        <w:t xml:space="preserve">Bー(A)</w:t>
      </w:r>
      <w:r>
        <w:t xml:space="preserve">’</w:t>
      </w:r>
      <w:r>
        <w:t xml:space="preserve"> </w:t>
      </w:r>
      <w:r>
        <w:t xml:space="preserve">(approx. 250),</w:t>
      </w:r>
      <w:r>
        <w:t xml:space="preserve"> </w:t>
      </w:r>
      <w:r>
        <w:t xml:space="preserve">‘</w:t>
      </w:r>
      <w:r>
        <w:t xml:space="preserve">ー(A)B</w:t>
      </w:r>
      <w:r>
        <w:t xml:space="preserve">’</w:t>
      </w:r>
      <w:r>
        <w:t xml:space="preserve"> </w:t>
      </w:r>
      <w:r>
        <w:t xml:space="preserve">(approx. 190),</w:t>
      </w:r>
      <w:r>
        <w:t xml:space="preserve"> </w:t>
      </w:r>
      <w:r>
        <w:t xml:space="preserve">‘</w:t>
      </w:r>
      <w:r>
        <w:t xml:space="preserve">B声</w:t>
      </w:r>
      <w:r>
        <w:t xml:space="preserve">’</w:t>
      </w:r>
      <w:r>
        <w:t xml:space="preserve"> </w:t>
      </w:r>
      <w:r>
        <w:t xml:space="preserve">(approx. 80),</w:t>
      </w:r>
      <w:r>
        <w:t xml:space="preserve"> </w:t>
      </w:r>
      <w:r>
        <w:t xml:space="preserve">‘</w:t>
      </w:r>
      <w:r>
        <w:t xml:space="preserve">B属</w:t>
      </w:r>
      <w:r>
        <w:t xml:space="preserve">’</w:t>
      </w:r>
      <w:r>
        <w:t xml:space="preserve"> </w:t>
      </w:r>
      <w:r>
        <w:t xml:space="preserve">(approx. 80), and</w:t>
      </w:r>
      <w:r>
        <w:t xml:space="preserve"> </w:t>
      </w:r>
      <w:r>
        <w:t xml:space="preserve">‘</w:t>
      </w:r>
      <w:r>
        <w:t xml:space="preserve">B皃</w:t>
      </w:r>
      <w:r>
        <w:t xml:space="preserve">’</w:t>
      </w:r>
      <w:r>
        <w:t xml:space="preserve"> </w:t>
      </w:r>
      <w:r>
        <w:t xml:space="preserve">(approx. 70).</w:t>
      </w:r>
    </w:p>
    <w:p>
      <w:pPr>
        <w:pStyle w:val="BodyText"/>
      </w:pPr>
      <w:r>
        <w:t xml:space="preserve">Several examples are given below.</w:t>
      </w:r>
    </w:p>
    <w:p>
      <w:pPr>
        <w:pStyle w:val="BodyText"/>
      </w:pPr>
      <w:r>
        <w:rPr>
          <w:bCs/>
          <w:b/>
        </w:rPr>
        <w:t xml:space="preserve">Examples</w:t>
      </w:r>
      <w:r>
        <w:t xml:space="preserve"> </w:t>
      </w:r>
      <w:r>
        <w:t xml:space="preserve">1.</w:t>
      </w:r>
      <w:r>
        <w:t xml:space="preserve"> </w:t>
      </w:r>
      <w:r>
        <w:rPr>
          <w:rStyle w:val="VerbatimChar"/>
        </w:rPr>
        <w:t xml:space="preserve">hanzi_entry</w:t>
      </w:r>
      <w:r>
        <w:t xml:space="preserve">: 渭,</w:t>
      </w:r>
      <w:r>
        <w:t xml:space="preserve"> </w:t>
      </w:r>
      <w:r>
        <w:rPr>
          <w:rStyle w:val="VerbatimChar"/>
        </w:rPr>
        <w:t xml:space="preserve">definition</w:t>
      </w:r>
      <w:r>
        <w:t xml:space="preserve">: 水名</w:t>
      </w:r>
      <w:r>
        <w:t xml:space="preserve"> </w:t>
      </w:r>
      <w:r>
        <w:t xml:space="preserve">2.</w:t>
      </w:r>
      <w:r>
        <w:t xml:space="preserve"> </w:t>
      </w:r>
      <w:r>
        <w:rPr>
          <w:rStyle w:val="VerbatimChar"/>
        </w:rPr>
        <w:t xml:space="preserve">hanzi_entry</w:t>
      </w:r>
      <w:r>
        <w:t xml:space="preserve">: 狽,</w:t>
      </w:r>
      <w:r>
        <w:t xml:space="preserve"> </w:t>
      </w:r>
      <w:r>
        <w:rPr>
          <w:rStyle w:val="VerbatimChar"/>
        </w:rPr>
        <w:t xml:space="preserve">definition</w:t>
      </w:r>
      <w:r>
        <w:t xml:space="preserve">: 狼ー</w:t>
      </w:r>
      <w:r>
        <w:t xml:space="preserve"> </w:t>
      </w:r>
      <w:r>
        <w:t xml:space="preserve">3.</w:t>
      </w:r>
      <w:r>
        <w:t xml:space="preserve"> </w:t>
      </w:r>
      <w:r>
        <w:rPr>
          <w:rStyle w:val="VerbatimChar"/>
        </w:rPr>
        <w:t xml:space="preserve">hanzi_entry</w:t>
      </w:r>
      <w:r>
        <w:t xml:space="preserve">: 負,</w:t>
      </w:r>
      <w:r>
        <w:t xml:space="preserve"> </w:t>
      </w:r>
      <w:r>
        <w:rPr>
          <w:rStyle w:val="VerbatimChar"/>
        </w:rPr>
        <w:t xml:space="preserve">definition</w:t>
      </w:r>
      <w:r>
        <w:t xml:space="preserve">: 荷ー</w:t>
      </w:r>
      <w:r>
        <w:t xml:space="preserve"> </w:t>
      </w:r>
      <w:r>
        <w:t xml:space="preserve">4.</w:t>
      </w:r>
      <w:r>
        <w:t xml:space="preserve"> </w:t>
      </w:r>
      <w:r>
        <w:rPr>
          <w:rStyle w:val="VerbatimChar"/>
        </w:rPr>
        <w:t xml:space="preserve">hanzi_entry</w:t>
      </w:r>
      <w:r>
        <w:t xml:space="preserve">: 茱,</w:t>
      </w:r>
      <w:r>
        <w:t xml:space="preserve"> </w:t>
      </w:r>
      <w:r>
        <w:rPr>
          <w:rStyle w:val="VerbatimChar"/>
        </w:rPr>
        <w:t xml:space="preserve">definition</w:t>
      </w:r>
      <w:r>
        <w:t xml:space="preserve">: ー萸</w:t>
      </w:r>
      <w:r>
        <w:t xml:space="preserve"> </w:t>
      </w:r>
      <w:r>
        <w:t xml:space="preserve">5.</w:t>
      </w:r>
      <w:r>
        <w:t xml:space="preserve"> </w:t>
      </w:r>
      <w:r>
        <w:rPr>
          <w:rStyle w:val="VerbatimChar"/>
        </w:rPr>
        <w:t xml:space="preserve">hanzi_entry</w:t>
      </w:r>
      <w:r>
        <w:t xml:space="preserve">: 䓁,</w:t>
      </w:r>
      <w:r>
        <w:t xml:space="preserve"> </w:t>
      </w:r>
      <w:r>
        <w:rPr>
          <w:rStyle w:val="VerbatimChar"/>
        </w:rPr>
        <w:t xml:space="preserve">definition</w:t>
      </w:r>
      <w:r>
        <w:t xml:space="preserve">: ー閑 ナヲサリカテラ</w:t>
      </w:r>
      <w:r>
        <w:t xml:space="preserve"> </w:t>
      </w:r>
      <w:r>
        <w:t xml:space="preserve">6.</w:t>
      </w:r>
      <w:r>
        <w:t xml:space="preserve"> </w:t>
      </w:r>
      <w:r>
        <w:rPr>
          <w:rStyle w:val="VerbatimChar"/>
        </w:rPr>
        <w:t xml:space="preserve">hanzi_entry</w:t>
      </w:r>
      <w:r>
        <w:t xml:space="preserve">: 唄,</w:t>
      </w:r>
      <w:r>
        <w:t xml:space="preserve"> </w:t>
      </w:r>
      <w:r>
        <w:rPr>
          <w:rStyle w:val="VerbatimChar"/>
        </w:rPr>
        <w:t xml:space="preserve">definition</w:t>
      </w:r>
      <w:r>
        <w:t xml:space="preserve">: 梵声</w:t>
      </w:r>
      <w:r>
        <w:t xml:space="preserve"> </w:t>
      </w:r>
      <w:r>
        <w:t xml:space="preserve">7.</w:t>
      </w:r>
      <w:r>
        <w:t xml:space="preserve"> </w:t>
      </w:r>
      <w:r>
        <w:rPr>
          <w:rStyle w:val="VerbatimChar"/>
        </w:rPr>
        <w:t xml:space="preserve">hanzi_entry</w:t>
      </w:r>
      <w:r>
        <w:t xml:space="preserve">: 黽,</w:t>
      </w:r>
      <w:r>
        <w:t xml:space="preserve"> </w:t>
      </w:r>
      <w:r>
        <w:rPr>
          <w:rStyle w:val="VerbatimChar"/>
        </w:rPr>
        <w:t xml:space="preserve">definition</w:t>
      </w:r>
      <w:r>
        <w:t xml:space="preserve">: 蛙属</w:t>
      </w:r>
      <w:r>
        <w:t xml:space="preserve"> </w:t>
      </w:r>
      <w:r>
        <w:t xml:space="preserve">8.</w:t>
      </w:r>
      <w:r>
        <w:t xml:space="preserve"> </w:t>
      </w:r>
      <w:r>
        <w:rPr>
          <w:rStyle w:val="VerbatimChar"/>
        </w:rPr>
        <w:t xml:space="preserve">hanzi_entry</w:t>
      </w:r>
      <w:r>
        <w:t xml:space="preserve">: 粲／然,</w:t>
      </w:r>
      <w:r>
        <w:t xml:space="preserve"> </w:t>
      </w:r>
      <w:r>
        <w:rPr>
          <w:rStyle w:val="VerbatimChar"/>
        </w:rPr>
        <w:t xml:space="preserve">definition</w:t>
      </w:r>
      <w:r>
        <w:t xml:space="preserve">: 明皃</w:t>
      </w:r>
    </w:p>
    <w:p>
      <w:pPr>
        <w:pStyle w:val="BodyText"/>
      </w:pPr>
      <w:r>
        <w:t xml:space="preserve">No. 1,</w:t>
      </w:r>
      <w:r>
        <w:t xml:space="preserve"> </w:t>
      </w:r>
      <w:r>
        <w:t xml:space="preserve">‘</w:t>
      </w:r>
      <w:r>
        <w:t xml:space="preserve">渭</w:t>
      </w:r>
      <w:r>
        <w:t xml:space="preserve">’</w:t>
      </w:r>
      <w:r>
        <w:t xml:space="preserve"> </w:t>
      </w:r>
      <w:r>
        <w:t xml:space="preserve">(the Wei River), is one of the tributaries of the Yellow River. It was on the northern bank of the Wei River that Taigong Wang, while fishing, met King Wen of Zhou.</w:t>
      </w:r>
      <w:r>
        <w:t xml:space="preserve"> </w:t>
      </w:r>
      <w:r>
        <w:t xml:space="preserve">Within the</w:t>
      </w:r>
      <w:r>
        <w:t xml:space="preserve"> </w:t>
      </w:r>
      <w:r>
        <w:rPr>
          <w:iCs/>
          <w:i/>
        </w:rPr>
        <w:t xml:space="preserve">Myōgishō</w:t>
      </w:r>
      <w:r>
        <w:t xml:space="preserve">,</w:t>
      </w:r>
      <w:r>
        <w:t xml:space="preserve"> </w:t>
      </w:r>
      <w:r>
        <w:t xml:space="preserve">‘</w:t>
      </w:r>
      <w:r>
        <w:t xml:space="preserve">水名</w:t>
      </w:r>
      <w:r>
        <w:t xml:space="preserve">’</w:t>
      </w:r>
      <w:r>
        <w:t xml:space="preserve"> </w:t>
      </w:r>
      <w:r>
        <w:t xml:space="preserve">(river name) occurs in 90 examples, followed by</w:t>
      </w:r>
      <w:r>
        <w:t xml:space="preserve"> </w:t>
      </w:r>
      <w:r>
        <w:t xml:space="preserve">‘</w:t>
      </w:r>
      <w:r>
        <w:t xml:space="preserve">地名</w:t>
      </w:r>
      <w:r>
        <w:t xml:space="preserve">’</w:t>
      </w:r>
      <w:r>
        <w:t xml:space="preserve"> </w:t>
      </w:r>
      <w:r>
        <w:t xml:space="preserve">(place name) with 33,</w:t>
      </w:r>
      <w:r>
        <w:t xml:space="preserve"> </w:t>
      </w:r>
      <w:r>
        <w:t xml:space="preserve">‘</w:t>
      </w:r>
      <w:r>
        <w:t xml:space="preserve">縣名</w:t>
      </w:r>
      <w:r>
        <w:t xml:space="preserve">’</w:t>
      </w:r>
      <w:r>
        <w:t xml:space="preserve"> </w:t>
      </w:r>
      <w:r>
        <w:t xml:space="preserve">(county name) with 31,</w:t>
      </w:r>
      <w:r>
        <w:t xml:space="preserve"> </w:t>
      </w:r>
      <w:r>
        <w:t xml:space="preserve">‘</w:t>
      </w:r>
      <w:r>
        <w:t xml:space="preserve">國名</w:t>
      </w:r>
      <w:r>
        <w:t xml:space="preserve">’</w:t>
      </w:r>
      <w:r>
        <w:t xml:space="preserve"> </w:t>
      </w:r>
      <w:r>
        <w:t xml:space="preserve">(state name) with 29, and</w:t>
      </w:r>
      <w:r>
        <w:t xml:space="preserve"> </w:t>
      </w:r>
      <w:r>
        <w:t xml:space="preserve">‘</w:t>
      </w:r>
      <w:r>
        <w:t xml:space="preserve">木名</w:t>
      </w:r>
      <w:r>
        <w:t xml:space="preserve">’</w:t>
      </w:r>
      <w:r>
        <w:t xml:space="preserve"> </w:t>
      </w:r>
      <w:r>
        <w:t xml:space="preserve">(tree name) with 22.</w:t>
      </w:r>
      <w:r>
        <w:t xml:space="preserve"> </w:t>
      </w:r>
      <w:r>
        <w:t xml:space="preserve">This is an example of the</w:t>
      </w:r>
      <w:r>
        <w:t xml:space="preserve"> </w:t>
      </w:r>
      <w:r>
        <w:t xml:space="preserve">‘</w:t>
      </w:r>
      <w:r>
        <w:t xml:space="preserve">C名</w:t>
      </w:r>
      <w:r>
        <w:t xml:space="preserve">’</w:t>
      </w:r>
      <w:r>
        <w:t xml:space="preserve"> </w:t>
      </w:r>
      <w:r>
        <w:t xml:space="preserve">type.</w:t>
      </w:r>
    </w:p>
    <w:p>
      <w:pPr>
        <w:pStyle w:val="BodyText"/>
      </w:pPr>
      <w:r>
        <w:t xml:space="preserve">No. 2,</w:t>
      </w:r>
      <w:r>
        <w:t xml:space="preserve"> </w:t>
      </w:r>
      <w:r>
        <w:t xml:space="preserve">‘</w:t>
      </w:r>
      <w:r>
        <w:t xml:space="preserve">狽</w:t>
      </w:r>
      <w:r>
        <w:t xml:space="preserve">’</w:t>
      </w:r>
      <w:r>
        <w:t xml:space="preserve">, uses the</w:t>
      </w:r>
      <w:r>
        <w:t xml:space="preserve"> </w:t>
      </w:r>
      <w:r>
        <w:rPr>
          <w:rStyle w:val="VerbatimChar"/>
          <w:bCs/>
          <w:b/>
        </w:rPr>
        <w:t xml:space="preserve">Substitution Mark</w:t>
      </w:r>
      <w:r>
        <w:t xml:space="preserve"> </w:t>
      </w:r>
      <w:r>
        <w:t xml:space="preserve">‘</w:t>
      </w:r>
      <w:r>
        <w:t xml:space="preserve">ー</w:t>
      </w:r>
      <w:r>
        <w:t xml:space="preserve">’</w:t>
      </w:r>
      <w:r>
        <w:t xml:space="preserve"> </w:t>
      </w:r>
      <w:r>
        <w:t xml:space="preserve">to show that the character is used as part of the compound</w:t>
      </w:r>
      <w:r>
        <w:t xml:space="preserve"> </w:t>
      </w:r>
      <w:r>
        <w:t xml:space="preserve">‘</w:t>
      </w:r>
      <w:r>
        <w:t xml:space="preserve">狼狽</w:t>
      </w:r>
      <w:r>
        <w:t xml:space="preserve">’</w:t>
      </w:r>
      <w:r>
        <w:t xml:space="preserve"> </w:t>
      </w:r>
      <w:r>
        <w:t xml:space="preserve">(</w:t>
      </w:r>
      <w:r>
        <w:rPr>
          <w:iCs/>
          <w:i/>
        </w:rPr>
        <w:t xml:space="preserve">lángbèi</w:t>
      </w:r>
      <w:r>
        <w:t xml:space="preserve">, flustered).</w:t>
      </w:r>
      <w:r>
        <w:t xml:space="preserve"> </w:t>
      </w:r>
      <w:r>
        <w:t xml:space="preserve">This is an example of the</w:t>
      </w:r>
      <w:r>
        <w:t xml:space="preserve"> </w:t>
      </w:r>
      <w:r>
        <w:t xml:space="preserve">‘</w:t>
      </w:r>
      <w:r>
        <w:t xml:space="preserve">Bー(A)</w:t>
      </w:r>
      <w:r>
        <w:t xml:space="preserve">’</w:t>
      </w:r>
      <w:r>
        <w:t xml:space="preserve"> </w:t>
      </w:r>
      <w:r>
        <w:t xml:space="preserve">type.</w:t>
      </w:r>
    </w:p>
    <w:p>
      <w:pPr>
        <w:pStyle w:val="BodyText"/>
      </w:pPr>
      <w:r>
        <w:t xml:space="preserve">No. 3,</w:t>
      </w:r>
      <w:r>
        <w:t xml:space="preserve"> </w:t>
      </w:r>
      <w:r>
        <w:t xml:space="preserve">‘</w:t>
      </w:r>
      <w:r>
        <w:t xml:space="preserve">負</w:t>
      </w:r>
      <w:r>
        <w:t xml:space="preserve">’</w:t>
      </w:r>
      <w:r>
        <w:t xml:space="preserve">, with</w:t>
      </w:r>
      <w:r>
        <w:t xml:space="preserve"> </w:t>
      </w:r>
      <w:r>
        <w:t xml:space="preserve">‘</w:t>
      </w:r>
      <w:r>
        <w:t xml:space="preserve">荷負</w:t>
      </w:r>
      <w:r>
        <w:t xml:space="preserve">’</w:t>
      </w:r>
      <w:r>
        <w:t xml:space="preserve"> </w:t>
      </w:r>
      <w:r>
        <w:t xml:space="preserve">(to carry), is likewise an example of the</w:t>
      </w:r>
      <w:r>
        <w:t xml:space="preserve"> </w:t>
      </w:r>
      <w:r>
        <w:t xml:space="preserve">‘</w:t>
      </w:r>
      <w:r>
        <w:t xml:space="preserve">Bー(A)</w:t>
      </w:r>
      <w:r>
        <w:t xml:space="preserve">’</w:t>
      </w:r>
      <w:r>
        <w:t xml:space="preserve"> </w:t>
      </w:r>
      <w:r>
        <w:t xml:space="preserve">type.</w:t>
      </w:r>
    </w:p>
    <w:p>
      <w:pPr>
        <w:pStyle w:val="BodyText"/>
      </w:pPr>
      <w:r>
        <w:t xml:space="preserve">No. 4,</w:t>
      </w:r>
      <w:r>
        <w:t xml:space="preserve"> </w:t>
      </w:r>
      <w:r>
        <w:t xml:space="preserve">‘</w:t>
      </w:r>
      <w:r>
        <w:t xml:space="preserve">茱</w:t>
      </w:r>
      <w:r>
        <w:t xml:space="preserve">’</w:t>
      </w:r>
      <w:r>
        <w:t xml:space="preserve">, uses the</w:t>
      </w:r>
      <w:r>
        <w:t xml:space="preserve"> </w:t>
      </w:r>
      <w:r>
        <w:rPr>
          <w:rStyle w:val="VerbatimChar"/>
          <w:bCs/>
          <w:b/>
        </w:rPr>
        <w:t xml:space="preserve">Substitution Mark</w:t>
      </w:r>
      <w:r>
        <w:t xml:space="preserve"> </w:t>
      </w:r>
      <w:r>
        <w:t xml:space="preserve">‘</w:t>
      </w:r>
      <w:r>
        <w:t xml:space="preserve">ー</w:t>
      </w:r>
      <w:r>
        <w:t xml:space="preserve">’</w:t>
      </w:r>
      <w:r>
        <w:t xml:space="preserve"> </w:t>
      </w:r>
      <w:r>
        <w:t xml:space="preserve">to show that the character is used as part of the compound</w:t>
      </w:r>
      <w:r>
        <w:t xml:space="preserve"> </w:t>
      </w:r>
      <w:r>
        <w:t xml:space="preserve">‘</w:t>
      </w:r>
      <w:r>
        <w:t xml:space="preserve">茱萸</w:t>
      </w:r>
      <w:r>
        <w:t xml:space="preserve">’</w:t>
      </w:r>
      <w:r>
        <w:t xml:space="preserve"> </w:t>
      </w:r>
      <w:r>
        <w:t xml:space="preserve">(</w:t>
      </w:r>
      <w:r>
        <w:rPr>
          <w:iCs/>
          <w:i/>
        </w:rPr>
        <w:t xml:space="preserve">zhūyú</w:t>
      </w:r>
      <w:r>
        <w:t xml:space="preserve">, the fruit of the oleaster).</w:t>
      </w:r>
      <w:r>
        <w:t xml:space="preserve"> </w:t>
      </w:r>
      <w:r>
        <w:t xml:space="preserve">‘</w:t>
      </w:r>
      <w:r>
        <w:t xml:space="preserve">茱</w:t>
      </w:r>
      <w:r>
        <w:t xml:space="preserve">’</w:t>
      </w:r>
      <w:r>
        <w:t xml:space="preserve"> </w:t>
      </w:r>
      <w:r>
        <w:t xml:space="preserve">has the</w:t>
      </w:r>
      <w:r>
        <w:t xml:space="preserve"> </w:t>
      </w:r>
      <w:r>
        <w:rPr>
          <w:iCs/>
          <w:i/>
        </w:rPr>
        <w:t xml:space="preserve">Guangyun fanqie</w:t>
      </w:r>
      <w:r>
        <w:t xml:space="preserve"> </w:t>
      </w:r>
      <w:r>
        <w:t xml:space="preserve">‘</w:t>
      </w:r>
      <w:r>
        <w:t xml:space="preserve">市朱切</w:t>
      </w:r>
      <w:r>
        <w:t xml:space="preserve">’</w:t>
      </w:r>
      <w:r>
        <w:t xml:space="preserve"> </w:t>
      </w:r>
      <w:r>
        <w:t xml:space="preserve">(Level tone,</w:t>
      </w:r>
      <w:r>
        <w:t xml:space="preserve"> </w:t>
      </w:r>
      <w:r>
        <w:rPr>
          <w:iCs/>
          <w:i/>
        </w:rPr>
        <w:t xml:space="preserve">Yu</w:t>
      </w:r>
      <w:r>
        <w:t xml:space="preserve"> </w:t>
      </w:r>
      <w:r>
        <w:t xml:space="preserve">rhyme,</w:t>
      </w:r>
      <w:r>
        <w:t xml:space="preserve"> </w:t>
      </w:r>
      <w:r>
        <w:rPr>
          <w:iCs/>
          <w:i/>
        </w:rPr>
        <w:t xml:space="preserve">Chan</w:t>
      </w:r>
      <w:r>
        <w:t xml:space="preserve"> </w:t>
      </w:r>
      <w:r>
        <w:t xml:space="preserve">III initial, homophonous with 殊), and</w:t>
      </w:r>
      <w:r>
        <w:t xml:space="preserve"> </w:t>
      </w:r>
      <w:r>
        <w:t xml:space="preserve">‘</w:t>
      </w:r>
      <w:r>
        <w:t xml:space="preserve">萸</w:t>
      </w:r>
      <w:r>
        <w:t xml:space="preserve">’</w:t>
      </w:r>
      <w:r>
        <w:t xml:space="preserve"> </w:t>
      </w:r>
      <w:r>
        <w:t xml:space="preserve">has</w:t>
      </w:r>
      <w:r>
        <w:t xml:space="preserve"> </w:t>
      </w:r>
      <w:r>
        <w:t xml:space="preserve">‘</w:t>
      </w:r>
      <w:r>
        <w:t xml:space="preserve">羊朱切</w:t>
      </w:r>
      <w:r>
        <w:t xml:space="preserve">’</w:t>
      </w:r>
      <w:r>
        <w:t xml:space="preserve"> </w:t>
      </w:r>
      <w:r>
        <w:t xml:space="preserve">(Level tone,</w:t>
      </w:r>
      <w:r>
        <w:t xml:space="preserve"> </w:t>
      </w:r>
      <w:r>
        <w:rPr>
          <w:iCs/>
          <w:i/>
        </w:rPr>
        <w:t xml:space="preserve">Yu</w:t>
      </w:r>
      <w:r>
        <w:t xml:space="preserve"> </w:t>
      </w:r>
      <w:r>
        <w:t xml:space="preserve">rhyme,</w:t>
      </w:r>
      <w:r>
        <w:t xml:space="preserve"> </w:t>
      </w:r>
      <w:r>
        <w:rPr>
          <w:iCs/>
          <w:i/>
        </w:rPr>
        <w:t xml:space="preserve">Yu</w:t>
      </w:r>
      <w:r>
        <w:t xml:space="preserve"> </w:t>
      </w:r>
      <w:r>
        <w:t xml:space="preserve">IV initial, homophonous with 逾), making</w:t>
      </w:r>
      <w:r>
        <w:t xml:space="preserve"> </w:t>
      </w:r>
      <w:r>
        <w:t xml:space="preserve">‘</w:t>
      </w:r>
      <w:r>
        <w:t xml:space="preserve">茱萸</w:t>
      </w:r>
      <w:r>
        <w:t xml:space="preserve">’</w:t>
      </w:r>
      <w:r>
        <w:t xml:space="preserve"> </w:t>
      </w:r>
      <w:r>
        <w:t xml:space="preserve">a</w:t>
      </w:r>
      <w:r>
        <w:t xml:space="preserve"> </w:t>
      </w:r>
      <w:r>
        <w:rPr>
          <w:iCs/>
          <w:i/>
        </w:rPr>
        <w:t xml:space="preserve">diéyùn</w:t>
      </w:r>
      <w:r>
        <w:t xml:space="preserve"> </w:t>
      </w:r>
      <w:r>
        <w:t xml:space="preserve">(畳韻, rhyming) compound.</w:t>
      </w:r>
      <w:r>
        <w:t xml:space="preserve"> </w:t>
      </w:r>
      <w:r>
        <w:t xml:space="preserve">This is an example of the</w:t>
      </w:r>
      <w:r>
        <w:t xml:space="preserve"> </w:t>
      </w:r>
      <w:r>
        <w:t xml:space="preserve">‘</w:t>
      </w:r>
      <w:r>
        <w:t xml:space="preserve">ー(A)B</w:t>
      </w:r>
      <w:r>
        <w:t xml:space="preserve">’</w:t>
      </w:r>
      <w:r>
        <w:t xml:space="preserve"> </w:t>
      </w:r>
      <w:r>
        <w:t xml:space="preserve">type.</w:t>
      </w:r>
    </w:p>
    <w:p>
      <w:pPr>
        <w:pStyle w:val="BodyText"/>
      </w:pPr>
      <w:r>
        <w:t xml:space="preserve">No. 5,</w:t>
      </w:r>
      <w:r>
        <w:t xml:space="preserve"> </w:t>
      </w:r>
      <w:r>
        <w:t xml:space="preserve">‘</w:t>
      </w:r>
      <w:r>
        <w:t xml:space="preserve">䓁</w:t>
      </w:r>
      <w:r>
        <w:t xml:space="preserve">’</w:t>
      </w:r>
      <w:r>
        <w:t xml:space="preserve"> </w:t>
      </w:r>
      <w:r>
        <w:t xml:space="preserve">(等), uses the</w:t>
      </w:r>
      <w:r>
        <w:t xml:space="preserve"> </w:t>
      </w:r>
      <w:r>
        <w:rPr>
          <w:rStyle w:val="VerbatimChar"/>
          <w:bCs/>
          <w:b/>
        </w:rPr>
        <w:t xml:space="preserve">Substitution Mark</w:t>
      </w:r>
      <w:r>
        <w:t xml:space="preserve"> </w:t>
      </w:r>
      <w:r>
        <w:t xml:space="preserve">‘</w:t>
      </w:r>
      <w:r>
        <w:t xml:space="preserve">ー</w:t>
      </w:r>
      <w:r>
        <w:t xml:space="preserve">’</w:t>
      </w:r>
      <w:r>
        <w:t xml:space="preserve"> </w:t>
      </w:r>
      <w:r>
        <w:t xml:space="preserve">to show that the character is used as part of the compound</w:t>
      </w:r>
      <w:r>
        <w:t xml:space="preserve"> </w:t>
      </w:r>
      <w:r>
        <w:t xml:space="preserve">‘</w:t>
      </w:r>
      <w:r>
        <w:t xml:space="preserve">等閑</w:t>
      </w:r>
      <w:r>
        <w:t xml:space="preserve">’</w:t>
      </w:r>
      <w:r>
        <w:t xml:space="preserve"> </w:t>
      </w:r>
      <w:r>
        <w:t xml:space="preserve">(idle, careless).</w:t>
      </w:r>
      <w:r>
        <w:t xml:space="preserve"> </w:t>
      </w:r>
      <w:r>
        <w:t xml:space="preserve">This example is accompanied by the</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w:t>
      </w:r>
      <w:r>
        <w:t xml:space="preserve">ナヲサリカテラ</w:t>
      </w:r>
      <w:r>
        <w:t xml:space="preserve">’</w:t>
      </w:r>
      <w:r>
        <w:t xml:space="preserve">, derived from the line</w:t>
      </w:r>
      <w:r>
        <w:t xml:space="preserve"> </w:t>
      </w:r>
      <w:r>
        <w:t xml:space="preserve">“</w:t>
      </w:r>
      <w:r>
        <w:t xml:space="preserve">秋月春風等閑度</w:t>
      </w:r>
      <w:r>
        <w:t xml:space="preserve">”</w:t>
      </w:r>
      <w:r>
        <w:t xml:space="preserve"> </w:t>
      </w:r>
      <w:r>
        <w:t xml:space="preserve">(Autumn moon, spring breeze — days pass idly by) in the</w:t>
      </w:r>
      <w:r>
        <w:t xml:space="preserve"> </w:t>
      </w:r>
      <w:r>
        <w:rPr>
          <w:iCs/>
          <w:i/>
        </w:rPr>
        <w:t xml:space="preserve">Biography of the Lute</w:t>
      </w:r>
      <w:r>
        <w:t xml:space="preserve"> </w:t>
      </w:r>
      <w:r>
        <w:t xml:space="preserve">(琵琶行) of the</w:t>
      </w:r>
      <w:r>
        <w:t xml:space="preserve"> </w:t>
      </w:r>
      <w:r>
        <w:rPr>
          <w:iCs/>
          <w:i/>
        </w:rPr>
        <w:t xml:space="preserve">Collected Works of Bai Juyi</w:t>
      </w:r>
      <w:r>
        <w:t xml:space="preserve"> </w:t>
      </w:r>
      <w:r>
        <w:t xml:space="preserve">(白氏文集) (Funaki, Shuntarō.</w:t>
      </w:r>
      <w:r>
        <w:t xml:space="preserve"> </w:t>
      </w:r>
      <w:r>
        <w:t xml:space="preserve">“</w:t>
      </w:r>
      <w:r>
        <w:t xml:space="preserve">Hakushi Monjū to Iroha Jiruishō</w:t>
      </w:r>
      <w:r>
        <w:t xml:space="preserve">”</w:t>
      </w:r>
      <w:r>
        <w:t xml:space="preserve"> </w:t>
      </w:r>
      <w:r>
        <w:t xml:space="preserve">[The</w:t>
      </w:r>
      <w:r>
        <w:t xml:space="preserve"> </w:t>
      </w:r>
      <w:r>
        <w:rPr>
          <w:iCs/>
          <w:i/>
        </w:rPr>
        <w:t xml:space="preserve">Hakushi Monjū</w:t>
      </w:r>
      <w:r>
        <w:t xml:space="preserve"> </w:t>
      </w:r>
      <w:r>
        <w:t xml:space="preserve">and the</w:t>
      </w:r>
      <w:r>
        <w:t xml:space="preserve"> </w:t>
      </w:r>
      <w:r>
        <w:rPr>
          <w:iCs/>
          <w:i/>
        </w:rPr>
        <w:t xml:space="preserve">Iroha Jiruishō</w:t>
      </w:r>
      <w:r>
        <w:t xml:space="preserve">].</w:t>
      </w:r>
      <w:r>
        <w:t xml:space="preserve"> </w:t>
      </w:r>
      <w:r>
        <w:rPr>
          <w:iCs/>
          <w:i/>
        </w:rPr>
        <w:t xml:space="preserve">Niigata Daigaku Jinbun Kagaku Kenkyū</w:t>
      </w:r>
      <w:r>
        <w:t xml:space="preserve"> </w:t>
      </w:r>
      <w:r>
        <w:t xml:space="preserve">121 (2007)).</w:t>
      </w:r>
      <w:r>
        <w:t xml:space="preserve"> </w:t>
      </w:r>
      <w:r>
        <w:t xml:space="preserve">‘</w:t>
      </w:r>
      <w:r>
        <w:t xml:space="preserve">等閑</w:t>
      </w:r>
      <w:r>
        <w:t xml:space="preserve">’</w:t>
      </w:r>
      <w:r>
        <w:t xml:space="preserve"> </w:t>
      </w:r>
      <w:r>
        <w:t xml:space="preserve">is a compound formed by so-called</w:t>
      </w:r>
      <w:r>
        <w:t xml:space="preserve"> </w:t>
      </w:r>
      <w:r>
        <w:t xml:space="preserve">‘</w:t>
      </w:r>
      <w:r>
        <w:t xml:space="preserve">埋字</w:t>
      </w:r>
      <w:r>
        <w:t xml:space="preserve">’</w:t>
      </w:r>
      <w:r>
        <w:t xml:space="preserve"> </w:t>
      </w:r>
      <w:r>
        <w:t xml:space="preserve">(</w:t>
      </w:r>
      <w:r>
        <w:rPr>
          <w:iCs/>
          <w:i/>
        </w:rPr>
        <w:t xml:space="preserve">umeji</w:t>
      </w:r>
      <w:r>
        <w:t xml:space="preserve">,</w:t>
      </w:r>
      <w:r>
        <w:t xml:space="preserve"> </w:t>
      </w:r>
      <w:r>
        <w:t xml:space="preserve">“</w:t>
      </w:r>
      <w:r>
        <w:t xml:space="preserve">buried-character</w:t>
      </w:r>
      <w:r>
        <w:t xml:space="preserve">”</w:t>
      </w:r>
      <w:r>
        <w:t xml:space="preserve">) or</w:t>
      </w:r>
      <w:r>
        <w:t xml:space="preserve"> </w:t>
      </w:r>
      <w:r>
        <w:t xml:space="preserve">‘</w:t>
      </w:r>
      <w:r>
        <w:t xml:space="preserve">分註式</w:t>
      </w:r>
      <w:r>
        <w:t xml:space="preserve">’</w:t>
      </w:r>
      <w:r>
        <w:t xml:space="preserve"> </w:t>
      </w:r>
      <w:r>
        <w:t xml:space="preserve">(</w:t>
      </w:r>
      <w:r>
        <w:rPr>
          <w:iCs/>
          <w:i/>
        </w:rPr>
        <w:t xml:space="preserve">bunchū-shiki</w:t>
      </w:r>
      <w:r>
        <w:t xml:space="preserve">,</w:t>
      </w:r>
      <w:r>
        <w:t xml:space="preserve"> </w:t>
      </w:r>
      <w:r>
        <w:t xml:space="preserve">“</w:t>
      </w:r>
      <w:r>
        <w:t xml:space="preserve">split-gloss</w:t>
      </w:r>
      <w:r>
        <w:t xml:space="preserve">”</w:t>
      </w:r>
      <w:r>
        <w:t xml:space="preserve">) construction. This is likewise an example of the</w:t>
      </w:r>
      <w:r>
        <w:t xml:space="preserve"> </w:t>
      </w:r>
      <w:r>
        <w:t xml:space="preserve">‘</w:t>
      </w:r>
      <w:r>
        <w:t xml:space="preserve">ー(A)B</w:t>
      </w:r>
      <w:r>
        <w:t xml:space="preserve">’</w:t>
      </w:r>
      <w:r>
        <w:t xml:space="preserve"> </w:t>
      </w:r>
      <w:r>
        <w:t xml:space="preserve">type.</w:t>
      </w:r>
    </w:p>
    <w:p>
      <w:pPr>
        <w:pStyle w:val="BodyText"/>
      </w:pPr>
      <w:r>
        <w:t xml:space="preserve">No. 6,</w:t>
      </w:r>
      <w:r>
        <w:t xml:space="preserve"> </w:t>
      </w:r>
      <w:r>
        <w:t xml:space="preserve">‘</w:t>
      </w:r>
      <w:r>
        <w:t xml:space="preserve">唄</w:t>
      </w:r>
      <w:r>
        <w:t xml:space="preserve">’</w:t>
      </w:r>
      <w:r>
        <w:t xml:space="preserve">, is glossed</w:t>
      </w:r>
      <w:r>
        <w:t xml:space="preserve"> </w:t>
      </w:r>
      <w:r>
        <w:t xml:space="preserve">‘</w:t>
      </w:r>
      <w:r>
        <w:t xml:space="preserve">梵声</w:t>
      </w:r>
      <w:r>
        <w:t xml:space="preserve">’</w:t>
      </w:r>
      <w:r>
        <w:t xml:space="preserve"> </w:t>
      </w:r>
      <w:r>
        <w:t xml:space="preserve">(Sanskrit chant), an explanation similar to the</w:t>
      </w:r>
      <w:r>
        <w:t xml:space="preserve"> </w:t>
      </w:r>
      <w:r>
        <w:rPr>
          <w:iCs/>
          <w:i/>
        </w:rPr>
        <w:t xml:space="preserve">Guangyun</w:t>
      </w:r>
      <w:r>
        <w:t xml:space="preserve">’s</w:t>
      </w:r>
      <w:r>
        <w:t xml:space="preserve"> </w:t>
      </w:r>
      <w:r>
        <w:t xml:space="preserve">‘</w:t>
      </w:r>
      <w:r>
        <w:t xml:space="preserve">梵音</w:t>
      </w:r>
      <w:r>
        <w:t xml:space="preserve">’</w:t>
      </w:r>
      <w:r>
        <w:t xml:space="preserve"> </w:t>
      </w:r>
      <w:r>
        <w:t xml:space="preserve">and the Song edition of the</w:t>
      </w:r>
      <w:r>
        <w:t xml:space="preserve"> </w:t>
      </w:r>
      <w:r>
        <w:rPr>
          <w:iCs/>
          <w:i/>
        </w:rPr>
        <w:t xml:space="preserve">Yupian</w:t>
      </w:r>
      <w:r>
        <w:t xml:space="preserve">’s</w:t>
      </w:r>
      <w:r>
        <w:t xml:space="preserve"> </w:t>
      </w:r>
      <w:r>
        <w:t xml:space="preserve">‘</w:t>
      </w:r>
      <w:r>
        <w:t xml:space="preserve">梵音聲</w:t>
      </w:r>
      <w:r>
        <w:t xml:space="preserve">’</w:t>
      </w:r>
      <w:r>
        <w:t xml:space="preserve">.</w:t>
      </w:r>
    </w:p>
    <w:p>
      <w:pPr>
        <w:pStyle w:val="BodyText"/>
      </w:pPr>
      <w:r>
        <w:t xml:space="preserve">No. 7,</w:t>
      </w:r>
      <w:r>
        <w:t xml:space="preserve"> </w:t>
      </w:r>
      <w:r>
        <w:t xml:space="preserve">‘</w:t>
      </w:r>
      <w:r>
        <w:t xml:space="preserve">黽</w:t>
      </w:r>
      <w:r>
        <w:t xml:space="preserve">’</w:t>
      </w:r>
      <w:r>
        <w:t xml:space="preserve">, is glossed</w:t>
      </w:r>
      <w:r>
        <w:t xml:space="preserve"> </w:t>
      </w:r>
      <w:r>
        <w:t xml:space="preserve">‘</w:t>
      </w:r>
      <w:r>
        <w:t xml:space="preserve">蛙属</w:t>
      </w:r>
      <w:r>
        <w:t xml:space="preserve">’</w:t>
      </w:r>
      <w:r>
        <w:t xml:space="preserve"> </w:t>
      </w:r>
      <w:r>
        <w:t xml:space="preserve">(frog family), presumably based on the</w:t>
      </w:r>
      <w:r>
        <w:t xml:space="preserve"> </w:t>
      </w:r>
      <w:r>
        <w:rPr>
          <w:iCs/>
          <w:i/>
        </w:rPr>
        <w:t xml:space="preserve">Guangyun</w:t>
      </w:r>
      <w:r>
        <w:t xml:space="preserve">’s</w:t>
      </w:r>
      <w:r>
        <w:t xml:space="preserve"> </w:t>
      </w:r>
      <w:r>
        <w:t xml:space="preserve">‘</w:t>
      </w:r>
      <w:r>
        <w:t xml:space="preserve">蛙屬</w:t>
      </w:r>
      <w:r>
        <w:t xml:space="preserve">’</w:t>
      </w:r>
      <w:r>
        <w:t xml:space="preserve">. The</w:t>
      </w:r>
      <w:r>
        <w:t xml:space="preserve"> </w:t>
      </w:r>
      <w:r>
        <w:t xml:space="preserve">‘</w:t>
      </w:r>
      <w:r>
        <w:t xml:space="preserve">B属</w:t>
      </w:r>
      <w:r>
        <w:t xml:space="preserve">’</w:t>
      </w:r>
      <w:r>
        <w:t xml:space="preserve"> </w:t>
      </w:r>
      <w:r>
        <w:t xml:space="preserve">type also includes examples such as animals (</w:t>
      </w:r>
      <w:r>
        <w:t xml:space="preserve">‘</w:t>
      </w:r>
      <w:r>
        <w:t xml:space="preserve">豕属</w:t>
      </w:r>
      <w:r>
        <w:t xml:space="preserve">’</w:t>
      </w:r>
      <w:r>
        <w:t xml:space="preserve">,</w:t>
      </w:r>
      <w:r>
        <w:t xml:space="preserve"> </w:t>
      </w:r>
      <w:r>
        <w:t xml:space="preserve">‘</w:t>
      </w:r>
      <w:r>
        <w:t xml:space="preserve">鹿属</w:t>
      </w:r>
      <w:r>
        <w:t xml:space="preserve">’</w:t>
      </w:r>
      <w:r>
        <w:t xml:space="preserve">), plants (</w:t>
      </w:r>
      <w:r>
        <w:t xml:space="preserve">‘</w:t>
      </w:r>
      <w:r>
        <w:t xml:space="preserve">橘属</w:t>
      </w:r>
      <w:r>
        <w:t xml:space="preserve">’</w:t>
      </w:r>
      <w:r>
        <w:t xml:space="preserve">,</w:t>
      </w:r>
      <w:r>
        <w:t xml:space="preserve"> </w:t>
      </w:r>
      <w:r>
        <w:t xml:space="preserve">‘</w:t>
      </w:r>
      <w:r>
        <w:t xml:space="preserve">梨属</w:t>
      </w:r>
      <w:r>
        <w:t xml:space="preserve">’</w:t>
      </w:r>
      <w:r>
        <w:t xml:space="preserve">), and objects (</w:t>
      </w:r>
      <w:r>
        <w:t xml:space="preserve">‘</w:t>
      </w:r>
      <w:r>
        <w:t xml:space="preserve">楸属</w:t>
      </w:r>
      <w:r>
        <w:t xml:space="preserve">’</w:t>
      </w:r>
      <w:r>
        <w:t xml:space="preserve">,</w:t>
      </w:r>
      <w:r>
        <w:t xml:space="preserve"> </w:t>
      </w:r>
      <w:r>
        <w:t xml:space="preserve">‘</w:t>
      </w:r>
      <w:r>
        <w:t xml:space="preserve">匙属</w:t>
      </w:r>
      <w:r>
        <w:t xml:space="preserve">’</w:t>
      </w:r>
      <w:r>
        <w:t xml:space="preserve">).</w:t>
      </w:r>
    </w:p>
    <w:p>
      <w:pPr>
        <w:pStyle w:val="BodyText"/>
      </w:pPr>
      <w:r>
        <w:t xml:space="preserve">No. 8,</w:t>
      </w:r>
      <w:r>
        <w:t xml:space="preserve"> </w:t>
      </w:r>
      <w:r>
        <w:t xml:space="preserve">‘</w:t>
      </w:r>
      <w:r>
        <w:t xml:space="preserve">粲然</w:t>
      </w:r>
      <w:r>
        <w:t xml:space="preserve">’</w:t>
      </w:r>
      <w:r>
        <w:t xml:space="preserve">, is glossed</w:t>
      </w:r>
      <w:r>
        <w:t xml:space="preserve"> </w:t>
      </w:r>
      <w:r>
        <w:t xml:space="preserve">‘</w:t>
      </w:r>
      <w:r>
        <w:t xml:space="preserve">明皃</w:t>
      </w:r>
      <w:r>
        <w:t xml:space="preserve">’</w:t>
      </w:r>
      <w:r>
        <w:t xml:space="preserve"> </w:t>
      </w:r>
      <w:r>
        <w:t xml:space="preserve">(a bright, clear appearance), meaning a clear or evident state.</w:t>
      </w:r>
      <w:r>
        <w:t xml:space="preserve"> </w:t>
      </w:r>
      <w:r>
        <w:t xml:space="preserve">‘</w:t>
      </w:r>
      <w:r>
        <w:t xml:space="preserve">皃</w:t>
      </w:r>
      <w:r>
        <w:t xml:space="preserve">’</w:t>
      </w:r>
      <w:r>
        <w:t xml:space="preserve"> </w:t>
      </w:r>
      <w:r>
        <w:t xml:space="preserve">is a variant character of</w:t>
      </w:r>
      <w:r>
        <w:t xml:space="preserve"> </w:t>
      </w:r>
      <w:r>
        <w:t xml:space="preserve">‘</w:t>
      </w:r>
      <w:r>
        <w:t xml:space="preserve">貌</w:t>
      </w:r>
      <w:r>
        <w:t xml:space="preserve">’</w:t>
      </w:r>
      <w:r>
        <w:t xml:space="preserve"> </w:t>
      </w:r>
      <w:r>
        <w:t xml:space="preserve">and is frequently used as a suffix indicating appearance or condition. In old manuscripts, it is also sometimes written as</w:t>
      </w:r>
      <w:r>
        <w:t xml:space="preserve"> </w:t>
      </w:r>
      <w:r>
        <w:t xml:space="preserve">‘</w:t>
      </w:r>
      <w:r>
        <w:t xml:space="preserve">㒵</w:t>
      </w:r>
      <w:r>
        <w:t xml:space="preserve">’</w:t>
      </w:r>
      <w:r>
        <w:t xml:space="preserve"> </w:t>
      </w:r>
      <w:r>
        <w:t xml:space="preserve">or</w:t>
      </w:r>
      <w:r>
        <w:t xml:space="preserve"> </w:t>
      </w:r>
      <w:r>
        <w:t xml:space="preserve">‘</w:t>
      </w:r>
      <w:r>
        <w:t xml:space="preserve">皀</w:t>
      </w:r>
      <w:r>
        <w:t xml:space="preserve">’</w:t>
      </w:r>
      <w:r>
        <w:t xml:space="preserve">.</w:t>
      </w:r>
    </w:p>
    <w:bookmarkEnd w:id="644"/>
    <w:bookmarkStart w:id="645" w:name="X753f77fa64a16f3bc841d0a29b9637d9987f504"/>
    <w:p>
      <w:pPr>
        <w:pStyle w:val="Heading3"/>
      </w:pPr>
      <w:r>
        <w:rPr>
          <w:rStyle w:val="SectionNumber"/>
        </w:rPr>
        <w:t xml:space="preserve">24.1.3</w:t>
      </w:r>
      <w:r>
        <w:tab/>
      </w:r>
      <w:r>
        <w:t xml:space="preserve">Three-Character Semantic Glosses in Chinese</w:t>
      </w:r>
    </w:p>
    <w:p>
      <w:pPr>
        <w:pStyle w:val="FirstParagraph"/>
      </w:pPr>
      <w:r>
        <w:t xml:space="preserve">A three-character</w:t>
      </w:r>
      <w:r>
        <w:t xml:space="preserve"> </w:t>
      </w:r>
      <w:r>
        <w:rPr>
          <w:rStyle w:val="VerbatimChar"/>
          <w:bCs/>
          <w:b/>
        </w:rPr>
        <w:t xml:space="preserve">Semantic Gloss in Chinese</w:t>
      </w:r>
      <w:r>
        <w:t xml:space="preserve"> </w:t>
      </w:r>
      <w:r>
        <w:t xml:space="preserve">glosses</w:t>
      </w:r>
      <w:r>
        <w:t xml:space="preserve"> </w:t>
      </w:r>
      <w:r>
        <w:rPr>
          <w:rStyle w:val="VerbatimChar"/>
          <w:bCs/>
          <w:b/>
        </w:rPr>
        <w:t xml:space="preserve">Headword</w:t>
      </w:r>
      <w:r>
        <w:t xml:space="preserve"> </w:t>
      </w:r>
      <w:r>
        <w:t xml:space="preserve">A in the form</w:t>
      </w:r>
      <w:r>
        <w:t xml:space="preserve"> </w:t>
      </w:r>
      <w:r>
        <w:t xml:space="preserve">‘</w:t>
      </w:r>
      <w:r>
        <w:t xml:space="preserve">CD也</w:t>
      </w:r>
      <w:r>
        <w:t xml:space="preserve">’</w:t>
      </w:r>
      <w:r>
        <w:t xml:space="preserve">. This form is also sometimes used to gloss a two-character idiom</w:t>
      </w:r>
      <w:r>
        <w:t xml:space="preserve"> </w:t>
      </w:r>
      <w:r>
        <w:rPr>
          <w:rStyle w:val="VerbatimChar"/>
          <w:bCs/>
          <w:b/>
        </w:rPr>
        <w:t xml:space="preserve">Headword</w:t>
      </w:r>
      <w:r>
        <w:t xml:space="preserve"> </w:t>
      </w:r>
      <w:r>
        <w:t xml:space="preserve">AB.</w:t>
      </w:r>
    </w:p>
    <w:p>
      <w:pPr>
        <w:pStyle w:val="BodyText"/>
      </w:pPr>
      <w:r>
        <w:t xml:space="preserve">Of the approximately 2,100 three-character</w:t>
      </w:r>
      <w:r>
        <w:t xml:space="preserve"> </w:t>
      </w:r>
      <w:r>
        <w:rPr>
          <w:rStyle w:val="VerbatimChar"/>
          <w:bCs/>
          <w:b/>
        </w:rPr>
        <w:t xml:space="preserve">Semantic Glosses in Chinese</w:t>
      </w:r>
      <w:r>
        <w:t xml:space="preserve">, the form ending in</w:t>
      </w:r>
      <w:r>
        <w:t xml:space="preserve"> </w:t>
      </w:r>
      <w:r>
        <w:t xml:space="preserve">‘</w:t>
      </w:r>
      <w:r>
        <w:t xml:space="preserve">也</w:t>
      </w:r>
      <w:r>
        <w:t xml:space="preserve">’</w:t>
      </w:r>
      <w:r>
        <w:t xml:space="preserve"> </w:t>
      </w:r>
      <w:r>
        <w:t xml:space="preserve">accounts for approximately 700, or about one-third. Besides</w:t>
      </w:r>
      <w:r>
        <w:t xml:space="preserve"> </w:t>
      </w:r>
      <w:r>
        <w:t xml:space="preserve">‘</w:t>
      </w:r>
      <w:r>
        <w:t xml:space="preserve">也</w:t>
      </w:r>
      <w:r>
        <w:t xml:space="preserve">’</w:t>
      </w:r>
      <w:r>
        <w:t xml:space="preserve">, characters such as</w:t>
      </w:r>
      <w:r>
        <w:t xml:space="preserve"> </w:t>
      </w:r>
      <w:r>
        <w:t xml:space="preserve">‘</w:t>
      </w:r>
      <w:r>
        <w:t xml:space="preserve">皃</w:t>
      </w:r>
      <w:r>
        <w:t xml:space="preserve">’</w:t>
      </w:r>
      <w:r>
        <w:t xml:space="preserve">,</w:t>
      </w:r>
      <w:r>
        <w:t xml:space="preserve"> </w:t>
      </w:r>
      <w:r>
        <w:t xml:space="preserve">‘</w:t>
      </w:r>
      <w:r>
        <w:t xml:space="preserve">名</w:t>
      </w:r>
      <w:r>
        <w:t xml:space="preserve">’</w:t>
      </w:r>
      <w:r>
        <w:t xml:space="preserve">, and</w:t>
      </w:r>
      <w:r>
        <w:t xml:space="preserve"> </w:t>
      </w:r>
      <w:r>
        <w:t xml:space="preserve">‘</w:t>
      </w:r>
      <w:r>
        <w:t xml:space="preserve">声</w:t>
      </w:r>
      <w:r>
        <w:t xml:space="preserve">’</w:t>
      </w:r>
      <w:r>
        <w:t xml:space="preserve"> </w:t>
      </w:r>
      <w:r>
        <w:t xml:space="preserve">are also used, each with more than 50 examples. Several examples are given below.</w:t>
      </w:r>
    </w:p>
    <w:p>
      <w:pPr>
        <w:pStyle w:val="BodyText"/>
      </w:pPr>
      <w:r>
        <w:rPr>
          <w:bCs/>
          <w:b/>
        </w:rPr>
        <w:t xml:space="preserve">Examples</w:t>
      </w:r>
      <w:r>
        <w:t xml:space="preserve"> </w:t>
      </w:r>
      <w:r>
        <w:t xml:space="preserve">-</w:t>
      </w:r>
      <w:r>
        <w:t xml:space="preserve"> </w:t>
      </w:r>
      <w:r>
        <w:rPr>
          <w:rStyle w:val="VerbatimChar"/>
        </w:rPr>
        <w:t xml:space="preserve">hanzi_entry</w:t>
      </w:r>
      <w:r>
        <w:t xml:space="preserve">: 仞,</w:t>
      </w:r>
      <w:r>
        <w:t xml:space="preserve"> </w:t>
      </w:r>
      <w:r>
        <w:rPr>
          <w:rStyle w:val="VerbatimChar"/>
        </w:rPr>
        <w:t xml:space="preserve">definition</w:t>
      </w:r>
      <w:r>
        <w:t xml:space="preserve">: 一尋也</w:t>
      </w:r>
      <w:r>
        <w:t xml:space="preserve"> </w:t>
      </w:r>
      <w:r>
        <w:t xml:space="preserve">-</w:t>
      </w:r>
      <w:r>
        <w:t xml:space="preserve"> </w:t>
      </w:r>
      <w:r>
        <w:rPr>
          <w:rStyle w:val="VerbatimChar"/>
        </w:rPr>
        <w:t xml:space="preserve">hanzi_entry</w:t>
      </w:r>
      <w:r>
        <w:t xml:space="preserve">: 彗,</w:t>
      </w:r>
      <w:r>
        <w:t xml:space="preserve"> </w:t>
      </w:r>
      <w:r>
        <w:rPr>
          <w:rStyle w:val="VerbatimChar"/>
        </w:rPr>
        <w:t xml:space="preserve">definition</w:t>
      </w:r>
      <w:r>
        <w:t xml:space="preserve">: 衆星皃</w:t>
      </w:r>
      <w:r>
        <w:t xml:space="preserve"> </w:t>
      </w:r>
      <w:r>
        <w:t xml:space="preserve">-</w:t>
      </w:r>
      <w:r>
        <w:t xml:space="preserve"> </w:t>
      </w:r>
      <w:r>
        <w:rPr>
          <w:rStyle w:val="VerbatimChar"/>
        </w:rPr>
        <w:t xml:space="preserve">hanzi_entry</w:t>
      </w:r>
      <w:r>
        <w:t xml:space="preserve">: 韶,</w:t>
      </w:r>
      <w:r>
        <w:t xml:space="preserve"> </w:t>
      </w:r>
      <w:r>
        <w:rPr>
          <w:rStyle w:val="VerbatimChar"/>
        </w:rPr>
        <w:t xml:space="preserve">definition</w:t>
      </w:r>
      <w:r>
        <w:t xml:space="preserve">: 舜樂名</w:t>
      </w:r>
      <w:r>
        <w:t xml:space="preserve"> </w:t>
      </w:r>
      <w:r>
        <w:t xml:space="preserve">-</w:t>
      </w:r>
      <w:r>
        <w:t xml:space="preserve"> </w:t>
      </w:r>
      <w:r>
        <w:rPr>
          <w:rStyle w:val="VerbatimChar"/>
        </w:rPr>
        <w:t xml:space="preserve">hanzi_entry</w:t>
      </w:r>
      <w:r>
        <w:t xml:space="preserve">: 嚊,</w:t>
      </w:r>
      <w:r>
        <w:t xml:space="preserve"> </w:t>
      </w:r>
      <w:r>
        <w:rPr>
          <w:rStyle w:val="VerbatimChar"/>
        </w:rPr>
        <w:t xml:space="preserve">definition</w:t>
      </w:r>
      <w:r>
        <w:t xml:space="preserve">: 喘息声</w:t>
      </w:r>
    </w:p>
    <w:p>
      <w:pPr>
        <w:pStyle w:val="BodyText"/>
      </w:pPr>
      <w:r>
        <w:t xml:space="preserve">An explanation of</w:t>
      </w:r>
      <w:r>
        <w:t xml:space="preserve"> </w:t>
      </w:r>
      <w:r>
        <w:rPr>
          <w:rStyle w:val="VerbatimChar"/>
          <w:bCs/>
          <w:b/>
        </w:rPr>
        <w:t xml:space="preserve">Semantic Glosses in Chinese</w:t>
      </w:r>
      <w:r>
        <w:t xml:space="preserve"> </w:t>
      </w:r>
      <w:r>
        <w:t xml:space="preserve">of four characters or more is omitted here.</w:t>
      </w:r>
    </w:p>
    <w:bookmarkEnd w:id="645"/>
    <w:bookmarkEnd w:id="646"/>
    <w:bookmarkStart w:id="654" w:name="Xf06fc88f41d4f25b4ba9cea334db8f9dff2a189"/>
    <w:p>
      <w:pPr>
        <w:pStyle w:val="Heading2"/>
      </w:pPr>
      <w:r>
        <w:rPr>
          <w:rStyle w:val="SectionNumber"/>
        </w:rPr>
        <w:t xml:space="preserve">24.2</w:t>
      </w:r>
      <w:r>
        <w:tab/>
      </w:r>
      <w:r>
        <w:t xml:space="preserve">Types of Semantic Glosses in Chinese</w:t>
      </w:r>
    </w:p>
    <w:bookmarkStart w:id="647" w:name="X04705c54c18f8e7f7a41a4ec1a0970754eea418"/>
    <w:p>
      <w:pPr>
        <w:pStyle w:val="Heading3"/>
      </w:pPr>
      <w:r>
        <w:rPr>
          <w:rStyle w:val="SectionNumber"/>
        </w:rPr>
        <w:t xml:space="preserve">24.2.1</w:t>
      </w:r>
      <w:r>
        <w:tab/>
      </w:r>
      <w:r>
        <w:t xml:space="preserve">Single-Character Semantic Glosses</w:t>
      </w:r>
    </w:p>
    <w:p>
      <w:pPr>
        <w:pStyle w:val="FirstParagraph"/>
      </w:pPr>
      <w:r>
        <w:t xml:space="preserve">A</w:t>
      </w:r>
      <w:r>
        <w:t xml:space="preserve"> </w:t>
      </w:r>
      <w:r>
        <w:rPr>
          <w:rStyle w:val="VerbatimChar"/>
          <w:bCs/>
          <w:b/>
        </w:rPr>
        <w:t xml:space="preserve">Single-character Semantic Gloss</w:t>
      </w:r>
      <w:r>
        <w:t xml:space="preserve"> </w:t>
      </w:r>
      <w:r>
        <w:t xml:space="preserve">(単字注) conveys the meaning of a Chinese character either as a one-character</w:t>
      </w:r>
      <w:r>
        <w:t xml:space="preserve"> </w:t>
      </w:r>
      <w:r>
        <w:rPr>
          <w:rStyle w:val="VerbatimChar"/>
          <w:bCs/>
          <w:b/>
        </w:rPr>
        <w:t xml:space="preserve">Semantic Gloss in Chinese</w:t>
      </w:r>
      <w:r>
        <w:t xml:space="preserve">, or as a two-character</w:t>
      </w:r>
      <w:r>
        <w:t xml:space="preserve"> </w:t>
      </w:r>
      <w:r>
        <w:rPr>
          <w:rStyle w:val="VerbatimChar"/>
          <w:bCs/>
          <w:b/>
        </w:rPr>
        <w:t xml:space="preserve">Semantic Gloss in Chinese</w:t>
      </w:r>
      <w:r>
        <w:t xml:space="preserve"> </w:t>
      </w:r>
      <w:r>
        <w:t xml:space="preserve">with</w:t>
      </w:r>
      <w:r>
        <w:t xml:space="preserve"> </w:t>
      </w:r>
      <w:r>
        <w:t xml:space="preserve">‘</w:t>
      </w:r>
      <w:r>
        <w:t xml:space="preserve">也</w:t>
      </w:r>
      <w:r>
        <w:t xml:space="preserve">’</w:t>
      </w:r>
      <w:r>
        <w:t xml:space="preserve"> </w:t>
      </w:r>
      <w:r>
        <w:t xml:space="preserve">added. For a detailed explanation, see the</w:t>
      </w:r>
      <w:r>
        <w:t xml:space="preserve"> </w:t>
      </w:r>
      <w:r>
        <w:t xml:space="preserve">“</w:t>
      </w:r>
      <w:r>
        <w:t xml:space="preserve">One-Character Semantic Glosses in Chinese</w:t>
      </w:r>
      <w:r>
        <w:t xml:space="preserve">”</w:t>
      </w:r>
      <w:r>
        <w:t xml:space="preserve"> </w:t>
      </w:r>
      <w:r>
        <w:t xml:space="preserve">and</w:t>
      </w:r>
      <w:r>
        <w:t xml:space="preserve"> </w:t>
      </w:r>
      <w:r>
        <w:t xml:space="preserve">“</w:t>
      </w:r>
      <w:r>
        <w:t xml:space="preserve">Two-Character Semantic Glosses in Chinese</w:t>
      </w:r>
      <w:r>
        <w:t xml:space="preserve">”</w:t>
      </w:r>
      <w:r>
        <w:t xml:space="preserve"> </w:t>
      </w:r>
      <w:r>
        <w:t xml:space="preserve">sections above.</w:t>
      </w:r>
    </w:p>
    <w:bookmarkEnd w:id="647"/>
    <w:bookmarkStart w:id="648" w:name="X98cdf639f7c1037ec2fabb3d31a30150ec8013f"/>
    <w:p>
      <w:pPr>
        <w:pStyle w:val="Heading3"/>
      </w:pPr>
      <w:r>
        <w:rPr>
          <w:rStyle w:val="SectionNumber"/>
        </w:rPr>
        <w:t xml:space="preserve">24.2.2</w:t>
      </w:r>
      <w:r>
        <w:tab/>
      </w:r>
      <w:r>
        <w:t xml:space="preserve">Appearance Glosses (</w:t>
      </w:r>
      <w:r>
        <w:t xml:space="preserve">‘</w:t>
      </w:r>
      <w:r>
        <w:t xml:space="preserve">～皃</w:t>
      </w:r>
      <w:r>
        <w:t xml:space="preserve">’</w:t>
      </w:r>
      <w:r>
        <w:t xml:space="preserve">)</w:t>
      </w:r>
    </w:p>
    <w:p>
      <w:pPr>
        <w:pStyle w:val="FirstParagraph"/>
      </w:pPr>
      <w:r>
        <w:t xml:space="preserve">This is a frequently used form for expressing shape or manner in</w:t>
      </w:r>
      <w:r>
        <w:t xml:space="preserve"> </w:t>
      </w:r>
      <w:r>
        <w:rPr>
          <w:rStyle w:val="VerbatimChar"/>
          <w:bCs/>
          <w:b/>
        </w:rPr>
        <w:t xml:space="preserve">Semantic Glosses in Chinese</w:t>
      </w:r>
      <w:r>
        <w:t xml:space="preserve">.</w:t>
      </w:r>
      <w:r>
        <w:t xml:space="preserve"> </w:t>
      </w:r>
      <w:r>
        <w:t xml:space="preserve">Examples include</w:t>
      </w:r>
      <w:r>
        <w:t xml:space="preserve"> </w:t>
      </w:r>
      <w:r>
        <w:t xml:space="preserve">‘</w:t>
      </w:r>
      <w:r>
        <w:t xml:space="preserve">睆　目出皃</w:t>
      </w:r>
      <w:r>
        <w:t xml:space="preserve">’</w:t>
      </w:r>
      <w:r>
        <w:t xml:space="preserve">,</w:t>
      </w:r>
      <w:r>
        <w:t xml:space="preserve"> </w:t>
      </w:r>
      <w:r>
        <w:t xml:space="preserve">‘</w:t>
      </w:r>
      <w:r>
        <w:t xml:space="preserve">岝　ー峉山皃</w:t>
      </w:r>
      <w:r>
        <w:t xml:space="preserve">’</w:t>
      </w:r>
      <w:r>
        <w:t xml:space="preserve">, and</w:t>
      </w:r>
      <w:r>
        <w:t xml:space="preserve"> </w:t>
      </w:r>
      <w:r>
        <w:t xml:space="preserve">‘</w:t>
      </w:r>
      <w:r>
        <w:t xml:space="preserve">懖　無知之皃</w:t>
      </w:r>
      <w:r>
        <w:t xml:space="preserve">’</w:t>
      </w:r>
      <w:r>
        <w:t xml:space="preserve">, which are transcriptions and citations of Chinese lexicographic sources (小学書).</w:t>
      </w:r>
      <w:r>
        <w:t xml:space="preserve"> </w:t>
      </w:r>
      <w:r>
        <w:t xml:space="preserve">This</w:t>
      </w:r>
      <w:r>
        <w:t xml:space="preserve"> </w:t>
      </w:r>
      <w:r>
        <w:t xml:space="preserve">‘</w:t>
      </w:r>
      <w:r>
        <w:t xml:space="preserve">～皃</w:t>
      </w:r>
      <w:r>
        <w:t xml:space="preserve">’</w:t>
      </w:r>
      <w:r>
        <w:t xml:space="preserve"> </w:t>
      </w:r>
      <w:r>
        <w:t xml:space="preserve">type is frequently used in the early-Heian-period dictionary</w:t>
      </w:r>
      <w:r>
        <w:t xml:space="preserve"> </w:t>
      </w:r>
      <w:r>
        <w:rPr>
          <w:iCs/>
          <w:i/>
        </w:rPr>
        <w:t xml:space="preserve">Shinsen Jikyō</w:t>
      </w:r>
      <w:r>
        <w:t xml:space="preserve">, but becomes less common in the</w:t>
      </w:r>
      <w:r>
        <w:t xml:space="preserve"> </w:t>
      </w:r>
      <w:r>
        <w:rPr>
          <w:iCs/>
          <w:i/>
        </w:rPr>
        <w:t xml:space="preserve">Ruiju Myōgishō</w:t>
      </w:r>
      <w:r>
        <w:t xml:space="preserve">.</w:t>
      </w:r>
      <w:r>
        <w:t xml:space="preserve"> </w:t>
      </w:r>
      <w:r>
        <w:t xml:space="preserve">The most distinctive feature of the treatment of</w:t>
      </w:r>
      <w:r>
        <w:t xml:space="preserve"> </w:t>
      </w:r>
      <w:r>
        <w:t xml:space="preserve">‘</w:t>
      </w:r>
      <w:r>
        <w:t xml:space="preserve">皃</w:t>
      </w:r>
      <w:r>
        <w:t xml:space="preserve">’</w:t>
      </w:r>
      <w:r>
        <w:t xml:space="preserve"> </w:t>
      </w:r>
      <w:r>
        <w:t xml:space="preserve">(㒵) in the</w:t>
      </w:r>
      <w:r>
        <w:t xml:space="preserve"> </w:t>
      </w:r>
      <w:r>
        <w:rPr>
          <w:iCs/>
          <w:i/>
        </w:rPr>
        <w:t xml:space="preserve">Ruiju Myōgishō</w:t>
      </w:r>
      <w:r>
        <w:t xml:space="preserve"> </w:t>
      </w:r>
      <w:r>
        <w:t xml:space="preserve">is that, rather than simply reproducing the</w:t>
      </w:r>
      <w:r>
        <w:t xml:space="preserve"> </w:t>
      </w:r>
      <w:r>
        <w:t xml:space="preserve">‘</w:t>
      </w:r>
      <w:r>
        <w:t xml:space="preserve">〜皃</w:t>
      </w:r>
      <w:r>
        <w:t xml:space="preserve">’</w:t>
      </w:r>
      <w:r>
        <w:t xml:space="preserve"> </w:t>
      </w:r>
      <w:r>
        <w:t xml:space="preserve">(in the manner of 〜)</w:t>
      </w:r>
      <w:r>
        <w:t xml:space="preserve"> </w:t>
      </w:r>
      <w:r>
        <w:rPr>
          <w:rStyle w:val="VerbatimChar"/>
          <w:bCs/>
          <w:b/>
        </w:rPr>
        <w:t xml:space="preserve">Semantic Gloss in Chinese</w:t>
      </w:r>
      <w:r>
        <w:t xml:space="preserve"> </w:t>
      </w:r>
      <w:r>
        <w:t xml:space="preserve">(a state description) found in Chinese classics and earlier dictionaries, it fully translates and absorbs that description into practical Japanese predicates (verbs and adjectives) or phrases.</w:t>
      </w:r>
    </w:p>
    <w:p>
      <w:pPr>
        <w:numPr>
          <w:ilvl w:val="0"/>
          <w:numId w:val="1244"/>
        </w:numPr>
      </w:pPr>
      <w:r>
        <w:t xml:space="preserve">‘</w:t>
      </w:r>
      <w:r>
        <w:t xml:space="preserve">矍</w:t>
      </w:r>
      <w:r>
        <w:t xml:space="preserve">’</w:t>
      </w:r>
      <w:r>
        <w:t xml:space="preserve"> </w:t>
      </w:r>
      <w:r>
        <w:t xml:space="preserve">(視遽皃 →</w:t>
      </w:r>
      <w:r>
        <w:t xml:space="preserve"> </w:t>
      </w:r>
      <w:r>
        <w:rPr>
          <w:iCs/>
          <w:i/>
        </w:rPr>
        <w:t xml:space="preserve">miru</w:t>
      </w:r>
      <w:r>
        <w:t xml:space="preserve">,</w:t>
      </w:r>
      <w:r>
        <w:t xml:space="preserve"> </w:t>
      </w:r>
      <w:r>
        <w:rPr>
          <w:iCs/>
          <w:i/>
        </w:rPr>
        <w:t xml:space="preserve">odoroku</w:t>
      </w:r>
      <w:r>
        <w:t xml:space="preserve">)</w:t>
      </w:r>
      <w:r>
        <w:t xml:space="preserve"> </w:t>
      </w:r>
      <w:r>
        <w:t xml:space="preserve">Where</w:t>
      </w:r>
      <w:r>
        <w:t xml:space="preserve"> </w:t>
      </w:r>
      <w:r>
        <w:t xml:space="preserve">‘</w:t>
      </w:r>
      <w:r>
        <w:t xml:space="preserve">矍</w:t>
      </w:r>
      <w:r>
        <w:t xml:space="preserve">’</w:t>
      </w:r>
      <w:r>
        <w:t xml:space="preserve"> </w:t>
      </w:r>
      <w:r>
        <w:t xml:space="preserve">is defined in sources such as the</w:t>
      </w:r>
      <w:r>
        <w:t xml:space="preserve"> </w:t>
      </w:r>
      <w:r>
        <w:rPr>
          <w:iCs/>
          <w:i/>
        </w:rPr>
        <w:t xml:space="preserve">Shuowen Jiezi</w:t>
      </w:r>
      <w:r>
        <w:t xml:space="preserve"> </w:t>
      </w:r>
      <w:r>
        <w:t xml:space="preserve">as</w:t>
      </w:r>
      <w:r>
        <w:t xml:space="preserve"> </w:t>
      </w:r>
      <w:r>
        <w:t xml:space="preserve">‘</w:t>
      </w:r>
      <w:r>
        <w:t xml:space="preserve">視遽皃</w:t>
      </w:r>
      <w:r>
        <w:t xml:space="preserve">’</w:t>
      </w:r>
      <w:r>
        <w:t xml:space="preserve"> </w:t>
      </w:r>
      <w:r>
        <w:t xml:space="preserve">(the appearance of looking with alarm), the</w:t>
      </w:r>
      <w:r>
        <w:t xml:space="preserve"> </w:t>
      </w:r>
      <w:r>
        <w:rPr>
          <w:iCs/>
          <w:i/>
        </w:rPr>
        <w:t xml:space="preserve">Ruiju Myōgishō</w:t>
      </w:r>
      <w:r>
        <w:t xml:space="preserve"> </w:t>
      </w:r>
      <w:r>
        <w:t xml:space="preserve">decomposes and translates this into the two verbs</w:t>
      </w:r>
      <w:r>
        <w:t xml:space="preserve"> </w:t>
      </w:r>
      <w:r>
        <w:t xml:space="preserve">‘</w:t>
      </w:r>
      <w:r>
        <w:t xml:space="preserve">ミル</w:t>
      </w:r>
      <w:r>
        <w:t xml:space="preserve">’</w:t>
      </w:r>
      <w:r>
        <w:t xml:space="preserve"> </w:t>
      </w:r>
      <w:r>
        <w:t xml:space="preserve">(</w:t>
      </w:r>
      <w:r>
        <w:rPr>
          <w:iCs/>
          <w:i/>
        </w:rPr>
        <w:t xml:space="preserve">miru</w:t>
      </w:r>
      <w:r>
        <w:t xml:space="preserve">, to see) and</w:t>
      </w:r>
      <w:r>
        <w:t xml:space="preserve"> </w:t>
      </w:r>
      <w:r>
        <w:t xml:space="preserve">‘</w:t>
      </w:r>
      <w:r>
        <w:t xml:space="preserve">オドロク</w:t>
      </w:r>
      <w:r>
        <w:t xml:space="preserve">’</w:t>
      </w:r>
      <w:r>
        <w:t xml:space="preserve"> </w:t>
      </w:r>
      <w:r>
        <w:t xml:space="preserve">(</w:t>
      </w:r>
      <w:r>
        <w:rPr>
          <w:iCs/>
          <w:i/>
        </w:rPr>
        <w:t xml:space="preserve">odoroku</w:t>
      </w:r>
      <w:r>
        <w:t xml:space="preserve">, to be startled) as</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 This is an example of an abstract manner being replaced with concrete Japanese verbs of visual action.</w:t>
      </w:r>
    </w:p>
    <w:p>
      <w:pPr>
        <w:numPr>
          <w:ilvl w:val="0"/>
          <w:numId w:val="1244"/>
        </w:numPr>
      </w:pPr>
      <w:r>
        <w:t xml:space="preserve">‘</w:t>
      </w:r>
      <w:r>
        <w:t xml:space="preserve">瞚</w:t>
      </w:r>
      <w:r>
        <w:t xml:space="preserve">’</w:t>
      </w:r>
      <w:r>
        <w:t xml:space="preserve">/</w:t>
      </w:r>
      <w:r>
        <w:t xml:space="preserve">‘</w:t>
      </w:r>
      <w:r>
        <w:t xml:space="preserve">睻</w:t>
      </w:r>
      <w:r>
        <w:t xml:space="preserve">’</w:t>
      </w:r>
      <w:r>
        <w:t xml:space="preserve"> </w:t>
      </w:r>
      <w:r>
        <w:t xml:space="preserve">(揺動皃 →</w:t>
      </w:r>
      <w:r>
        <w:t xml:space="preserve"> </w:t>
      </w:r>
      <w:r>
        <w:rPr>
          <w:iCs/>
          <w:i/>
        </w:rPr>
        <w:t xml:space="preserve">matataku</w:t>
      </w:r>
      <w:r>
        <w:t xml:space="preserve">,</w:t>
      </w:r>
      <w:r>
        <w:t xml:space="preserve"> </w:t>
      </w:r>
      <w:r>
        <w:rPr>
          <w:iCs/>
          <w:i/>
        </w:rPr>
        <w:t xml:space="preserve">majiroku</w:t>
      </w:r>
      <w:r>
        <w:t xml:space="preserve">)</w:t>
      </w:r>
      <w:r>
        <w:t xml:space="preserve"> </w:t>
      </w:r>
      <w:r>
        <w:t xml:space="preserve">Where the</w:t>
      </w:r>
      <w:r>
        <w:t xml:space="preserve"> </w:t>
      </w:r>
      <w:r>
        <w:rPr>
          <w:iCs/>
          <w:i/>
        </w:rPr>
        <w:t xml:space="preserve">Shinsen Jikyō</w:t>
      </w:r>
      <w:r>
        <w:t xml:space="preserve"> </w:t>
      </w:r>
      <w:r>
        <w:t xml:space="preserve">stage describes this group of</w:t>
      </w:r>
      <w:r>
        <w:t xml:space="preserve"> </w:t>
      </w:r>
      <w:r>
        <w:t xml:space="preserve">“</w:t>
      </w:r>
      <w:r>
        <w:t xml:space="preserve">blinking</w:t>
      </w:r>
      <w:r>
        <w:t xml:space="preserve">”</w:t>
      </w:r>
      <w:r>
        <w:t xml:space="preserve"> </w:t>
      </w:r>
      <w:r>
        <w:t xml:space="preserve">words in literary Chinese as</w:t>
      </w:r>
      <w:r>
        <w:t xml:space="preserve"> </w:t>
      </w:r>
      <w:r>
        <w:t xml:space="preserve">‘</w:t>
      </w:r>
      <w:r>
        <w:t xml:space="preserve">開𡈮目數揺動皃</w:t>
      </w:r>
      <w:r>
        <w:t xml:space="preserve">’</w:t>
      </w:r>
      <w:r>
        <w:t xml:space="preserve"> </w:t>
      </w:r>
      <w:r>
        <w:t xml:space="preserve">(the appearance of opening and closing the eyes and moving them repeatedly), the</w:t>
      </w:r>
      <w:r>
        <w:t xml:space="preserve"> </w:t>
      </w:r>
      <w:r>
        <w:rPr>
          <w:iCs/>
          <w:i/>
        </w:rPr>
        <w:t xml:space="preserve">Ruiju Myōgishō</w:t>
      </w:r>
      <w:r>
        <w:t xml:space="preserve"> </w:t>
      </w:r>
      <w:r>
        <w:t xml:space="preserve">reduces and organizes them into the Japanese verbs of eye movement</w:t>
      </w:r>
      <w:r>
        <w:t xml:space="preserve"> </w:t>
      </w:r>
      <w:r>
        <w:t xml:space="preserve">‘</w:t>
      </w:r>
      <w:r>
        <w:t xml:space="preserve">マタタク</w:t>
      </w:r>
      <w:r>
        <w:t xml:space="preserve">’</w:t>
      </w:r>
      <w:r>
        <w:t xml:space="preserve"> </w:t>
      </w:r>
      <w:r>
        <w:t xml:space="preserve">(</w:t>
      </w:r>
      <w:r>
        <w:rPr>
          <w:iCs/>
          <w:i/>
        </w:rPr>
        <w:t xml:space="preserve">matataku</w:t>
      </w:r>
      <w:r>
        <w:t xml:space="preserve">) and</w:t>
      </w:r>
      <w:r>
        <w:t xml:space="preserve"> </w:t>
      </w:r>
      <w:r>
        <w:t xml:space="preserve">‘</w:t>
      </w:r>
      <w:r>
        <w:t xml:space="preserve">マジロク</w:t>
      </w:r>
      <w:r>
        <w:t xml:space="preserve">’</w:t>
      </w:r>
      <w:r>
        <w:t xml:space="preserve"> </w:t>
      </w:r>
      <w:r>
        <w:t xml:space="preserve">(</w:t>
      </w:r>
      <w:r>
        <w:rPr>
          <w:iCs/>
          <w:i/>
        </w:rPr>
        <w:t xml:space="preserve">majiroku</w:t>
      </w:r>
      <w:r>
        <w:t xml:space="preserve">).</w:t>
      </w:r>
    </w:p>
    <w:bookmarkEnd w:id="648"/>
    <w:bookmarkStart w:id="649" w:name="Xeedd407f113eebee34907f813581c444b091fb3"/>
    <w:p>
      <w:pPr>
        <w:pStyle w:val="Heading3"/>
      </w:pPr>
      <w:r>
        <w:rPr>
          <w:rStyle w:val="SectionNumber"/>
        </w:rPr>
        <w:t xml:space="preserve">24.2.3</w:t>
      </w:r>
      <w:r>
        <w:tab/>
      </w:r>
      <w:r>
        <w:t xml:space="preserve">Parallel Couplets</w:t>
      </w:r>
    </w:p>
    <w:p>
      <w:pPr>
        <w:pStyle w:val="FirstParagraph"/>
      </w:pPr>
      <w:r>
        <w:t xml:space="preserve">In the</w:t>
      </w:r>
      <w:r>
        <w:t xml:space="preserve"> </w:t>
      </w:r>
      <w:r>
        <w:rPr>
          <w:iCs/>
          <w:i/>
        </w:rPr>
        <w:t xml:space="preserve">Shinsen Jikyō</w:t>
      </w:r>
      <w:r>
        <w:t xml:space="preserve">, examples such as</w:t>
      </w:r>
      <w:r>
        <w:t xml:space="preserve"> </w:t>
      </w:r>
      <w:r>
        <w:t xml:space="preserve">‘</w:t>
      </w:r>
      <w:r>
        <w:t xml:space="preserve">阜　小陵曰丘、无名曰阜</w:t>
      </w:r>
      <w:r>
        <w:t xml:space="preserve">’</w:t>
      </w:r>
      <w:r>
        <w:t xml:space="preserve"> </w:t>
      </w:r>
      <w:r>
        <w:t xml:space="preserve">and</w:t>
      </w:r>
      <w:r>
        <w:t xml:space="preserve"> </w:t>
      </w:r>
      <w:r>
        <w:t xml:space="preserve">‘</w:t>
      </w:r>
      <w:r>
        <w:t xml:space="preserve">耆艾　六十曰耆、五十曰艾</w:t>
      </w:r>
      <w:r>
        <w:t xml:space="preserve">’</w:t>
      </w:r>
      <w:r>
        <w:t xml:space="preserve"> </w:t>
      </w:r>
      <w:r>
        <w:t xml:space="preserve">— glossing the meaning of a single character or idiom (</w:t>
      </w:r>
      <w:r>
        <w:rPr>
          <w:rStyle w:val="VerbatimChar"/>
          <w:bCs/>
          <w:b/>
        </w:rPr>
        <w:t xml:space="preserve">Compound Expression</w:t>
      </w:r>
      <w:r>
        <w:t xml:space="preserve">) through a parallel-couplet form</w:t>
      </w:r>
      <w:r>
        <w:t xml:space="preserve"> </w:t>
      </w:r>
      <w:r>
        <w:t xml:space="preserve">‘</w:t>
      </w:r>
      <w:r>
        <w:t xml:space="preserve">～曰甲、～曰乙</w:t>
      </w:r>
      <w:r>
        <w:t xml:space="preserve">’</w:t>
      </w:r>
      <w:r>
        <w:t xml:space="preserve"> </w:t>
      </w:r>
      <w:r>
        <w:t xml:space="preserve">(</w:t>
      </w:r>
      <w:r>
        <w:t xml:space="preserve">“</w:t>
      </w:r>
      <w:r>
        <w:t xml:space="preserve">… is called A, … is called B</w:t>
      </w:r>
      <w:r>
        <w:t xml:space="preserve">”</w:t>
      </w:r>
      <w:r>
        <w:t xml:space="preserve">) — are often seen. However, such examples are rarely used in the</w:t>
      </w:r>
      <w:r>
        <w:t xml:space="preserve"> </w:t>
      </w:r>
      <w:r>
        <w:rPr>
          <w:iCs/>
          <w:i/>
        </w:rPr>
        <w:t xml:space="preserve">Ruiju Myōgishō</w:t>
      </w:r>
      <w:r>
        <w:t xml:space="preserve">. The only three confirmed instances are</w:t>
      </w:r>
      <w:r>
        <w:t xml:space="preserve"> </w:t>
      </w:r>
      <w:r>
        <w:t xml:space="preserve">‘</w:t>
      </w:r>
      <w:r>
        <w:t xml:space="preserve">覡　男曰覡　女曰巫</w:t>
      </w:r>
      <w:r>
        <w:t xml:space="preserve">’</w:t>
      </w:r>
      <w:r>
        <w:t xml:space="preserve">,</w:t>
      </w:r>
      <w:r>
        <w:t xml:space="preserve"> </w:t>
      </w:r>
      <w:r>
        <w:t xml:space="preserve">‘</w:t>
      </w:r>
      <w:r>
        <w:t xml:space="preserve">邦　大曰邦　小曰國</w:t>
      </w:r>
      <w:r>
        <w:t xml:space="preserve">’</w:t>
      </w:r>
      <w:r>
        <w:t xml:space="preserve">, and</w:t>
      </w:r>
      <w:r>
        <w:t xml:space="preserve"> </w:t>
      </w:r>
      <w:r>
        <w:t xml:space="preserve">‘</w:t>
      </w:r>
      <w:r>
        <w:t xml:space="preserve">獾　牝曰ー牡曰狼</w:t>
      </w:r>
      <w:r>
        <w:t xml:space="preserve">’</w:t>
      </w:r>
      <w:r>
        <w:t xml:space="preserve">.</w:t>
      </w:r>
    </w:p>
    <w:p>
      <w:pPr>
        <w:pStyle w:val="BodyText"/>
      </w:pPr>
      <w:r>
        <w:t xml:space="preserve">In addition,</w:t>
      </w:r>
      <w:r>
        <w:t xml:space="preserve"> </w:t>
      </w:r>
      <w:r>
        <w:t xml:space="preserve">‘</w:t>
      </w:r>
      <w:r>
        <w:t xml:space="preserve">衡従</w:t>
      </w:r>
      <w:r>
        <w:t xml:space="preserve">’</w:t>
      </w:r>
      <w:r>
        <w:t xml:space="preserve"> </w:t>
      </w:r>
      <w:r>
        <w:t xml:space="preserve">(</w:t>
      </w:r>
      <w:r>
        <w:rPr>
          <w:iCs/>
          <w:i/>
        </w:rPr>
        <w:t xml:space="preserve">yokosama tatasama</w:t>
      </w:r>
      <w:r>
        <w:t xml:space="preserve">) derives from the line</w:t>
      </w:r>
      <w:r>
        <w:t xml:space="preserve"> </w:t>
      </w:r>
      <w:r>
        <w:t xml:space="preserve">“</w:t>
      </w:r>
      <w:r>
        <w:t xml:space="preserve">蓺麻如之何、衡從其畝</w:t>
      </w:r>
      <w:r>
        <w:t xml:space="preserve">”</w:t>
      </w:r>
      <w:r>
        <w:t xml:space="preserve"> </w:t>
      </w:r>
      <w:r>
        <w:t xml:space="preserve">in the</w:t>
      </w:r>
      <w:r>
        <w:t xml:space="preserve"> </w:t>
      </w:r>
      <w:r>
        <w:t xml:space="preserve">“</w:t>
      </w:r>
      <w:r>
        <w:t xml:space="preserve">Nanshan</w:t>
      </w:r>
      <w:r>
        <w:t xml:space="preserve">”</w:t>
      </w:r>
      <w:r>
        <w:t xml:space="preserve"> </w:t>
      </w:r>
      <w:r>
        <w:t xml:space="preserve">ode of the</w:t>
      </w:r>
      <w:r>
        <w:t xml:space="preserve"> </w:t>
      </w:r>
      <w:r>
        <w:t xml:space="preserve">“</w:t>
      </w:r>
      <w:r>
        <w:t xml:space="preserve">Guofeng</w:t>
      </w:r>
      <w:r>
        <w:t xml:space="preserve">”</w:t>
      </w:r>
      <w:r>
        <w:t xml:space="preserve"> </w:t>
      </w:r>
      <w:r>
        <w:t xml:space="preserve">section of the</w:t>
      </w:r>
      <w:r>
        <w:t xml:space="preserve"> </w:t>
      </w:r>
      <w:r>
        <w:rPr>
          <w:iCs/>
          <w:i/>
        </w:rPr>
        <w:t xml:space="preserve">Classic of Poetry</w:t>
      </w:r>
      <w:r>
        <w:t xml:space="preserve"> </w:t>
      </w:r>
      <w:r>
        <w:t xml:space="preserve">(詩経), corresponding to the parallel-couplet structure of</w:t>
      </w:r>
      <w:r>
        <w:t xml:space="preserve"> </w:t>
      </w:r>
      <w:r>
        <w:t xml:space="preserve">‘</w:t>
      </w:r>
      <w:r>
        <w:t xml:space="preserve">衡</w:t>
      </w:r>
      <w:r>
        <w:t xml:space="preserve">’</w:t>
      </w:r>
      <w:r>
        <w:t xml:space="preserve"> </w:t>
      </w:r>
      <w:r>
        <w:t xml:space="preserve">and</w:t>
      </w:r>
      <w:r>
        <w:t xml:space="preserve"> </w:t>
      </w:r>
      <w:r>
        <w:t xml:space="preserve">‘</w:t>
      </w:r>
      <w:r>
        <w:t xml:space="preserve">従</w:t>
      </w:r>
      <w:r>
        <w:t xml:space="preserve">’</w:t>
      </w:r>
      <w:r>
        <w:t xml:space="preserve"> </w:t>
      </w:r>
      <w:r>
        <w:t xml:space="preserve">in that line; its</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is likewise given in the parallel-couplet structure</w:t>
      </w:r>
      <w:r>
        <w:t xml:space="preserve"> </w:t>
      </w:r>
      <w:r>
        <w:t xml:space="preserve">‘</w:t>
      </w:r>
      <w:r>
        <w:t xml:space="preserve">ヨコサマ</w:t>
      </w:r>
      <w:r>
        <w:t xml:space="preserve">’</w:t>
      </w:r>
      <w:r>
        <w:t xml:space="preserve"> </w:t>
      </w:r>
      <w:r>
        <w:t xml:space="preserve">and</w:t>
      </w:r>
      <w:r>
        <w:t xml:space="preserve"> </w:t>
      </w:r>
      <w:r>
        <w:t xml:space="preserve">‘</w:t>
      </w:r>
      <w:r>
        <w:t xml:space="preserve">タタサマ</w:t>
      </w:r>
      <w:r>
        <w:t xml:space="preserve">’</w:t>
      </w:r>
      <w:r>
        <w:t xml:space="preserve">.</w:t>
      </w:r>
      <w:r>
        <w:t xml:space="preserve"> </w:t>
      </w:r>
      <w:r>
        <w:t xml:space="preserve">The Seikadō Bunko manuscript (of the</w:t>
      </w:r>
      <w:r>
        <w:t xml:space="preserve"> </w:t>
      </w:r>
      <w:r>
        <w:rPr>
          <w:iCs/>
          <w:i/>
        </w:rPr>
        <w:t xml:space="preserve">Maoshi Zhengjian</w:t>
      </w:r>
      <w:r>
        <w:t xml:space="preserve"> </w:t>
      </w:r>
      <w:r>
        <w:t xml:space="preserve">毛詩鄭箋) reads this as</w:t>
      </w:r>
      <w:r>
        <w:t xml:space="preserve"> </w:t>
      </w:r>
      <w:r>
        <w:t xml:space="preserve">‘</w:t>
      </w:r>
      <w:r>
        <w:t xml:space="preserve">ヨコサマニシ、タタサマニス</w:t>
      </w:r>
      <w:r>
        <w:t xml:space="preserve">’</w:t>
      </w:r>
      <w:r>
        <w:t xml:space="preserve">, but in the</w:t>
      </w:r>
      <w:r>
        <w:t xml:space="preserve"> </w:t>
      </w:r>
      <w:r>
        <w:rPr>
          <w:iCs/>
          <w:i/>
        </w:rPr>
        <w:t xml:space="preserve">Ruiju Myōgishō</w:t>
      </w:r>
      <w:r>
        <w:t xml:space="preserve"> </w:t>
      </w:r>
      <w:r>
        <w:t xml:space="preserve">the predicate elements</w:t>
      </w:r>
      <w:r>
        <w:t xml:space="preserve"> </w:t>
      </w:r>
      <w:r>
        <w:t xml:space="preserve">‘</w:t>
      </w:r>
      <w:r>
        <w:t xml:space="preserve">ニシ</w:t>
      </w:r>
      <w:r>
        <w:t xml:space="preserve">’</w:t>
      </w:r>
      <w:r>
        <w:t xml:space="preserve"> </w:t>
      </w:r>
      <w:r>
        <w:t xml:space="preserve">and</w:t>
      </w:r>
      <w:r>
        <w:t xml:space="preserve"> </w:t>
      </w:r>
      <w:r>
        <w:t xml:space="preserve">‘</w:t>
      </w:r>
      <w:r>
        <w:t xml:space="preserve">ニス</w:t>
      </w:r>
      <w:r>
        <w:t xml:space="preserve">’</w:t>
      </w:r>
      <w:r>
        <w:t xml:space="preserve"> </w:t>
      </w:r>
      <w:r>
        <w:t xml:space="preserve">are omitted, compressing it into the nominal parallel couplet</w:t>
      </w:r>
      <w:r>
        <w:t xml:space="preserve"> </w:t>
      </w:r>
      <w:r>
        <w:t xml:space="preserve">‘</w:t>
      </w:r>
      <w:r>
        <w:t xml:space="preserve">ヨコサマタタサマ</w:t>
      </w:r>
      <w:r>
        <w:t xml:space="preserve">’</w:t>
      </w:r>
      <w:r>
        <w:t xml:space="preserve"> </w:t>
      </w:r>
      <w:r>
        <w:t xml:space="preserve">— an abbreviation and streamlining suited to dictionary-style description.</w:t>
      </w:r>
    </w:p>
    <w:bookmarkEnd w:id="649"/>
    <w:bookmarkStart w:id="650" w:name="X91d6fed18e9fb3265584766dc5beac968fb8932"/>
    <w:p>
      <w:pPr>
        <w:pStyle w:val="Heading3"/>
      </w:pPr>
      <w:r>
        <w:rPr>
          <w:rStyle w:val="SectionNumber"/>
        </w:rPr>
        <w:t xml:space="preserve">24.2.4</w:t>
      </w:r>
      <w:r>
        <w:tab/>
      </w:r>
      <w:r>
        <w:t xml:space="preserve">Classification-name Glosses (</w:t>
      </w:r>
      <w:r>
        <w:t xml:space="preserve">‘</w:t>
      </w:r>
      <w:r>
        <w:t xml:space="preserve">～名</w:t>
      </w:r>
      <w:r>
        <w:t xml:space="preserve">’</w:t>
      </w:r>
      <w:r>
        <w:t xml:space="preserve">)</w:t>
      </w:r>
    </w:p>
    <w:p>
      <w:pPr>
        <w:pStyle w:val="FirstParagraph"/>
      </w:pPr>
      <w:r>
        <w:t xml:space="preserve">‘</w:t>
      </w:r>
      <w:r>
        <w:t xml:space="preserve">～名</w:t>
      </w:r>
      <w:r>
        <w:t xml:space="preserve">’</w:t>
      </w:r>
      <w:r>
        <w:t xml:space="preserve"> </w:t>
      </w:r>
      <w:r>
        <w:t xml:space="preserve">denotes a classificatory name for a thing or place.</w:t>
      </w:r>
      <w:r>
        <w:t xml:space="preserve"> </w:t>
      </w:r>
      <w:r>
        <w:t xml:space="preserve">Since it is difficult to distinguish from</w:t>
      </w:r>
      <w:r>
        <w:t xml:space="preserve"> </w:t>
      </w:r>
      <w:r>
        <w:t xml:space="preserve">‘</w:t>
      </w:r>
      <w:r>
        <w:t xml:space="preserve">一名</w:t>
      </w:r>
      <w:r>
        <w:t xml:space="preserve">’</w:t>
      </w:r>
      <w:r>
        <w:t xml:space="preserve"> </w:t>
      </w:r>
      <w:r>
        <w:t xml:space="preserve">(see below), it is described here as</w:t>
      </w:r>
      <w:r>
        <w:t xml:space="preserve"> </w:t>
      </w:r>
      <w:r>
        <w:t xml:space="preserve">‘</w:t>
      </w:r>
      <w:r>
        <w:t xml:space="preserve">～名</w:t>
      </w:r>
      <w:r>
        <w:t xml:space="preserve">’</w:t>
      </w:r>
      <w:r>
        <w:t xml:space="preserve">.</w:t>
      </w:r>
      <w:r>
        <w:t xml:space="preserve"> </w:t>
      </w:r>
      <w:r>
        <w:t xml:space="preserve">Classificatory names for things include</w:t>
      </w:r>
      <w:r>
        <w:t xml:space="preserve"> </w:t>
      </w:r>
      <w:r>
        <w:t xml:space="preserve">‘</w:t>
      </w:r>
      <w:r>
        <w:t xml:space="preserve">木名</w:t>
      </w:r>
      <w:r>
        <w:t xml:space="preserve">’</w:t>
      </w:r>
      <w:r>
        <w:t xml:space="preserve"> </w:t>
      </w:r>
      <w:r>
        <w:t xml:space="preserve">(tree name),</w:t>
      </w:r>
      <w:r>
        <w:t xml:space="preserve"> </w:t>
      </w:r>
      <w:r>
        <w:t xml:space="preserve">‘</w:t>
      </w:r>
      <w:r>
        <w:t xml:space="preserve">草名</w:t>
      </w:r>
      <w:r>
        <w:t xml:space="preserve">’</w:t>
      </w:r>
      <w:r>
        <w:t xml:space="preserve"> </w:t>
      </w:r>
      <w:r>
        <w:t xml:space="preserve">(plant name),</w:t>
      </w:r>
      <w:r>
        <w:t xml:space="preserve"> </w:t>
      </w:r>
      <w:r>
        <w:t xml:space="preserve">‘</w:t>
      </w:r>
      <w:r>
        <w:t xml:space="preserve">鳥名</w:t>
      </w:r>
      <w:r>
        <w:t xml:space="preserve">’</w:t>
      </w:r>
      <w:r>
        <w:t xml:space="preserve"> </w:t>
      </w:r>
      <w:r>
        <w:t xml:space="preserve">(bird name), and</w:t>
      </w:r>
      <w:r>
        <w:t xml:space="preserve"> </w:t>
      </w:r>
      <w:r>
        <w:t xml:space="preserve">‘</w:t>
      </w:r>
      <w:r>
        <w:t xml:space="preserve">獸名</w:t>
      </w:r>
      <w:r>
        <w:t xml:space="preserve">’</w:t>
      </w:r>
      <w:r>
        <w:t xml:space="preserve"> </w:t>
      </w:r>
      <w:r>
        <w:t xml:space="preserve">(animal name).</w:t>
      </w:r>
      <w:r>
        <w:t xml:space="preserve"> </w:t>
      </w:r>
      <w:r>
        <w:t xml:space="preserve">Classificatory names related to place names include</w:t>
      </w:r>
      <w:r>
        <w:t xml:space="preserve"> </w:t>
      </w:r>
      <w:r>
        <w:t xml:space="preserve">‘</w:t>
      </w:r>
      <w:r>
        <w:t xml:space="preserve">國名</w:t>
      </w:r>
      <w:r>
        <w:t xml:space="preserve">’</w:t>
      </w:r>
      <w:r>
        <w:t xml:space="preserve"> </w:t>
      </w:r>
      <w:r>
        <w:t xml:space="preserve">(state name),</w:t>
      </w:r>
      <w:r>
        <w:t xml:space="preserve"> </w:t>
      </w:r>
      <w:r>
        <w:t xml:space="preserve">‘</w:t>
      </w:r>
      <w:r>
        <w:t xml:space="preserve">縣名</w:t>
      </w:r>
      <w:r>
        <w:t xml:space="preserve">’</w:t>
      </w:r>
      <w:r>
        <w:t xml:space="preserve"> </w:t>
      </w:r>
      <w:r>
        <w:t xml:space="preserve">(county name),</w:t>
      </w:r>
      <w:r>
        <w:t xml:space="preserve"> </w:t>
      </w:r>
      <w:r>
        <w:t xml:space="preserve">‘</w:t>
      </w:r>
      <w:r>
        <w:t xml:space="preserve">邑名</w:t>
      </w:r>
      <w:r>
        <w:t xml:space="preserve">’</w:t>
      </w:r>
      <w:r>
        <w:t xml:space="preserve"> </w:t>
      </w:r>
      <w:r>
        <w:t xml:space="preserve">(settlement name),</w:t>
      </w:r>
      <w:r>
        <w:t xml:space="preserve"> </w:t>
      </w:r>
      <w:r>
        <w:t xml:space="preserve">‘</w:t>
      </w:r>
      <w:r>
        <w:t xml:space="preserve">地名</w:t>
      </w:r>
      <w:r>
        <w:t xml:space="preserve">’</w:t>
      </w:r>
      <w:r>
        <w:t xml:space="preserve"> </w:t>
      </w:r>
      <w:r>
        <w:t xml:space="preserve">(place name),</w:t>
      </w:r>
      <w:r>
        <w:t xml:space="preserve"> </w:t>
      </w:r>
      <w:r>
        <w:t xml:space="preserve">‘</w:t>
      </w:r>
      <w:r>
        <w:t xml:space="preserve">山名</w:t>
      </w:r>
      <w:r>
        <w:t xml:space="preserve">’</w:t>
      </w:r>
      <w:r>
        <w:t xml:space="preserve"> </w:t>
      </w:r>
      <w:r>
        <w:t xml:space="preserve">(mountain name),</w:t>
      </w:r>
      <w:r>
        <w:t xml:space="preserve"> </w:t>
      </w:r>
      <w:r>
        <w:t xml:space="preserve">‘</w:t>
      </w:r>
      <w:r>
        <w:t xml:space="preserve">谷名</w:t>
      </w:r>
      <w:r>
        <w:t xml:space="preserve">’</w:t>
      </w:r>
      <w:r>
        <w:t xml:space="preserve"> </w:t>
      </w:r>
      <w:r>
        <w:t xml:space="preserve">(valley name),</w:t>
      </w:r>
      <w:r>
        <w:t xml:space="preserve"> </w:t>
      </w:r>
      <w:r>
        <w:t xml:space="preserve">‘</w:t>
      </w:r>
      <w:r>
        <w:t xml:space="preserve">水名</w:t>
      </w:r>
      <w:r>
        <w:t xml:space="preserve">’</w:t>
      </w:r>
      <w:r>
        <w:t xml:space="preserve"> </w:t>
      </w:r>
      <w:r>
        <w:t xml:space="preserve">(river name), and</w:t>
      </w:r>
      <w:r>
        <w:t xml:space="preserve"> </w:t>
      </w:r>
      <w:r>
        <w:t xml:space="preserve">‘</w:t>
      </w:r>
      <w:r>
        <w:t xml:space="preserve">江名</w:t>
      </w:r>
      <w:r>
        <w:t xml:space="preserve">’</w:t>
      </w:r>
      <w:r>
        <w:t xml:space="preserve"> </w:t>
      </w:r>
      <w:r>
        <w:t xml:space="preserve">(river name).</w:t>
      </w:r>
    </w:p>
    <w:bookmarkEnd w:id="650"/>
    <w:bookmarkStart w:id="651" w:name="X33d1711d49a7bc7f4fd9075feaa31daf1c9ab5c"/>
    <w:p>
      <w:pPr>
        <w:pStyle w:val="Heading3"/>
      </w:pPr>
      <w:r>
        <w:rPr>
          <w:rStyle w:val="SectionNumber"/>
        </w:rPr>
        <w:t xml:space="preserve">24.2.5</w:t>
      </w:r>
      <w:r>
        <w:tab/>
      </w:r>
      <w:r>
        <w:t xml:space="preserve">Alternative-Name Notation (</w:t>
      </w:r>
      <w:r>
        <w:t xml:space="preserve">‘</w:t>
      </w:r>
      <w:r>
        <w:t xml:space="preserve">一名</w:t>
      </w:r>
      <w:r>
        <w:t xml:space="preserve">’</w:t>
      </w:r>
      <w:r>
        <w:t xml:space="preserve">)</w:t>
      </w:r>
    </w:p>
    <w:p>
      <w:pPr>
        <w:pStyle w:val="FirstParagraph"/>
      </w:pPr>
      <w:r>
        <w:t xml:space="preserve">‘</w:t>
      </w:r>
      <w:r>
        <w:t xml:space="preserve">一名</w:t>
      </w:r>
      <w:r>
        <w:t xml:space="preserve">’</w:t>
      </w:r>
      <w:r>
        <w:t xml:space="preserve"> </w:t>
      </w:r>
      <w:r>
        <w:t xml:space="preserve">is a term used to list an alternative name, as in</w:t>
      </w:r>
      <w:r>
        <w:t xml:space="preserve"> </w:t>
      </w:r>
      <w:r>
        <w:t xml:space="preserve">‘</w:t>
      </w:r>
      <w:r>
        <w:t xml:space="preserve">螻蛄一名ーー</w:t>
      </w:r>
      <w:r>
        <w:t xml:space="preserve">’</w:t>
      </w:r>
      <w:r>
        <w:t xml:space="preserve"> </w:t>
      </w:r>
      <w:r>
        <w:t xml:space="preserve">for</w:t>
      </w:r>
      <w:r>
        <w:t xml:space="preserve"> </w:t>
      </w:r>
      <w:r>
        <w:t xml:space="preserve">‘</w:t>
      </w:r>
      <w:r>
        <w:t xml:space="preserve">碩鼠</w:t>
      </w:r>
      <w:r>
        <w:t xml:space="preserve">’</w:t>
      </w:r>
      <w:r>
        <w:t xml:space="preserve">,</w:t>
      </w:r>
      <w:r>
        <w:t xml:space="preserve"> </w:t>
      </w:r>
      <w:r>
        <w:t xml:space="preserve">‘</w:t>
      </w:r>
      <w:r>
        <w:t xml:space="preserve">慈石一名</w:t>
      </w:r>
      <w:r>
        <w:t xml:space="preserve">’</w:t>
      </w:r>
      <w:r>
        <w:t xml:space="preserve"> </w:t>
      </w:r>
      <w:r>
        <w:t xml:space="preserve">for</w:t>
      </w:r>
      <w:r>
        <w:t xml:space="preserve"> </w:t>
      </w:r>
      <w:r>
        <w:t xml:space="preserve">‘</w:t>
      </w:r>
      <w:r>
        <w:t xml:space="preserve">玄石</w:t>
      </w:r>
      <w:r>
        <w:t xml:space="preserve">’</w:t>
      </w:r>
      <w:r>
        <w:t xml:space="preserve">, and</w:t>
      </w:r>
      <w:r>
        <w:t xml:space="preserve"> </w:t>
      </w:r>
      <w:r>
        <w:t xml:space="preserve">‘</w:t>
      </w:r>
      <w:r>
        <w:t xml:space="preserve">一名匙</w:t>
      </w:r>
      <w:r>
        <w:t xml:space="preserve">’</w:t>
      </w:r>
      <w:r>
        <w:t xml:space="preserve"> </w:t>
      </w:r>
      <w:r>
        <w:t xml:space="preserve">for</w:t>
      </w:r>
      <w:r>
        <w:t xml:space="preserve"> </w:t>
      </w:r>
      <w:r>
        <w:t xml:space="preserve">‘</w:t>
      </w:r>
      <w:r>
        <w:t xml:space="preserve">匕</w:t>
      </w:r>
      <w:r>
        <w:t xml:space="preserve">’</w:t>
      </w:r>
      <w:r>
        <w:t xml:space="preserve">.</w:t>
      </w:r>
    </w:p>
    <w:bookmarkEnd w:id="651"/>
    <w:bookmarkStart w:id="652" w:name="Xd0defe30e86422e534b6aaf2c29290e81a294fe"/>
    <w:p>
      <w:pPr>
        <w:pStyle w:val="Heading3"/>
      </w:pPr>
      <w:r>
        <w:rPr>
          <w:rStyle w:val="SectionNumber"/>
        </w:rPr>
        <w:t xml:space="preserve">24.2.6</w:t>
      </w:r>
      <w:r>
        <w:tab/>
      </w:r>
      <w:r>
        <w:t xml:space="preserve">Compound Expressions (連文)</w:t>
      </w:r>
    </w:p>
    <w:p>
      <w:pPr>
        <w:pStyle w:val="FirstParagraph"/>
      </w:pPr>
      <w:r>
        <w:rPr>
          <w:rStyle w:val="VerbatimChar"/>
          <w:bCs/>
          <w:b/>
        </w:rPr>
        <w:t xml:space="preserve">Compound Expression</w:t>
      </w:r>
      <w:r>
        <w:t xml:space="preserve"> </w:t>
      </w:r>
      <w:r>
        <w:t xml:space="preserve">(連文,</w:t>
      </w:r>
      <w:r>
        <w:t xml:space="preserve"> </w:t>
      </w:r>
      <w:r>
        <w:rPr>
          <w:iCs/>
          <w:i/>
        </w:rPr>
        <w:t xml:space="preserve">renbun</w:t>
      </w:r>
      <w:r>
        <w:t xml:space="preserve">), also called</w:t>
      </w:r>
      <w:r>
        <w:t xml:space="preserve"> </w:t>
      </w:r>
      <w:r>
        <w:rPr>
          <w:iCs/>
          <w:i/>
        </w:rPr>
        <w:t xml:space="preserve">renji</w:t>
      </w:r>
      <w:r>
        <w:t xml:space="preserve"> </w:t>
      </w:r>
      <w:r>
        <w:t xml:space="preserve">(連字), is a method of textual exegesis (</w:t>
      </w:r>
      <w:r>
        <w:rPr>
          <w:iCs/>
          <w:i/>
        </w:rPr>
        <w:t xml:space="preserve">kunko</w:t>
      </w:r>
      <w:r>
        <w:t xml:space="preserve">) that combines two synonymous or near-synonymous Chinese characters into a compound to more clearly indicate the meaning or usage of a single character; this is called</w:t>
      </w:r>
      <w:r>
        <w:t xml:space="preserve"> </w:t>
      </w:r>
      <w:r>
        <w:t xml:space="preserve">‘</w:t>
      </w:r>
      <w:r>
        <w:t xml:space="preserve">連文釈義</w:t>
      </w:r>
      <w:r>
        <w:t xml:space="preserve">’</w:t>
      </w:r>
      <w:r>
        <w:t xml:space="preserve"> </w:t>
      </w:r>
      <w:r>
        <w:t xml:space="preserve">(</w:t>
      </w:r>
      <w:r>
        <w:rPr>
          <w:iCs/>
          <w:i/>
        </w:rPr>
        <w:t xml:space="preserve">renbun shakugi</w:t>
      </w:r>
      <w:r>
        <w:t xml:space="preserve">) or</w:t>
      </w:r>
      <w:r>
        <w:t xml:space="preserve"> </w:t>
      </w:r>
      <w:r>
        <w:t xml:space="preserve">‘</w:t>
      </w:r>
      <w:r>
        <w:t xml:space="preserve">連文解義</w:t>
      </w:r>
      <w:r>
        <w:t xml:space="preserve">’</w:t>
      </w:r>
      <w:r>
        <w:t xml:space="preserve"> </w:t>
      </w:r>
      <w:r>
        <w:t xml:space="preserve">(</w:t>
      </w:r>
      <w:r>
        <w:rPr>
          <w:iCs/>
          <w:i/>
        </w:rPr>
        <w:t xml:space="preserve">renbun kaigi</w:t>
      </w:r>
      <w:r>
        <w:t xml:space="preserve">).</w:t>
      </w:r>
      <w:r>
        <w:t xml:space="preserve"> </w:t>
      </w:r>
      <w:r>
        <w:t xml:space="preserve">For example, glossing the meaning of</w:t>
      </w:r>
      <w:r>
        <w:t xml:space="preserve"> </w:t>
      </w:r>
      <w:r>
        <w:t xml:space="preserve">‘</w:t>
      </w:r>
      <w:r>
        <w:t xml:space="preserve">嚚</w:t>
      </w:r>
      <w:r>
        <w:t xml:space="preserve">’</w:t>
      </w:r>
      <w:r>
        <w:t xml:space="preserve"> </w:t>
      </w:r>
      <w:r>
        <w:t xml:space="preserve">with the</w:t>
      </w:r>
      <w:r>
        <w:t xml:space="preserve"> </w:t>
      </w:r>
      <w:r>
        <w:rPr>
          <w:rStyle w:val="VerbatimChar"/>
          <w:bCs/>
          <w:b/>
        </w:rPr>
        <w:t xml:space="preserve">Compound Expression</w:t>
      </w:r>
      <w:r>
        <w:t xml:space="preserve"> </w:t>
      </w:r>
      <w:r>
        <w:t xml:space="preserve">‘</w:t>
      </w:r>
      <w:r>
        <w:t xml:space="preserve">頑嚚</w:t>
      </w:r>
      <w:r>
        <w:t xml:space="preserve">’</w:t>
      </w:r>
      <w:r>
        <w:t xml:space="preserve">, or glossing the meaning of</w:t>
      </w:r>
      <w:r>
        <w:t xml:space="preserve"> </w:t>
      </w:r>
      <w:r>
        <w:t xml:space="preserve">‘</w:t>
      </w:r>
      <w:r>
        <w:t xml:space="preserve">雇</w:t>
      </w:r>
      <w:r>
        <w:t xml:space="preserve">’</w:t>
      </w:r>
      <w:r>
        <w:t xml:space="preserve"> </w:t>
      </w:r>
      <w:r>
        <w:t xml:space="preserve">with</w:t>
      </w:r>
      <w:r>
        <w:t xml:space="preserve"> </w:t>
      </w:r>
      <w:r>
        <w:t xml:space="preserve">‘</w:t>
      </w:r>
      <w:r>
        <w:t xml:space="preserve">雇賃</w:t>
      </w:r>
      <w:r>
        <w:t xml:space="preserve">’</w:t>
      </w:r>
      <w:r>
        <w:t xml:space="preserve">, are instances of this.</w:t>
      </w:r>
    </w:p>
    <w:p>
      <w:pPr>
        <w:pStyle w:val="BodyText"/>
      </w:pPr>
      <w:r>
        <w:t xml:space="preserve">Among such</w:t>
      </w:r>
      <w:r>
        <w:t xml:space="preserve"> </w:t>
      </w:r>
      <w:r>
        <w:rPr>
          <w:rStyle w:val="VerbatimChar"/>
          <w:bCs/>
          <w:b/>
        </w:rPr>
        <w:t xml:space="preserve">Compound Expressions</w:t>
      </w:r>
      <w:r>
        <w:t xml:space="preserve">, many form a</w:t>
      </w:r>
      <w:r>
        <w:t xml:space="preserve"> </w:t>
      </w:r>
      <w:r>
        <w:rPr>
          <w:iCs/>
          <w:i/>
        </w:rPr>
        <w:t xml:space="preserve">shuāngshēng</w:t>
      </w:r>
      <w:r>
        <w:t xml:space="preserve"> </w:t>
      </w:r>
      <w:r>
        <w:t xml:space="preserve">(双声, alliterative compound), in which the two characters share the same initial consonant, or a</w:t>
      </w:r>
      <w:r>
        <w:t xml:space="preserve"> </w:t>
      </w:r>
      <w:r>
        <w:rPr>
          <w:iCs/>
          <w:i/>
        </w:rPr>
        <w:t xml:space="preserve">diéyùn</w:t>
      </w:r>
      <w:r>
        <w:t xml:space="preserve"> </w:t>
      </w:r>
      <w:r>
        <w:t xml:space="preserve">(畳韻, rhyming compound), in which they share the same rhyme. These use phonetic resonance to describe the state of a thing sensorially and precisely.</w:t>
      </w:r>
      <w:r>
        <w:t xml:space="preserve"> </w:t>
      </w:r>
      <w:r>
        <w:t xml:space="preserve">For example,</w:t>
      </w:r>
      <w:r>
        <w:t xml:space="preserve"> </w:t>
      </w:r>
      <w:r>
        <w:t xml:space="preserve">‘</w:t>
      </w:r>
      <w:r>
        <w:t xml:space="preserve">頑嚚</w:t>
      </w:r>
      <w:r>
        <w:t xml:space="preserve">’</w:t>
      </w:r>
      <w:r>
        <w:t xml:space="preserve"> </w:t>
      </w:r>
      <w:r>
        <w:t xml:space="preserve">(</w:t>
      </w:r>
      <w:r>
        <w:rPr>
          <w:iCs/>
          <w:i/>
        </w:rPr>
        <w:t xml:space="preserve">wányín</w:t>
      </w:r>
      <w:r>
        <w:t xml:space="preserve">) is an example of a</w:t>
      </w:r>
      <w:r>
        <w:t xml:space="preserve"> </w:t>
      </w:r>
      <w:r>
        <w:rPr>
          <w:iCs/>
          <w:i/>
        </w:rPr>
        <w:t xml:space="preserve">shuāngshēng</w:t>
      </w:r>
      <w:r>
        <w:t xml:space="preserve"> </w:t>
      </w:r>
      <w:r>
        <w:t xml:space="preserve">compound, indicating stubbornness and a lack of understanding of reason;</w:t>
      </w:r>
      <w:r>
        <w:t xml:space="preserve"> </w:t>
      </w:r>
      <w:r>
        <w:t xml:space="preserve">‘</w:t>
      </w:r>
      <w:r>
        <w:t xml:space="preserve">潺湲</w:t>
      </w:r>
      <w:r>
        <w:t xml:space="preserve">’</w:t>
      </w:r>
      <w:r>
        <w:t xml:space="preserve"> </w:t>
      </w:r>
      <w:r>
        <w:t xml:space="preserve">(</w:t>
      </w:r>
      <w:r>
        <w:rPr>
          <w:iCs/>
          <w:i/>
        </w:rPr>
        <w:t xml:space="preserve">chányuán</w:t>
      </w:r>
      <w:r>
        <w:t xml:space="preserve">,</w:t>
      </w:r>
      <w:r>
        <w:t xml:space="preserve"> </w:t>
      </w:r>
      <w:r>
        <w:rPr>
          <w:iCs/>
          <w:i/>
        </w:rPr>
        <w:t xml:space="preserve">sen’en</w:t>
      </w:r>
      <w:r>
        <w:t xml:space="preserve">) indicates the murmuring sound of flowing water.</w:t>
      </w:r>
      <w:r>
        <w:t xml:space="preserve"> </w:t>
      </w:r>
      <w:r>
        <w:t xml:space="preserve">In the</w:t>
      </w:r>
      <w:r>
        <w:t xml:space="preserve"> </w:t>
      </w:r>
      <w:r>
        <w:rPr>
          <w:iCs/>
          <w:i/>
        </w:rPr>
        <w:t xml:space="preserve">Ruiju Myōgishō</w:t>
      </w:r>
      <w:r>
        <w:t xml:space="preserve">, glossing</w:t>
      </w:r>
      <w:r>
        <w:t xml:space="preserve"> </w:t>
      </w:r>
      <w:r>
        <w:t xml:space="preserve">‘</w:t>
      </w:r>
      <w:r>
        <w:t xml:space="preserve">嚚</w:t>
      </w:r>
      <w:r>
        <w:t xml:space="preserve">’</w:t>
      </w:r>
      <w:r>
        <w:t xml:space="preserve"> </w:t>
      </w:r>
      <w:r>
        <w:t xml:space="preserve">with</w:t>
      </w:r>
      <w:r>
        <w:t xml:space="preserve"> </w:t>
      </w:r>
      <w:r>
        <w:t xml:space="preserve">‘</w:t>
      </w:r>
      <w:r>
        <w:t xml:space="preserve">頑ー</w:t>
      </w:r>
      <w:r>
        <w:t xml:space="preserve">’</w:t>
      </w:r>
      <w:r>
        <w:t xml:space="preserve"> </w:t>
      </w:r>
      <w:r>
        <w:t xml:space="preserve">and</w:t>
      </w:r>
      <w:r>
        <w:t xml:space="preserve"> </w:t>
      </w:r>
      <w:r>
        <w:t xml:space="preserve">‘</w:t>
      </w:r>
      <w:r>
        <w:t xml:space="preserve">潺</w:t>
      </w:r>
      <w:r>
        <w:t xml:space="preserve">’</w:t>
      </w:r>
      <w:r>
        <w:t xml:space="preserve"> </w:t>
      </w:r>
      <w:r>
        <w:t xml:space="preserve">with</w:t>
      </w:r>
      <w:r>
        <w:t xml:space="preserve"> </w:t>
      </w:r>
      <w:r>
        <w:t xml:space="preserve">‘</w:t>
      </w:r>
      <w:r>
        <w:t xml:space="preserve">潺ー</w:t>
      </w:r>
      <w:r>
        <w:t xml:space="preserve">’</w:t>
      </w:r>
      <w:r>
        <w:t xml:space="preserve"> </w:t>
      </w:r>
      <w:r>
        <w:t xml:space="preserve">are examples of using a</w:t>
      </w:r>
      <w:r>
        <w:t xml:space="preserve"> </w:t>
      </w:r>
      <w:r>
        <w:rPr>
          <w:rStyle w:val="VerbatimChar"/>
          <w:bCs/>
          <w:b/>
        </w:rPr>
        <w:t xml:space="preserve">Compound Expression</w:t>
      </w:r>
      <w:r>
        <w:t xml:space="preserve"> </w:t>
      </w:r>
      <w:r>
        <w:t xml:space="preserve">to explain a character’s meaning.</w:t>
      </w:r>
    </w:p>
    <w:p>
      <w:pPr>
        <w:pStyle w:val="BodyText"/>
      </w:pPr>
      <w:r>
        <w:t xml:space="preserve">There are also</w:t>
      </w:r>
      <w:r>
        <w:t xml:space="preserve"> </w:t>
      </w:r>
      <w:r>
        <w:rPr>
          <w:rStyle w:val="VerbatimChar"/>
          <w:bCs/>
          <w:b/>
        </w:rPr>
        <w:t xml:space="preserve">Compound Expressions</w:t>
      </w:r>
      <w:r>
        <w:t xml:space="preserve"> </w:t>
      </w:r>
      <w:r>
        <w:t xml:space="preserve">(state modifiers) formed by adding the suffix</w:t>
      </w:r>
      <w:r>
        <w:t xml:space="preserve"> </w:t>
      </w:r>
      <w:r>
        <w:t xml:space="preserve">‘</w:t>
      </w:r>
      <w:r>
        <w:t xml:space="preserve">然</w:t>
      </w:r>
      <w:r>
        <w:t xml:space="preserve">’</w:t>
      </w:r>
      <w:r>
        <w:t xml:space="preserve"> </w:t>
      </w:r>
      <w:r>
        <w:t xml:space="preserve">to a Chinese character to describe a state or psychological condition, in the form</w:t>
      </w:r>
      <w:r>
        <w:t xml:space="preserve"> </w:t>
      </w:r>
      <w:r>
        <w:t xml:space="preserve">‘</w:t>
      </w:r>
      <w:r>
        <w:t xml:space="preserve">～然</w:t>
      </w:r>
      <w:r>
        <w:t xml:space="preserve">’</w:t>
      </w:r>
      <w:r>
        <w:t xml:space="preserve">.</w:t>
      </w:r>
      <w:r>
        <w:t xml:space="preserve"> </w:t>
      </w:r>
      <w:r>
        <w:t xml:space="preserve">For example,</w:t>
      </w:r>
      <w:r>
        <w:t xml:space="preserve"> </w:t>
      </w:r>
      <w:r>
        <w:t xml:space="preserve">‘</w:t>
      </w:r>
      <w:r>
        <w:t xml:space="preserve">騞然</w:t>
      </w:r>
      <w:r>
        <w:t xml:space="preserve">’</w:t>
      </w:r>
      <w:r>
        <w:t xml:space="preserve"> </w:t>
      </w:r>
      <w:r>
        <w:t xml:space="preserve">describes the sound/appearance of cutting something with a blade, and</w:t>
      </w:r>
      <w:r>
        <w:t xml:space="preserve"> </w:t>
      </w:r>
      <w:r>
        <w:t xml:space="preserve">‘</w:t>
      </w:r>
      <w:r>
        <w:t xml:space="preserve">睟然</w:t>
      </w:r>
      <w:r>
        <w:t xml:space="preserve">’</w:t>
      </w:r>
      <w:r>
        <w:t xml:space="preserve"> </w:t>
      </w:r>
      <w:r>
        <w:t xml:space="preserve">describes a lustrous appearance.</w:t>
      </w:r>
      <w:r>
        <w:t xml:space="preserve"> </w:t>
      </w:r>
      <w:r>
        <w:t xml:space="preserve">In the</w:t>
      </w:r>
      <w:r>
        <w:t xml:space="preserve"> </w:t>
      </w:r>
      <w:r>
        <w:rPr>
          <w:iCs/>
          <w:i/>
        </w:rPr>
        <w:t xml:space="preserve">Ruiju Myōgishō</w:t>
      </w:r>
      <w:r>
        <w:t xml:space="preserve">, glossing</w:t>
      </w:r>
      <w:r>
        <w:t xml:space="preserve"> </w:t>
      </w:r>
      <w:r>
        <w:t xml:space="preserve">‘</w:t>
      </w:r>
      <w:r>
        <w:t xml:space="preserve">騞</w:t>
      </w:r>
      <w:r>
        <w:t xml:space="preserve">’</w:t>
      </w:r>
      <w:r>
        <w:t xml:space="preserve"> </w:t>
      </w:r>
      <w:r>
        <w:t xml:space="preserve">with</w:t>
      </w:r>
      <w:r>
        <w:t xml:space="preserve"> </w:t>
      </w:r>
      <w:r>
        <w:t xml:space="preserve">‘</w:t>
      </w:r>
      <w:r>
        <w:t xml:space="preserve">ー然</w:t>
      </w:r>
      <w:r>
        <w:t xml:space="preserve">’</w:t>
      </w:r>
      <w:r>
        <w:t xml:space="preserve"> </w:t>
      </w:r>
      <w:r>
        <w:t xml:space="preserve">and</w:t>
      </w:r>
      <w:r>
        <w:t xml:space="preserve"> </w:t>
      </w:r>
      <w:r>
        <w:t xml:space="preserve">‘</w:t>
      </w:r>
      <w:r>
        <w:t xml:space="preserve">睟</w:t>
      </w:r>
      <w:r>
        <w:t xml:space="preserve">’</w:t>
      </w:r>
      <w:r>
        <w:t xml:space="preserve"> </w:t>
      </w:r>
      <w:r>
        <w:t xml:space="preserve">with</w:t>
      </w:r>
      <w:r>
        <w:t xml:space="preserve"> </w:t>
      </w:r>
      <w:r>
        <w:t xml:space="preserve">‘</w:t>
      </w:r>
      <w:r>
        <w:t xml:space="preserve">ー然潤澤皃</w:t>
      </w:r>
      <w:r>
        <w:t xml:space="preserve">’</w:t>
      </w:r>
      <w:r>
        <w:t xml:space="preserve"> </w:t>
      </w:r>
      <w:r>
        <w:t xml:space="preserve">are examples of using this construction.</w:t>
      </w:r>
    </w:p>
    <w:bookmarkEnd w:id="652"/>
    <w:bookmarkStart w:id="653" w:name="X6b84566b48eaf630ed39bacbea4a9a095878ded"/>
    <w:p>
      <w:pPr>
        <w:pStyle w:val="Heading3"/>
      </w:pPr>
      <w:r>
        <w:rPr>
          <w:rStyle w:val="SectionNumber"/>
        </w:rPr>
        <w:t xml:space="preserve">24.2.7</w:t>
      </w:r>
      <w:r>
        <w:tab/>
      </w:r>
      <w:r>
        <w:t xml:space="preserve">Semantic Glosses in Chinese Mistaken for Katakana</w:t>
      </w:r>
    </w:p>
    <w:p>
      <w:pPr>
        <w:pStyle w:val="FirstParagraph"/>
      </w:pPr>
      <w:r>
        <w:t xml:space="preserve">Scribal errors in</w:t>
      </w:r>
      <w:r>
        <w:t xml:space="preserve"> </w:t>
      </w:r>
      <w:r>
        <w:rPr>
          <w:rStyle w:val="VerbatimChar"/>
          <w:bCs/>
          <w:b/>
        </w:rPr>
        <w:t xml:space="preserve">Semantic Glosses in Chinese</w:t>
      </w:r>
      <w:r>
        <w:t xml:space="preserve"> </w:t>
      </w:r>
      <w:r>
        <w:t xml:space="preserve">are common. It is important to search for the source text and confirm what meaning is being explained and in what context the gloss is used.</w:t>
      </w:r>
    </w:p>
    <w:p>
      <w:pPr>
        <w:numPr>
          <w:ilvl w:val="0"/>
          <w:numId w:val="1245"/>
        </w:numPr>
        <w:pStyle w:val="Compact"/>
      </w:pPr>
      <w:r>
        <w:rPr>
          <w:rStyle w:val="VerbatimChar"/>
        </w:rPr>
        <w:t xml:space="preserve">kazama_location</w:t>
      </w:r>
      <w:r>
        <w:t xml:space="preserve">: K03009110,</w:t>
      </w:r>
      <w:r>
        <w:t xml:space="preserve"> </w:t>
      </w:r>
      <w:r>
        <w:rPr>
          <w:rStyle w:val="VerbatimChar"/>
        </w:rPr>
        <w:t xml:space="preserve">hanzi_entry</w:t>
      </w:r>
      <w:r>
        <w:t xml:space="preserve">: 髎,</w:t>
      </w:r>
      <w:r>
        <w:t xml:space="preserve"> </w:t>
      </w:r>
      <w:r>
        <w:rPr>
          <w:rStyle w:val="VerbatimChar"/>
        </w:rPr>
        <w:t xml:space="preserve">definition</w:t>
      </w:r>
      <w:r>
        <w:t xml:space="preserve">: 力遙反　尻骨謂之八ー(謂-詣イ、八ー-ハキ〈イ〉)　侖作膫非</w:t>
      </w:r>
    </w:p>
    <w:p>
      <w:pPr>
        <w:pStyle w:val="FirstParagraph"/>
      </w:pPr>
      <w:r>
        <w:t xml:space="preserve">This entry derives from Xuanying’s</w:t>
      </w:r>
      <w:r>
        <w:t xml:space="preserve"> </w:t>
      </w:r>
      <w:r>
        <w:rPr>
          <w:iCs/>
          <w:i/>
        </w:rPr>
        <w:t xml:space="preserve">Yiqiejing yinyi</w:t>
      </w:r>
      <w:r>
        <w:t xml:space="preserve">. It can be surmised that the gloss text</w:t>
      </w:r>
      <w:r>
        <w:t xml:space="preserve"> </w:t>
      </w:r>
      <w:r>
        <w:t xml:space="preserve">‘</w:t>
      </w:r>
      <w:r>
        <w:t xml:space="preserve">八髎</w:t>
      </w:r>
      <w:r>
        <w:t xml:space="preserve">’</w:t>
      </w:r>
      <w:r>
        <w:t xml:space="preserve"> </w:t>
      </w:r>
      <w:r>
        <w:t xml:space="preserve">was transcribed as</w:t>
      </w:r>
      <w:r>
        <w:t xml:space="preserve"> </w:t>
      </w:r>
      <w:r>
        <w:t xml:space="preserve">‘</w:t>
      </w:r>
      <w:r>
        <w:t xml:space="preserve">八ー</w:t>
      </w:r>
      <w:r>
        <w:t xml:space="preserve">’</w:t>
      </w:r>
      <w:r>
        <w:t xml:space="preserve">, and mistakenly read as the katakana</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w:t>
      </w:r>
      <w:r>
        <w:t xml:space="preserve">ハキ</w:t>
      </w:r>
      <w:r>
        <w:t xml:space="preserve">’</w:t>
      </w:r>
      <w:r>
        <w:t xml:space="preserve">.</w:t>
      </w:r>
    </w:p>
    <w:p>
      <w:pPr>
        <w:numPr>
          <w:ilvl w:val="0"/>
          <w:numId w:val="1246"/>
        </w:numPr>
        <w:pStyle w:val="Compact"/>
      </w:pPr>
      <w:r>
        <w:rPr>
          <w:rStyle w:val="VerbatimChar"/>
        </w:rPr>
        <w:t xml:space="preserve">kazama_location</w:t>
      </w:r>
      <w:r>
        <w:t xml:space="preserve">: K07039310,</w:t>
      </w:r>
      <w:r>
        <w:t xml:space="preserve"> </w:t>
      </w:r>
      <w:r>
        <w:rPr>
          <w:rStyle w:val="VerbatimChar"/>
        </w:rPr>
        <w:t xml:space="preserve">hanzi_entry</w:t>
      </w:r>
      <w:r>
        <w:t xml:space="preserve">: 𪗍,</w:t>
      </w:r>
      <w:r>
        <w:t xml:space="preserve"> </w:t>
      </w:r>
      <w:r>
        <w:rPr>
          <w:rStyle w:val="VerbatimChar"/>
        </w:rPr>
        <w:t xml:space="preserve">definition</w:t>
      </w:r>
      <w:r>
        <w:t xml:space="preserve">: 音同　等</w:t>
      </w:r>
    </w:p>
    <w:p>
      <w:pPr>
        <w:pStyle w:val="FirstParagraph"/>
      </w:pPr>
      <w:r>
        <w:t xml:space="preserve">Kusakawa’s</w:t>
      </w:r>
      <w:r>
        <w:t xml:space="preserve"> </w:t>
      </w:r>
      <w:r>
        <w:rPr>
          <w:iCs/>
          <w:i/>
        </w:rPr>
        <w:t xml:space="preserve">Wakun Shūsei</w:t>
      </w:r>
      <w:r>
        <w:t xml:space="preserve"> </w:t>
      </w:r>
      <w:r>
        <w:t xml:space="preserve">records</w:t>
      </w:r>
      <w:r>
        <w:t xml:space="preserve"> </w:t>
      </w:r>
      <w:r>
        <w:t xml:space="preserve">‘</w:t>
      </w:r>
      <w:r>
        <w:t xml:space="preserve">等</w:t>
      </w:r>
      <w:r>
        <w:t xml:space="preserve">’</w:t>
      </w:r>
      <w:r>
        <w:t xml:space="preserve"> </w:t>
      </w:r>
      <w:r>
        <w:t xml:space="preserve">as</w:t>
      </w:r>
      <w:r>
        <w:t xml:space="preserve"> </w:t>
      </w:r>
      <w:r>
        <w:t xml:space="preserve">‘</w:t>
      </w:r>
      <w:r>
        <w:t xml:space="preserve">ホ</w:t>
      </w:r>
      <w:r>
        <w:t xml:space="preserve">’</w:t>
      </w:r>
      <w:r>
        <w:t xml:space="preserve"> </w:t>
      </w:r>
      <w:r>
        <w:t xml:space="preserve">(</w:t>
      </w:r>
      <w:r>
        <w:rPr>
          <w:iCs/>
          <w:i/>
        </w:rPr>
        <w:t xml:space="preserve">ho</w:t>
      </w:r>
      <w:r>
        <w:t xml:space="preserve">), but this does not appear as</w:t>
      </w:r>
      <w:r>
        <w:t xml:space="preserve"> </w:t>
      </w:r>
      <w:r>
        <w:t xml:space="preserve">‘</w:t>
      </w:r>
      <w:r>
        <w:t xml:space="preserve">ホ</w:t>
      </w:r>
      <w:r>
        <w:t xml:space="preserve">’</w:t>
      </w:r>
      <w:r>
        <w:t xml:space="preserve"> </w:t>
      </w:r>
      <w:r>
        <w:t xml:space="preserve">in Masamune’s Index. The</w:t>
      </w:r>
      <w:r>
        <w:t xml:space="preserve"> </w:t>
      </w:r>
      <w:r>
        <w:rPr>
          <w:iCs/>
          <w:i/>
        </w:rPr>
        <w:t xml:space="preserve">Shuowen Jiezi</w:t>
      </w:r>
      <w:r>
        <w:t xml:space="preserve"> </w:t>
      </w:r>
      <w:r>
        <w:t xml:space="preserve">glosses</w:t>
      </w:r>
      <w:r>
        <w:t xml:space="preserve"> </w:t>
      </w:r>
      <w:r>
        <w:t xml:space="preserve">‘</w:t>
      </w:r>
      <w:r>
        <w:t xml:space="preserve">𪗍</w:t>
      </w:r>
      <w:r>
        <w:t xml:space="preserve">’</w:t>
      </w:r>
      <w:r>
        <w:t xml:space="preserve"> </w:t>
      </w:r>
      <w:r>
        <w:t xml:space="preserve">as</w:t>
      </w:r>
      <w:r>
        <w:t xml:space="preserve"> </w:t>
      </w:r>
      <w:r>
        <w:t xml:space="preserve">‘</w:t>
      </w:r>
      <w:r>
        <w:t xml:space="preserve">等也</w:t>
      </w:r>
      <w:r>
        <w:t xml:space="preserve">’</w:t>
      </w:r>
      <w:r>
        <w:t xml:space="preserve">. Kusakawa mistook the semi-cursive/cursive form (行草書) of</w:t>
      </w:r>
      <w:r>
        <w:t xml:space="preserve"> </w:t>
      </w:r>
      <w:r>
        <w:t xml:space="preserve">‘</w:t>
      </w:r>
      <w:r>
        <w:t xml:space="preserve">等</w:t>
      </w:r>
      <w:r>
        <w:t xml:space="preserve">’</w:t>
      </w:r>
      <w:r>
        <w:t xml:space="preserve">, which resembles</w:t>
      </w:r>
      <w:r>
        <w:t xml:space="preserve"> </w:t>
      </w:r>
      <w:r>
        <w:t xml:space="preserve">‘</w:t>
      </w:r>
      <w:r>
        <w:t xml:space="preserve">ホ</w:t>
      </w:r>
      <w:r>
        <w:t xml:space="preserve">’</w:t>
      </w:r>
      <w:r>
        <w:t xml:space="preserve">, for a</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Masamune, it is presumed, correctly read it as a Chinese character. The note</w:t>
      </w:r>
      <w:r>
        <w:t xml:space="preserve"> </w:t>
      </w:r>
      <w:r>
        <w:t xml:space="preserve">‘</w:t>
      </w:r>
      <w:r>
        <w:t xml:space="preserve">音同</w:t>
      </w:r>
      <w:r>
        <w:t xml:space="preserve">’</w:t>
      </w:r>
      <w:r>
        <w:t xml:space="preserve"> </w:t>
      </w:r>
      <w:r>
        <w:t xml:space="preserve">indicates that the pronunciation is the same as that of the preceding character</w:t>
      </w:r>
      <w:r>
        <w:t xml:space="preserve"> </w:t>
      </w:r>
      <w:r>
        <w:t xml:space="preserve">‘</w:t>
      </w:r>
      <w:r>
        <w:t xml:space="preserve">齊</w:t>
      </w:r>
      <w:r>
        <w:t xml:space="preserve">’</w:t>
      </w:r>
      <w:r>
        <w:t xml:space="preserve">.</w:t>
      </w:r>
    </w:p>
    <w:bookmarkEnd w:id="653"/>
    <w:bookmarkEnd w:id="654"/>
    <w:bookmarkEnd w:id="655"/>
    <w:bookmarkEnd w:id="656"/>
    <w:bookmarkStart w:id="664" w:name="X496c2987883244a2e046448a1e898adaae2b5ab"/>
    <w:bookmarkStart w:id="663" w:name="X61291cb2d7474f1afe5a64384b980ecaa559abc"/>
    <w:p>
      <w:pPr>
        <w:pStyle w:val="Heading1"/>
      </w:pPr>
      <w:r>
        <w:rPr>
          <w:rStyle w:val="SectionNumber"/>
        </w:rPr>
        <w:t xml:space="preserve">25</w:t>
      </w:r>
      <w:r>
        <w:tab/>
      </w:r>
      <w:r>
        <w:t xml:space="preserve">Foundational Materials for Annotating Japanese Native Readings (</w:t>
      </w:r>
      <w:r>
        <w:rPr>
          <w:iCs/>
          <w:i/>
        </w:rPr>
        <w:t xml:space="preserve">wakun</w:t>
      </w:r>
      <w:r>
        <w:t xml:space="preserve">)</w:t>
      </w:r>
    </w:p>
    <w:p>
      <w:pPr>
        <w:pStyle w:val="FirstParagraph"/>
      </w:pPr>
      <w:r>
        <w:t xml:space="preserve">This section first lists the reference works cited by abbreviation, along with other reference works. It then provides several concrete examples illustrating the identification of</w:t>
      </w:r>
      <w:r>
        <w:t xml:space="preserve"> </w:t>
      </w:r>
      <w:r>
        <w:rPr>
          <w:rStyle w:val="VerbatimChar"/>
          <w:bCs/>
          <w:b/>
        </w:rPr>
        <w:t xml:space="preserve">Japanese Native Readings</w:t>
      </w:r>
      <w:r>
        <w:rPr>
          <w:bCs/>
          <w:b/>
        </w:rPr>
        <w:t xml:space="preserve"> </w:t>
      </w:r>
      <w:r>
        <w:rPr>
          <w:bCs/>
          <w:b/>
        </w:rPr>
        <w:t xml:space="preserve">(</w:t>
      </w:r>
      <w:r>
        <w:rPr>
          <w:iCs/>
          <w:i/>
          <w:bCs/>
          <w:b/>
        </w:rPr>
        <w:t xml:space="preserve">wakun</w:t>
      </w:r>
      <w:r>
        <w:rPr>
          <w:bCs/>
          <w:b/>
        </w:rPr>
        <w:t xml:space="preserve">)</w:t>
      </w:r>
      <w:r>
        <w:t xml:space="preserve">.</w:t>
      </w:r>
    </w:p>
    <w:bookmarkStart w:id="659" w:name="Xbbbe09f1ec230ba352aa1ae109bd39b0faaec56"/>
    <w:p>
      <w:pPr>
        <w:pStyle w:val="Heading2"/>
      </w:pPr>
      <w:r>
        <w:rPr>
          <w:rStyle w:val="SectionNumber"/>
        </w:rPr>
        <w:t xml:space="preserve">25.1</w:t>
      </w:r>
      <w:r>
        <w:tab/>
      </w:r>
      <w:r>
        <w:t xml:space="preserve">References</w:t>
      </w:r>
    </w:p>
    <w:bookmarkStart w:id="657" w:name="X09f25e17dcf3d11e78bee6ffb6af65da52f94f2"/>
    <w:p>
      <w:pPr>
        <w:pStyle w:val="Heading3"/>
      </w:pPr>
      <w:r>
        <w:rPr>
          <w:rStyle w:val="SectionNumber"/>
        </w:rPr>
        <w:t xml:space="preserve">25.1.1</w:t>
      </w:r>
      <w:r>
        <w:tab/>
      </w:r>
      <w:r>
        <w:t xml:space="preserve">References Cited by Abbreviation</w:t>
      </w:r>
    </w:p>
    <w:p>
      <w:pPr>
        <w:pStyle w:val="FirstParagraph"/>
      </w:pPr>
      <w:r>
        <w:t xml:space="preserve">For determining the word forms of</w:t>
      </w:r>
      <w:r>
        <w:t xml:space="preserve"> </w:t>
      </w:r>
      <w:r>
        <w:rPr>
          <w:iCs/>
          <w:i/>
        </w:rPr>
        <w:t xml:space="preserve">wakun</w:t>
      </w:r>
      <w:r>
        <w:t xml:space="preserve">, the following indexes must always be consulted. As they are used frequently, they are indicated here by abbreviation.</w:t>
      </w:r>
    </w:p>
    <w:p>
      <w:pPr>
        <w:numPr>
          <w:ilvl w:val="0"/>
          <w:numId w:val="1247"/>
        </w:numPr>
        <w:pStyle w:val="Compact"/>
      </w:pPr>
      <w:r>
        <w:rPr>
          <w:bCs/>
          <w:b/>
        </w:rPr>
        <w:t xml:space="preserve">Masamune’s Index</w:t>
      </w:r>
      <w:r>
        <w:t xml:space="preserve"> </w:t>
      </w:r>
      <w:r>
        <w:t xml:space="preserve">(正宗索引,</w:t>
      </w:r>
      <w:r>
        <w:t xml:space="preserve"> </w:t>
      </w:r>
      <w:r>
        <w:rPr>
          <w:iCs/>
          <w:i/>
        </w:rPr>
        <w:t xml:space="preserve">Masamune Sakuin</w:t>
      </w:r>
      <w:r>
        <w:t xml:space="preserve">): Masamune Atsuo, ed. </w:t>
      </w:r>
      <w:r>
        <w:rPr>
          <w:iCs/>
          <w:i/>
        </w:rPr>
        <w:t xml:space="preserve">Ruiju Myōgishō, Dainikan: Kanji Sakuin, Kana Sakuin</w:t>
      </w:r>
      <w:r>
        <w:t xml:space="preserve"> </w:t>
      </w:r>
      <w:r>
        <w:t xml:space="preserve">(類聚名義抄 第二巻 漢字索引仮名索引,</w:t>
      </w:r>
      <w:r>
        <w:t xml:space="preserve"> </w:t>
      </w:r>
      <w:r>
        <w:rPr>
          <w:iCs/>
          <w:i/>
        </w:rPr>
        <w:t xml:space="preserve">Ruiju Myōgishō</w:t>
      </w:r>
      <w:r>
        <w:t xml:space="preserve">, Vol. 2: Kanji Index, Kana Index). Tokyo: Kazama Shobō, 1955.</w:t>
      </w:r>
    </w:p>
    <w:p>
      <w:pPr>
        <w:numPr>
          <w:ilvl w:val="0"/>
          <w:numId w:val="1247"/>
        </w:numPr>
        <w:pStyle w:val="Compact"/>
      </w:pPr>
      <w:r>
        <w:rPr>
          <w:bCs/>
          <w:b/>
        </w:rPr>
        <w:t xml:space="preserve">Mochizuki’s Wakun Collection</w:t>
      </w:r>
      <w:r>
        <w:t xml:space="preserve"> </w:t>
      </w:r>
      <w:r>
        <w:t xml:space="preserve">(望月和訓集成,</w:t>
      </w:r>
      <w:r>
        <w:t xml:space="preserve"> </w:t>
      </w:r>
      <w:r>
        <w:rPr>
          <w:iCs/>
          <w:i/>
        </w:rPr>
        <w:t xml:space="preserve">Mochizuki Wakun Shūsei</w:t>
      </w:r>
      <w:r>
        <w:t xml:space="preserve">): Mochizuki Ikuko, ed. </w:t>
      </w:r>
      <w:r>
        <w:rPr>
          <w:iCs/>
          <w:i/>
        </w:rPr>
        <w:t xml:space="preserve">Ruiju Myōgishō: Yonshu Shōten-tsuki Wakun Shūsei</w:t>
      </w:r>
      <w:r>
        <w:t xml:space="preserve"> </w:t>
      </w:r>
      <w:r>
        <w:t xml:space="preserve">(類聚名義抄：四種声点付和訓集成,</w:t>
      </w:r>
      <w:r>
        <w:t xml:space="preserve"> </w:t>
      </w:r>
      <w:r>
        <w:rPr>
          <w:iCs/>
          <w:i/>
        </w:rPr>
        <w:t xml:space="preserve">Ruiju Myōgishō</w:t>
      </w:r>
      <w:r>
        <w:t xml:space="preserve">: A Collection of</w:t>
      </w:r>
      <w:r>
        <w:t xml:space="preserve"> </w:t>
      </w:r>
      <w:r>
        <w:rPr>
          <w:iCs/>
          <w:i/>
        </w:rPr>
        <w:t xml:space="preserve">Wakun</w:t>
      </w:r>
      <w:r>
        <w:t xml:space="preserve"> </w:t>
      </w:r>
      <w:r>
        <w:t xml:space="preserve">with Four Types of Tone Marks; Kasama Sakuin Sōkan 44). Tokyo: Kasama Shoin, 1974.</w:t>
      </w:r>
    </w:p>
    <w:p>
      <w:pPr>
        <w:numPr>
          <w:ilvl w:val="0"/>
          <w:numId w:val="1247"/>
        </w:numPr>
        <w:pStyle w:val="Compact"/>
      </w:pPr>
      <w:r>
        <w:rPr>
          <w:bCs/>
          <w:b/>
        </w:rPr>
        <w:t xml:space="preserve">Kusakawa’s Wakun Collection</w:t>
      </w:r>
      <w:r>
        <w:t xml:space="preserve"> </w:t>
      </w:r>
      <w:r>
        <w:t xml:space="preserve">(草川和訓集成,</w:t>
      </w:r>
      <w:r>
        <w:t xml:space="preserve"> </w:t>
      </w:r>
      <w:r>
        <w:rPr>
          <w:iCs/>
          <w:i/>
        </w:rPr>
        <w:t xml:space="preserve">Kusakawa Wakun Shūsei</w:t>
      </w:r>
      <w:r>
        <w:t xml:space="preserve">): Kusakawa Noboru, ed. </w:t>
      </w:r>
      <w:r>
        <w:rPr>
          <w:iCs/>
          <w:i/>
        </w:rPr>
        <w:t xml:space="preserve">Gohon Taishō Ruiju Myōgishō Wakun Shūsei</w:t>
      </w:r>
      <w:r>
        <w:t xml:space="preserve"> </w:t>
      </w:r>
      <w:r>
        <w:t xml:space="preserve">(五本対照類聚名義抄和訓集成, A Collection of</w:t>
      </w:r>
      <w:r>
        <w:t xml:space="preserve"> </w:t>
      </w:r>
      <w:r>
        <w:rPr>
          <w:iCs/>
          <w:i/>
        </w:rPr>
        <w:t xml:space="preserve">Wakun</w:t>
      </w:r>
      <w:r>
        <w:t xml:space="preserve"> </w:t>
      </w:r>
      <w:r>
        <w:t xml:space="preserve">from Five Collated Manuscripts of the</w:t>
      </w:r>
      <w:r>
        <w:t xml:space="preserve"> </w:t>
      </w:r>
      <w:r>
        <w:rPr>
          <w:iCs/>
          <w:i/>
        </w:rPr>
        <w:t xml:space="preserve">Ruiju Myōgishō</w:t>
      </w:r>
      <w:r>
        <w:t xml:space="preserve">). Tokyo: Kyūko Shoin, 2000.</w:t>
      </w:r>
    </w:p>
    <w:p>
      <w:pPr>
        <w:numPr>
          <w:ilvl w:val="0"/>
          <w:numId w:val="1247"/>
        </w:numPr>
        <w:pStyle w:val="Compact"/>
      </w:pPr>
      <w:r>
        <w:rPr>
          <w:bCs/>
          <w:b/>
        </w:rPr>
        <w:t xml:space="preserve">Nakamura’s Monzen</w:t>
      </w:r>
      <w:r>
        <w:t xml:space="preserve"> </w:t>
      </w:r>
      <w:r>
        <w:t xml:space="preserve">(中村文選,</w:t>
      </w:r>
      <w:r>
        <w:t xml:space="preserve"> </w:t>
      </w:r>
      <w:r>
        <w:rPr>
          <w:iCs/>
          <w:i/>
        </w:rPr>
        <w:t xml:space="preserve">Nakamura Monzen</w:t>
      </w:r>
      <w:r>
        <w:t xml:space="preserve">): Nakamura Munehiko.</w:t>
      </w:r>
      <w:r>
        <w:t xml:space="preserve"> </w:t>
      </w:r>
      <w:r>
        <w:rPr>
          <w:iCs/>
          <w:i/>
        </w:rPr>
        <w:t xml:space="preserve">Kujōbon Monzen Kokunshū</w:t>
      </w:r>
      <w:r>
        <w:t xml:space="preserve"> </w:t>
      </w:r>
      <w:r>
        <w:t xml:space="preserve">(九条本文選古訓集, Old Kokun Readings of the</w:t>
      </w:r>
      <w:r>
        <w:t xml:space="preserve"> </w:t>
      </w:r>
      <w:r>
        <w:rPr>
          <w:iCs/>
          <w:i/>
        </w:rPr>
        <w:t xml:space="preserve">Monzen</w:t>
      </w:r>
      <w:r>
        <w:t xml:space="preserve">, Kujō Manuscript). Tokyo: Kazama Shobō, 1983.</w:t>
      </w:r>
    </w:p>
    <w:p>
      <w:pPr>
        <w:numPr>
          <w:ilvl w:val="0"/>
          <w:numId w:val="1247"/>
        </w:numPr>
        <w:pStyle w:val="Compact"/>
      </w:pPr>
      <w:r>
        <w:rPr>
          <w:bCs/>
          <w:b/>
        </w:rPr>
        <w:t xml:space="preserve">Kunten Goi Shūsei</w:t>
      </w:r>
      <w:r>
        <w:t xml:space="preserve"> </w:t>
      </w:r>
      <w:r>
        <w:t xml:space="preserve">(訓点語彙集成,</w:t>
      </w:r>
      <w:r>
        <w:t xml:space="preserve"> </w:t>
      </w:r>
      <w:r>
        <w:rPr>
          <w:iCs/>
          <w:i/>
        </w:rPr>
        <w:t xml:space="preserve">Kunten Goi Shūsei</w:t>
      </w:r>
      <w:r>
        <w:t xml:space="preserve">): Tsukishima Hiroshi, ed. </w:t>
      </w:r>
      <w:r>
        <w:rPr>
          <w:iCs/>
          <w:i/>
        </w:rPr>
        <w:t xml:space="preserve">Kunten Goi Shūsei</w:t>
      </w:r>
      <w:r>
        <w:t xml:space="preserve"> </w:t>
      </w:r>
      <w:r>
        <w:t xml:space="preserve">(訓点語彙集成, A Comprehensive Collection of</w:t>
      </w:r>
      <w:r>
        <w:t xml:space="preserve"> </w:t>
      </w:r>
      <w:r>
        <w:rPr>
          <w:iCs/>
          <w:i/>
        </w:rPr>
        <w:t xml:space="preserve">Kunten</w:t>
      </w:r>
      <w:r>
        <w:t xml:space="preserve"> </w:t>
      </w:r>
      <w:r>
        <w:t xml:space="preserve">Vocabulary). 8 vols. and 1 supplementary vol. Tokyo: Kyūko Shoin, 2007–2009.</w:t>
      </w:r>
    </w:p>
    <w:p>
      <w:pPr>
        <w:pStyle w:val="FirstParagraph"/>
      </w:pPr>
      <w:r>
        <w:t xml:space="preserve">The following are consulted as Japanese-language dictionaries, Kanji-Japanese dictionaries, and reference tools for literary Chinese.</w:t>
      </w:r>
    </w:p>
    <w:p>
      <w:pPr>
        <w:numPr>
          <w:ilvl w:val="0"/>
          <w:numId w:val="1248"/>
        </w:numPr>
        <w:pStyle w:val="Compact"/>
      </w:pPr>
      <w:r>
        <w:rPr>
          <w:bCs/>
          <w:b/>
        </w:rPr>
        <w:t xml:space="preserve">Nikkoku</w:t>
      </w:r>
      <w:r>
        <w:t xml:space="preserve"> </w:t>
      </w:r>
      <w:r>
        <w:t xml:space="preserve">(日国,</w:t>
      </w:r>
      <w:r>
        <w:t xml:space="preserve"> </w:t>
      </w:r>
      <w:r>
        <w:rPr>
          <w:iCs/>
          <w:i/>
        </w:rPr>
        <w:t xml:space="preserve">Nikkoku</w:t>
      </w:r>
      <w:r>
        <w:t xml:space="preserve">):</w:t>
      </w:r>
      <w:r>
        <w:t xml:space="preserve"> </w:t>
      </w:r>
      <w:r>
        <w:rPr>
          <w:iCs/>
          <w:i/>
        </w:rPr>
        <w:t xml:space="preserve">Nihon Kokugo Daijiten Dainihan</w:t>
      </w:r>
      <w:r>
        <w:t xml:space="preserve"> </w:t>
      </w:r>
      <w:r>
        <w:t xml:space="preserve">Henshū Iinkai and Shōgakukan Kokugo Jiten Henshūbu, eds. </w:t>
      </w:r>
      <w:r>
        <w:rPr>
          <w:iCs/>
          <w:i/>
        </w:rPr>
        <w:t xml:space="preserve">Nihon Kokugo Daijiten</w:t>
      </w:r>
      <w:r>
        <w:t xml:space="preserve"> </w:t>
      </w:r>
      <w:r>
        <w:t xml:space="preserve">(日本国語大辞典, Comprehensive Japanese Dictionary). 2nd ed. Tokyo: Shōgakukan, 2000–2002. Content made available via JapanKnowledge starting November 2006.</w:t>
      </w:r>
    </w:p>
    <w:p>
      <w:pPr>
        <w:numPr>
          <w:ilvl w:val="0"/>
          <w:numId w:val="1248"/>
        </w:numPr>
        <w:pStyle w:val="Compact"/>
      </w:pPr>
      <w:r>
        <w:rPr>
          <w:bCs/>
          <w:b/>
        </w:rPr>
        <w:t xml:space="preserve">Daikanwa</w:t>
      </w:r>
      <w:r>
        <w:t xml:space="preserve"> </w:t>
      </w:r>
      <w:r>
        <w:t xml:space="preserve">(大漢和,</w:t>
      </w:r>
      <w:r>
        <w:t xml:space="preserve"> </w:t>
      </w:r>
      <w:r>
        <w:rPr>
          <w:iCs/>
          <w:i/>
        </w:rPr>
        <w:t xml:space="preserve">Daikanwa</w:t>
      </w:r>
      <w:r>
        <w:t xml:space="preserve">): Morohashi Tetsuji.</w:t>
      </w:r>
      <w:r>
        <w:t xml:space="preserve"> </w:t>
      </w:r>
      <w:r>
        <w:rPr>
          <w:iCs/>
          <w:i/>
        </w:rPr>
        <w:t xml:space="preserve">Dai Kan-Wa Jiten, Shūtei Daini-han</w:t>
      </w:r>
      <w:r>
        <w:t xml:space="preserve"> </w:t>
      </w:r>
      <w:r>
        <w:t xml:space="preserve">(大漢和辞典 修訂第二版, The Great Chinese-Japanese Dictionary, Revised 2nd Edition). Edited by Kamata Tadashi and Yoneyama Toratarō. 12 vols., plus Vocabulary Index and Supplement. Tokyo: Taishūkan Shoten, 1990–2000. Included as additional content in JapanKnowledge starting April 2021.</w:t>
      </w:r>
    </w:p>
    <w:p>
      <w:pPr>
        <w:numPr>
          <w:ilvl w:val="0"/>
          <w:numId w:val="1248"/>
        </w:numPr>
        <w:pStyle w:val="Compact"/>
      </w:pPr>
      <w:r>
        <w:rPr>
          <w:bCs/>
          <w:b/>
        </w:rPr>
        <w:t xml:space="preserve">Kokun Isan</w:t>
      </w:r>
      <w:r>
        <w:t xml:space="preserve"> </w:t>
      </w:r>
      <w:r>
        <w:t xml:space="preserve">(故訓匯纂,</w:t>
      </w:r>
      <w:r>
        <w:t xml:space="preserve"> </w:t>
      </w:r>
      <w:r>
        <w:rPr>
          <w:iCs/>
          <w:i/>
        </w:rPr>
        <w:t xml:space="preserve">Kokun Isan</w:t>
      </w:r>
      <w:r>
        <w:t xml:space="preserve">): Zong Fukang (宗福邦), Chen Shiyao (陳世鐃), and Xiao Haibo (蕭海波), chief eds. </w:t>
      </w:r>
      <w:r>
        <w:rPr>
          <w:iCs/>
          <w:i/>
        </w:rPr>
        <w:t xml:space="preserve">Guxun Huizuan</w:t>
      </w:r>
      <w:r>
        <w:t xml:space="preserve"> </w:t>
      </w:r>
      <w:r>
        <w:t xml:space="preserve">(故訓匯纂, Compilation of Ancient Glosses). Beijing: Shangwu Yinshuguan (商務印書館), 2003. A compilation of glosses found in 250 texts, from the pre-Qin period to the late Qing dynasty.</w:t>
      </w:r>
    </w:p>
    <w:p>
      <w:pPr>
        <w:pStyle w:val="FirstParagraph"/>
      </w:pPr>
      <w:r>
        <w:t xml:space="preserve">The following works also contain much material useful for deciphering the main text. As these too are used frequently, they are likewise indicated by abbreviation.</w:t>
      </w:r>
    </w:p>
    <w:p>
      <w:pPr>
        <w:numPr>
          <w:ilvl w:val="0"/>
          <w:numId w:val="1249"/>
        </w:numPr>
        <w:pStyle w:val="Compact"/>
      </w:pPr>
      <w:r>
        <w:rPr>
          <w:bCs/>
          <w:b/>
        </w:rPr>
        <w:t xml:space="preserve">Okada’s Study</w:t>
      </w:r>
      <w:r>
        <w:t xml:space="preserve"> </w:t>
      </w:r>
      <w:r>
        <w:t xml:space="preserve">(岡田研究,</w:t>
      </w:r>
      <w:r>
        <w:t xml:space="preserve"> </w:t>
      </w:r>
      <w:r>
        <w:rPr>
          <w:iCs/>
          <w:i/>
        </w:rPr>
        <w:t xml:space="preserve">Okada Kenkyū</w:t>
      </w:r>
      <w:r>
        <w:t xml:space="preserve">): Okada Mareo.</w:t>
      </w:r>
      <w:r>
        <w:t xml:space="preserve"> </w:t>
      </w:r>
      <w:r>
        <w:rPr>
          <w:iCs/>
          <w:i/>
        </w:rPr>
        <w:t xml:space="preserve">Ruiju Myōgishō no Kenkyū</w:t>
      </w:r>
      <w:r>
        <w:t xml:space="preserve"> </w:t>
      </w:r>
      <w:r>
        <w:t xml:space="preserve">(類聚名義抄の研究, Research on the</w:t>
      </w:r>
      <w:r>
        <w:t xml:space="preserve"> </w:t>
      </w:r>
      <w:r>
        <w:rPr>
          <w:iCs/>
          <w:i/>
        </w:rPr>
        <w:t xml:space="preserve">Ruiju Myōgishō</w:t>
      </w:r>
      <w:r>
        <w:t xml:space="preserve">). Kyoto: Ichijō Shobō, 1944.</w:t>
      </w:r>
    </w:p>
    <w:p>
      <w:pPr>
        <w:numPr>
          <w:ilvl w:val="0"/>
          <w:numId w:val="1249"/>
        </w:numPr>
        <w:pStyle w:val="Compact"/>
      </w:pPr>
      <w:r>
        <w:rPr>
          <w:bCs/>
          <w:b/>
        </w:rPr>
        <w:t xml:space="preserve">Komatsu’s Study</w:t>
      </w:r>
      <w:r>
        <w:t xml:space="preserve"> </w:t>
      </w:r>
      <w:r>
        <w:t xml:space="preserve">(小松論考,</w:t>
      </w:r>
      <w:r>
        <w:t xml:space="preserve"> </w:t>
      </w:r>
      <w:r>
        <w:rPr>
          <w:iCs/>
          <w:i/>
        </w:rPr>
        <w:t xml:space="preserve">Komatsu Ronkō</w:t>
      </w:r>
      <w:r>
        <w:t xml:space="preserve">): Komatsu Hideo.</w:t>
      </w:r>
      <w:r>
        <w:t xml:space="preserve"> </w:t>
      </w:r>
      <w:r>
        <w:rPr>
          <w:iCs/>
          <w:i/>
        </w:rPr>
        <w:t xml:space="preserve">Nihon Seichōshi Ronkō</w:t>
      </w:r>
      <w:r>
        <w:t xml:space="preserve"> </w:t>
      </w:r>
      <w:r>
        <w:t xml:space="preserve">(日本声調史論考, Studies in the History of Japanese Accent). Tokyo: Kazama Shobō, 1971.</w:t>
      </w:r>
    </w:p>
    <w:p>
      <w:pPr>
        <w:numPr>
          <w:ilvl w:val="0"/>
          <w:numId w:val="1249"/>
        </w:numPr>
        <w:pStyle w:val="Compact"/>
      </w:pPr>
      <w:r>
        <w:rPr>
          <w:bCs/>
          <w:b/>
        </w:rPr>
        <w:t xml:space="preserve">Mochizuki’s Study</w:t>
      </w:r>
      <w:r>
        <w:t xml:space="preserve"> </w:t>
      </w:r>
      <w:r>
        <w:t xml:space="preserve">(望月研究,</w:t>
      </w:r>
      <w:r>
        <w:t xml:space="preserve"> </w:t>
      </w:r>
      <w:r>
        <w:rPr>
          <w:iCs/>
          <w:i/>
        </w:rPr>
        <w:t xml:space="preserve">Mochizuki Kenkyū</w:t>
      </w:r>
      <w:r>
        <w:t xml:space="preserve">): Mochizuki Ikuko.</w:t>
      </w:r>
      <w:r>
        <w:t xml:space="preserve"> </w:t>
      </w:r>
      <w:r>
        <w:rPr>
          <w:iCs/>
          <w:i/>
        </w:rPr>
        <w:t xml:space="preserve">Ruiju Myōgishō no Bunkengakuteki Kenkyū</w:t>
      </w:r>
      <w:r>
        <w:t xml:space="preserve"> </w:t>
      </w:r>
      <w:r>
        <w:t xml:space="preserve">(類聚名義抄の文献学的研究, A Philological Study of the</w:t>
      </w:r>
      <w:r>
        <w:t xml:space="preserve"> </w:t>
      </w:r>
      <w:r>
        <w:rPr>
          <w:iCs/>
          <w:i/>
        </w:rPr>
        <w:t xml:space="preserve">Ruiju Myōgishō</w:t>
      </w:r>
      <w:r>
        <w:t xml:space="preserve">). Tokyo: Kasama Shoin, 1992.</w:t>
      </w:r>
    </w:p>
    <w:p>
      <w:pPr>
        <w:numPr>
          <w:ilvl w:val="0"/>
          <w:numId w:val="1249"/>
        </w:numPr>
        <w:pStyle w:val="Compact"/>
      </w:pPr>
      <w:r>
        <w:rPr>
          <w:bCs/>
          <w:b/>
        </w:rPr>
        <w:t xml:space="preserve">Tsukishima’s Collected Works, Vol. 3</w:t>
      </w:r>
      <w:r>
        <w:t xml:space="preserve"> </w:t>
      </w:r>
      <w:r>
        <w:t xml:space="preserve">(築島著作集三,</w:t>
      </w:r>
      <w:r>
        <w:t xml:space="preserve"> </w:t>
      </w:r>
      <w:r>
        <w:rPr>
          <w:iCs/>
          <w:i/>
        </w:rPr>
        <w:t xml:space="preserve">Tsukishima Chosakushū San</w:t>
      </w:r>
      <w:r>
        <w:t xml:space="preserve">): Tsukishima Hiroshi.</w:t>
      </w:r>
      <w:r>
        <w:t xml:space="preserve"> </w:t>
      </w:r>
      <w:r>
        <w:rPr>
          <w:iCs/>
          <w:i/>
        </w:rPr>
        <w:t xml:space="preserve">Tsukishima Hiroshi Chosakushū, Dai San-kan: Kojisho to Ongi</w:t>
      </w:r>
      <w:r>
        <w:t xml:space="preserve"> </w:t>
      </w:r>
      <w:r>
        <w:t xml:space="preserve">(築島裕著作集 第三巻 古辞書と音義, Collected Works of Tsukishima Hiroshi, Vol. 3: Old Dictionaries and Phonetic/Semantic Glosses). Tokyo: Kyūko Shoin, 2016.</w:t>
      </w:r>
    </w:p>
    <w:p>
      <w:pPr>
        <w:numPr>
          <w:ilvl w:val="0"/>
          <w:numId w:val="1249"/>
        </w:numPr>
        <w:pStyle w:val="Compact"/>
      </w:pPr>
      <w:r>
        <w:rPr>
          <w:bCs/>
          <w:b/>
        </w:rPr>
        <w:t xml:space="preserve">Yoshida’s Kokugo</w:t>
      </w:r>
      <w:r>
        <w:t xml:space="preserve"> </w:t>
      </w:r>
      <w:r>
        <w:t xml:space="preserve">(吉田国語,</w:t>
      </w:r>
      <w:r>
        <w:t xml:space="preserve"> </w:t>
      </w:r>
      <w:r>
        <w:rPr>
          <w:iCs/>
          <w:i/>
        </w:rPr>
        <w:t xml:space="preserve">Yoshida Kokugo</w:t>
      </w:r>
      <w:r>
        <w:t xml:space="preserve">): Yoshida Kanehiko.</w:t>
      </w:r>
      <w:r>
        <w:t xml:space="preserve"> </w:t>
      </w:r>
      <w:r>
        <w:rPr>
          <w:iCs/>
          <w:i/>
        </w:rPr>
        <w:t xml:space="preserve">Kojisho to Kokugo</w:t>
      </w:r>
      <w:r>
        <w:t xml:space="preserve"> </w:t>
      </w:r>
      <w:r>
        <w:t xml:space="preserve">(古辞書と国語, Old Dictionaries and the Japanese Language). Kyoto: Rinsen Shoten, 2013.</w:t>
      </w:r>
    </w:p>
    <w:p>
      <w:pPr>
        <w:pStyle w:val="FirstParagraph"/>
      </w:pPr>
      <w:r>
        <w:t xml:space="preserve">Likewise, the following papers are cited by abbreviation.</w:t>
      </w:r>
    </w:p>
    <w:p>
      <w:pPr>
        <w:numPr>
          <w:ilvl w:val="0"/>
          <w:numId w:val="1250"/>
        </w:numPr>
        <w:pStyle w:val="Compact"/>
      </w:pPr>
      <w:r>
        <w:rPr>
          <w:bCs/>
          <w:b/>
        </w:rPr>
        <w:t xml:space="preserve">Nishihata’s Study of Scribal Errors</w:t>
      </w:r>
      <w:r>
        <w:t xml:space="preserve"> </w:t>
      </w:r>
      <w:r>
        <w:t xml:space="preserve">(西端誤写考察,</w:t>
      </w:r>
      <w:r>
        <w:t xml:space="preserve"> </w:t>
      </w:r>
      <w:r>
        <w:rPr>
          <w:iCs/>
          <w:i/>
        </w:rPr>
        <w:t xml:space="preserve">Nishihata Gosha Kōsatsu</w:t>
      </w:r>
      <w:r>
        <w:t xml:space="preserve">): Nishihata Yukio.</w:t>
      </w:r>
      <w:r>
        <w:t xml:space="preserve"> </w:t>
      </w:r>
      <w:r>
        <w:t xml:space="preserve">“</w:t>
      </w:r>
      <w:r>
        <w:rPr>
          <w:iCs/>
          <w:i/>
        </w:rPr>
        <w:t xml:space="preserve">Ruiju Myōgishō</w:t>
      </w:r>
      <w:r>
        <w:t xml:space="preserve"> </w:t>
      </w:r>
      <w:r>
        <w:t xml:space="preserve">ni okeru Gosha no Kōsatsu</w:t>
      </w:r>
      <w:r>
        <w:t xml:space="preserve">”</w:t>
      </w:r>
      <w:r>
        <w:t xml:space="preserve"> </w:t>
      </w:r>
      <w:r>
        <w:t xml:space="preserve">(A Study of Scribal Errors in the</w:t>
      </w:r>
      <w:r>
        <w:t xml:space="preserve"> </w:t>
      </w:r>
      <w:r>
        <w:rPr>
          <w:iCs/>
          <w:i/>
        </w:rPr>
        <w:t xml:space="preserve">Ruiju Myōgishō</w:t>
      </w:r>
      <w:r>
        <w:t xml:space="preserve">).</w:t>
      </w:r>
      <w:r>
        <w:t xml:space="preserve"> </w:t>
      </w:r>
      <w:r>
        <w:rPr>
          <w:iCs/>
          <w:i/>
        </w:rPr>
        <w:t xml:space="preserve">Kuntengo to Kunten Shiryō</w:t>
      </w:r>
      <w:r>
        <w:t xml:space="preserve"> </w:t>
      </w:r>
      <w:r>
        <w:t xml:space="preserve">45 (1971): 37–54.</w:t>
      </w:r>
    </w:p>
    <w:p>
      <w:pPr>
        <w:numPr>
          <w:ilvl w:val="0"/>
          <w:numId w:val="1250"/>
        </w:numPr>
        <w:pStyle w:val="Compact"/>
      </w:pPr>
      <w:r>
        <w:rPr>
          <w:bCs/>
          <w:b/>
        </w:rPr>
        <w:t xml:space="preserve">Nishihata’s Examples of Scribal Errors</w:t>
      </w:r>
      <w:r>
        <w:t xml:space="preserve"> </w:t>
      </w:r>
      <w:r>
        <w:t xml:space="preserve">(西端誤写諸例,</w:t>
      </w:r>
      <w:r>
        <w:t xml:space="preserve"> </w:t>
      </w:r>
      <w:r>
        <w:rPr>
          <w:iCs/>
          <w:i/>
        </w:rPr>
        <w:t xml:space="preserve">Nishihata Gosha Shorei</w:t>
      </w:r>
      <w:r>
        <w:t xml:space="preserve">): Nishihata Yukio.</w:t>
      </w:r>
      <w:r>
        <w:t xml:space="preserve"> </w:t>
      </w:r>
      <w:r>
        <w:t xml:space="preserve">“</w:t>
      </w:r>
      <w:r>
        <w:rPr>
          <w:iCs/>
          <w:i/>
        </w:rPr>
        <w:t xml:space="preserve">Ruiju Myōgishō</w:t>
      </w:r>
      <w:r>
        <w:t xml:space="preserve"> </w:t>
      </w:r>
      <w:r>
        <w:t xml:space="preserve">ni okeru Gosha no Shorei</w:t>
      </w:r>
      <w:r>
        <w:t xml:space="preserve">”</w:t>
      </w:r>
      <w:r>
        <w:t xml:space="preserve"> </w:t>
      </w:r>
      <w:r>
        <w:t xml:space="preserve">(Various Examples of Scribal Errors in the</w:t>
      </w:r>
      <w:r>
        <w:t xml:space="preserve"> </w:t>
      </w:r>
      <w:r>
        <w:rPr>
          <w:iCs/>
          <w:i/>
        </w:rPr>
        <w:t xml:space="preserve">Ruiju Myōgishō</w:t>
      </w:r>
      <w:r>
        <w:t xml:space="preserve">).</w:t>
      </w:r>
      <w:r>
        <w:t xml:space="preserve"> </w:t>
      </w:r>
      <w:r>
        <w:rPr>
          <w:iCs/>
          <w:i/>
        </w:rPr>
        <w:t xml:space="preserve">Kuntengo to Kunten Shiryō</w:t>
      </w:r>
      <w:r>
        <w:t xml:space="preserve"> </w:t>
      </w:r>
      <w:r>
        <w:t xml:space="preserve">52 (1973): 31–71.</w:t>
      </w:r>
    </w:p>
    <w:p>
      <w:pPr>
        <w:pStyle w:val="FirstParagraph"/>
      </w:pPr>
      <w:r>
        <w:t xml:space="preserve">Kobayashi Kyōji has published numerous articles concerning the Sainenji manuscript; these are therefore cited in abbreviated form, giving the author’s name and a short title, as in</w:t>
      </w:r>
      <w:r>
        <w:t xml:space="preserve"> </w:t>
      </w:r>
      <w:r>
        <w:t xml:space="preserve">“</w:t>
      </w:r>
      <w:r>
        <w:t xml:space="preserve">Kobayashi Kyōji,</w:t>
      </w:r>
      <w:r>
        <w:t xml:space="preserve"> </w:t>
      </w:r>
      <w:r>
        <w:t xml:space="preserve">‘</w:t>
      </w:r>
      <w:r>
        <w:t xml:space="preserve">Kanchi-in-bon kara Mita Kōmoku no Umu.</w:t>
      </w:r>
      <w:r>
        <w:t xml:space="preserve">’</w:t>
      </w:r>
      <w:r>
        <w:t xml:space="preserve">”</w:t>
      </w:r>
    </w:p>
    <w:p>
      <w:pPr>
        <w:numPr>
          <w:ilvl w:val="0"/>
          <w:numId w:val="1251"/>
        </w:numPr>
        <w:pStyle w:val="Compact"/>
      </w:pPr>
      <w:r>
        <w:rPr>
          <w:bCs/>
          <w:b/>
        </w:rPr>
        <w:t xml:space="preserve">Kanchi-in-bon kara Mita Kōmoku no Umu</w:t>
      </w:r>
      <w:r>
        <w:t xml:space="preserve"> </w:t>
      </w:r>
      <w:r>
        <w:t xml:space="preserve">(観智院本から見た項目の有無):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Kanchi-in-bon kara Mita Kōmoku no Umu ni Tsuite</w:t>
      </w:r>
      <w:r>
        <w:t xml:space="preserve">”</w:t>
      </w:r>
      <w:r>
        <w:t xml:space="preserve"> </w:t>
      </w:r>
      <w:r>
        <w:t xml:space="preserve">(Additions and Omissions in the Sainenji Manuscript</w:t>
      </w:r>
      <w:r>
        <w:t xml:space="preserve"> </w:t>
      </w:r>
      <w:r>
        <w:rPr>
          <w:iCs/>
          <w:i/>
        </w:rPr>
        <w:t xml:space="preserve">Ruiju Myōgishō</w:t>
      </w:r>
      <w:r>
        <w:t xml:space="preserve">: On the Presence or Absence of Entries as Seen from the Kanchi-in Manuscript).</w:t>
      </w:r>
      <w:r>
        <w:t xml:space="preserve"> </w:t>
      </w:r>
      <w:r>
        <w:rPr>
          <w:iCs/>
          <w:i/>
        </w:rPr>
        <w:t xml:space="preserve">Tsurumi Daigaku Bukkyō Bunka Kenkyūjo Kiyō</w:t>
      </w:r>
      <w:r>
        <w:t xml:space="preserve"> </w:t>
      </w:r>
      <w:r>
        <w:t xml:space="preserve">5 (2000): 47–66.</w:t>
      </w:r>
    </w:p>
    <w:p>
      <w:pPr>
        <w:numPr>
          <w:ilvl w:val="0"/>
          <w:numId w:val="1251"/>
        </w:numPr>
        <w:pStyle w:val="Compact"/>
      </w:pPr>
      <w:r>
        <w:rPr>
          <w:bCs/>
          <w:b/>
        </w:rPr>
        <w:t xml:space="preserve">Kanchi-in-bon ni Nai Kōmoku</w:t>
      </w:r>
      <w:r>
        <w:t xml:space="preserve"> </w:t>
      </w:r>
      <w:r>
        <w:t xml:space="preserve">(観智院本にない項目):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Kanchi-in-bon ni Nai Kōmoku ni Tsuite</w:t>
      </w:r>
      <w:r>
        <w:t xml:space="preserve">”</w:t>
      </w:r>
      <w:r>
        <w:t xml:space="preserve"> </w:t>
      </w:r>
      <w:r>
        <w:t xml:space="preserve">(Additions and Omissions in the Sainenji Manuscript</w:t>
      </w:r>
      <w:r>
        <w:t xml:space="preserve"> </w:t>
      </w:r>
      <w:r>
        <w:rPr>
          <w:iCs/>
          <w:i/>
        </w:rPr>
        <w:t xml:space="preserve">Ruiju Myōgishō</w:t>
      </w:r>
      <w:r>
        <w:t xml:space="preserve">: On Entries Absent from the Kanchi-in Manuscript).</w:t>
      </w:r>
      <w:r>
        <w:t xml:space="preserve"> </w:t>
      </w:r>
      <w:r>
        <w:rPr>
          <w:iCs/>
          <w:i/>
        </w:rPr>
        <w:t xml:space="preserve">Tsurumi Daigaku Kiyō, Dai 1-bu, Kokugo Kokubungaku-hen</w:t>
      </w:r>
      <w:r>
        <w:t xml:space="preserve"> </w:t>
      </w:r>
      <w:r>
        <w:t xml:space="preserve">38 (2001): 197–217.</w:t>
      </w:r>
    </w:p>
    <w:p>
      <w:pPr>
        <w:numPr>
          <w:ilvl w:val="0"/>
          <w:numId w:val="1251"/>
        </w:numPr>
        <w:pStyle w:val="Compact"/>
      </w:pPr>
      <w:r>
        <w:rPr>
          <w:bCs/>
          <w:b/>
        </w:rPr>
        <w:t xml:space="preserve">Hyōshutsu Kanji no Umu</w:t>
      </w:r>
      <w:r>
        <w:t xml:space="preserve"> </w:t>
      </w:r>
      <w:r>
        <w:t xml:space="preserve">(標出漢字の有無): Kobayashi Kyōji.</w:t>
      </w:r>
      <w:r>
        <w:t xml:space="preserve"> </w:t>
      </w:r>
      <w:r>
        <w:t xml:space="preserve">“</w:t>
      </w:r>
      <w:r>
        <w:t xml:space="preserve">Sainenji-bon</w:t>
      </w:r>
      <w:r>
        <w:t xml:space="preserve"> </w:t>
      </w:r>
      <w:r>
        <w:rPr>
          <w:iCs/>
          <w:i/>
        </w:rPr>
        <w:t xml:space="preserve">Ruiju Myōgishō</w:t>
      </w:r>
      <w:r>
        <w:t xml:space="preserve"> </w:t>
      </w:r>
      <w:r>
        <w:t xml:space="preserve">no Zōho to Datsuro: Kanchi-in-bon to no Hikaku ni yoru Hyōshutsu Kanji no Umu ni Tsuite</w:t>
      </w:r>
      <w:r>
        <w:t xml:space="preserve">”</w:t>
      </w:r>
      <w:r>
        <w:t xml:space="preserve"> </w:t>
      </w:r>
      <w:r>
        <w:t xml:space="preserve">(Additions and Omissions in the Sainenji Manuscript</w:t>
      </w:r>
      <w:r>
        <w:t xml:space="preserve"> </w:t>
      </w:r>
      <w:r>
        <w:rPr>
          <w:iCs/>
          <w:i/>
        </w:rPr>
        <w:t xml:space="preserve">Ruiju Myōgishō</w:t>
      </w:r>
      <w:r>
        <w:t xml:space="preserve">: On the Presence or Absence of Head Characters through Comparison with the Kanchi-in Manuscript).</w:t>
      </w:r>
      <w:r>
        <w:t xml:space="preserve"> </w:t>
      </w:r>
      <w:r>
        <w:rPr>
          <w:iCs/>
          <w:i/>
        </w:rPr>
        <w:t xml:space="preserve">Tsurumi Daigaku Bukkyō Bunka Kenkyūjo Kiyō</w:t>
      </w:r>
      <w:r>
        <w:t xml:space="preserve"> </w:t>
      </w:r>
      <w:r>
        <w:t xml:space="preserve">6 (2001): 39–66.</w:t>
      </w:r>
    </w:p>
    <w:p>
      <w:pPr>
        <w:numPr>
          <w:ilvl w:val="0"/>
          <w:numId w:val="1251"/>
        </w:numPr>
        <w:pStyle w:val="Compact"/>
      </w:pPr>
      <w:r>
        <w:rPr>
          <w:bCs/>
          <w:b/>
        </w:rPr>
        <w:t xml:space="preserve">Sainenji-bon ni Nai Kanji Chūki</w:t>
      </w:r>
      <w:r>
        <w:t xml:space="preserve"> </w:t>
      </w:r>
      <w:r>
        <w:t xml:space="preserve">(西念寺本にない漢字注記):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Sainenji-bon ni Nai Kanji Chūki ni Tsuite</w:t>
      </w:r>
      <w:r>
        <w:t xml:space="preserve">”</w:t>
      </w:r>
      <w:r>
        <w:t xml:space="preserve"> </w:t>
      </w:r>
      <w:r>
        <w:t xml:space="preserve">(Additions and Omissions in the Sainenji Manuscript</w:t>
      </w:r>
      <w:r>
        <w:t xml:space="preserve"> </w:t>
      </w:r>
      <w:r>
        <w:rPr>
          <w:iCs/>
          <w:i/>
        </w:rPr>
        <w:t xml:space="preserve">Ruiju Myōgishō</w:t>
      </w:r>
      <w:r>
        <w:t xml:space="preserve">: On Character-Form Annotations Absent from the Sainenji Manuscript).</w:t>
      </w:r>
      <w:r>
        <w:t xml:space="preserve"> </w:t>
      </w:r>
      <w:r>
        <w:rPr>
          <w:iCs/>
          <w:i/>
        </w:rPr>
        <w:t xml:space="preserve">Tsurumi Daigaku Kiyō, Dai 1-bu, Kokugo Kokubungaku-hen</w:t>
      </w:r>
      <w:r>
        <w:t xml:space="preserve"> </w:t>
      </w:r>
      <w:r>
        <w:t xml:space="preserve">39 (2002): 61–90.</w:t>
      </w:r>
    </w:p>
    <w:p>
      <w:pPr>
        <w:numPr>
          <w:ilvl w:val="0"/>
          <w:numId w:val="1251"/>
        </w:numPr>
        <w:pStyle w:val="Compact"/>
      </w:pPr>
      <w:r>
        <w:rPr>
          <w:bCs/>
          <w:b/>
        </w:rPr>
        <w:t xml:space="preserve">Kanchi-in-bon ni Nai Kanji Chūki (1)</w:t>
      </w:r>
      <w:r>
        <w:t xml:space="preserve"> </w:t>
      </w:r>
      <w:r>
        <w:t xml:space="preserve">(観智院本にない漢字注記(1)):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Kanchi-in-bon ni Nai Kanji Chūki ni Tsuite (1)</w:t>
      </w:r>
      <w:r>
        <w:t xml:space="preserve">”</w:t>
      </w:r>
      <w:r>
        <w:t xml:space="preserve"> </w:t>
      </w:r>
      <w:r>
        <w:t xml:space="preserve">(Additions and Omissions in the Sainenji Manuscript</w:t>
      </w:r>
      <w:r>
        <w:t xml:space="preserve"> </w:t>
      </w:r>
      <w:r>
        <w:rPr>
          <w:iCs/>
          <w:i/>
        </w:rPr>
        <w:t xml:space="preserve">Ruiju Myōgishō</w:t>
      </w:r>
      <w:r>
        <w:t xml:space="preserve">: On Character-Form Annotations Absent from the Kanchi-in Manuscript (1)).</w:t>
      </w:r>
      <w:r>
        <w:t xml:space="preserve"> </w:t>
      </w:r>
      <w:r>
        <w:rPr>
          <w:iCs/>
          <w:i/>
        </w:rPr>
        <w:t xml:space="preserve">Tsurumi Daigaku Bukkyō Bunka Kenkyūjo Kiyō</w:t>
      </w:r>
      <w:r>
        <w:t xml:space="preserve"> </w:t>
      </w:r>
      <w:r>
        <w:t xml:space="preserve">7 (2002): 17–34.</w:t>
      </w:r>
    </w:p>
    <w:p>
      <w:pPr>
        <w:numPr>
          <w:ilvl w:val="0"/>
          <w:numId w:val="1251"/>
        </w:numPr>
        <w:pStyle w:val="Compact"/>
      </w:pPr>
      <w:r>
        <w:rPr>
          <w:bCs/>
          <w:b/>
        </w:rPr>
        <w:t xml:space="preserve">Kanchi-in-bon ni Nai Kanji Chūki (2)</w:t>
      </w:r>
      <w:r>
        <w:t xml:space="preserve"> </w:t>
      </w:r>
      <w:r>
        <w:t xml:space="preserve">(観智院本にない漢字注記(2)):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Kanchi-in-bon ni Nai Kanji Chūki ni Tsuite (2)</w:t>
      </w:r>
      <w:r>
        <w:t xml:space="preserve">”</w:t>
      </w:r>
      <w:r>
        <w:t xml:space="preserve"> </w:t>
      </w:r>
      <w:r>
        <w:t xml:space="preserve">(Additions and Omissions in the Sainenji Manuscript</w:t>
      </w:r>
      <w:r>
        <w:t xml:space="preserve"> </w:t>
      </w:r>
      <w:r>
        <w:rPr>
          <w:iCs/>
          <w:i/>
        </w:rPr>
        <w:t xml:space="preserve">Ruiju Myōgishō</w:t>
      </w:r>
      <w:r>
        <w:t xml:space="preserve">: On Character-Form Annotations Absent from the Kanchi-in Manuscript (2)).</w:t>
      </w:r>
      <w:r>
        <w:t xml:space="preserve"> </w:t>
      </w:r>
      <w:r>
        <w:rPr>
          <w:iCs/>
          <w:i/>
        </w:rPr>
        <w:t xml:space="preserve">Tsurumi Daigaku Kiyō, Dai 1-bu, Kokugo Kokubungaku-hen</w:t>
      </w:r>
      <w:r>
        <w:t xml:space="preserve"> </w:t>
      </w:r>
      <w:r>
        <w:t xml:space="preserve">40 (2003): 91–110.</w:t>
      </w:r>
    </w:p>
    <w:p>
      <w:pPr>
        <w:numPr>
          <w:ilvl w:val="0"/>
          <w:numId w:val="1251"/>
        </w:numPr>
        <w:pStyle w:val="Compact"/>
      </w:pPr>
      <w:r>
        <w:rPr>
          <w:bCs/>
          <w:b/>
        </w:rPr>
        <w:t xml:space="preserve">Kanchi-in-bon ni Nai Kanji Chūki (3)</w:t>
      </w:r>
      <w:r>
        <w:t xml:space="preserve"> </w:t>
      </w:r>
      <w:r>
        <w:t xml:space="preserve">(観智院本にない漢字注記(3)):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Kanchi-in-bon ni Nai Kanji Chūki ni Tsuite (3)</w:t>
      </w:r>
      <w:r>
        <w:t xml:space="preserve">”</w:t>
      </w:r>
      <w:r>
        <w:t xml:space="preserve"> </w:t>
      </w:r>
      <w:r>
        <w:t xml:space="preserve">(Additions and Omissions in the Sainenji Manuscript</w:t>
      </w:r>
      <w:r>
        <w:t xml:space="preserve"> </w:t>
      </w:r>
      <w:r>
        <w:rPr>
          <w:iCs/>
          <w:i/>
        </w:rPr>
        <w:t xml:space="preserve">Ruiju Myōgishō</w:t>
      </w:r>
      <w:r>
        <w:t xml:space="preserve">: On Character-Form Annotations Absent from the Kanchi-in Manuscript (3)).</w:t>
      </w:r>
      <w:r>
        <w:t xml:space="preserve"> </w:t>
      </w:r>
      <w:r>
        <w:rPr>
          <w:iCs/>
          <w:i/>
        </w:rPr>
        <w:t xml:space="preserve">Tsurumi Daigaku Bukkyō Bunka Kenkyūjo Kiyō</w:t>
      </w:r>
      <w:r>
        <w:t xml:space="preserve"> </w:t>
      </w:r>
      <w:r>
        <w:t xml:space="preserve">8 (2003): 27–55.</w:t>
      </w:r>
    </w:p>
    <w:p>
      <w:pPr>
        <w:numPr>
          <w:ilvl w:val="0"/>
          <w:numId w:val="1251"/>
        </w:numPr>
        <w:pStyle w:val="Compact"/>
      </w:pPr>
      <w:r>
        <w:rPr>
          <w:bCs/>
          <w:b/>
        </w:rPr>
        <w:t xml:space="preserve">Sainenji-bon ni Nai Katakana Chūki (1)</w:t>
      </w:r>
      <w:r>
        <w:t xml:space="preserve"> </w:t>
      </w:r>
      <w:r>
        <w:t xml:space="preserve">(西念寺本にないカタカナ注記(1)):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Sainenji-bon ni Nai Katakana Chūki ni Tsuite (1)</w:t>
      </w:r>
      <w:r>
        <w:t xml:space="preserve">”</w:t>
      </w:r>
      <w:r>
        <w:t xml:space="preserve"> </w:t>
      </w:r>
      <w:r>
        <w:t xml:space="preserve">(Additions and Omissions in the Sainenji Manuscript</w:t>
      </w:r>
      <w:r>
        <w:t xml:space="preserve"> </w:t>
      </w:r>
      <w:r>
        <w:rPr>
          <w:iCs/>
          <w:i/>
        </w:rPr>
        <w:t xml:space="preserve">Ruiju Myōgishō</w:t>
      </w:r>
      <w:r>
        <w:t xml:space="preserve">: On Katakana Annotations Absent from the Sainenji Manuscript (1)).</w:t>
      </w:r>
      <w:r>
        <w:t xml:space="preserve"> </w:t>
      </w:r>
      <w:r>
        <w:rPr>
          <w:iCs/>
          <w:i/>
        </w:rPr>
        <w:t xml:space="preserve">Tsurumi Daigaku Kiyō, Dai 1-bu, Nihongo/Nihon Bungaku-hen</w:t>
      </w:r>
      <w:r>
        <w:t xml:space="preserve"> </w:t>
      </w:r>
      <w:r>
        <w:t xml:space="preserve">41 (2004): 1–25.</w:t>
      </w:r>
    </w:p>
    <w:p>
      <w:pPr>
        <w:numPr>
          <w:ilvl w:val="0"/>
          <w:numId w:val="1251"/>
        </w:numPr>
        <w:pStyle w:val="Compact"/>
      </w:pPr>
      <w:r>
        <w:rPr>
          <w:bCs/>
          <w:b/>
        </w:rPr>
        <w:t xml:space="preserve">Sainenji-bon ni Nai Katakana Chūki (2)</w:t>
      </w:r>
      <w:r>
        <w:t xml:space="preserve"> </w:t>
      </w:r>
      <w:r>
        <w:t xml:space="preserve">(西念寺本にないカタカナ注記(2)):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Sainenji-bon ni Nai Katakana Chūki ni Tsuite (2)</w:t>
      </w:r>
      <w:r>
        <w:t xml:space="preserve">”</w:t>
      </w:r>
      <w:r>
        <w:t xml:space="preserve"> </w:t>
      </w:r>
      <w:r>
        <w:t xml:space="preserve">(Additions and Omissions in the Sainenji Manuscript</w:t>
      </w:r>
      <w:r>
        <w:t xml:space="preserve"> </w:t>
      </w:r>
      <w:r>
        <w:rPr>
          <w:iCs/>
          <w:i/>
        </w:rPr>
        <w:t xml:space="preserve">Ruiju Myōgishō</w:t>
      </w:r>
      <w:r>
        <w:t xml:space="preserve">: On Katakana Annotations Absent from the Sainenji Manuscript (2)).</w:t>
      </w:r>
      <w:r>
        <w:t xml:space="preserve"> </w:t>
      </w:r>
      <w:r>
        <w:rPr>
          <w:iCs/>
          <w:i/>
        </w:rPr>
        <w:t xml:space="preserve">Tsurumi Daigaku Bukkyō Bunka Kenkyūjo Kiyō</w:t>
      </w:r>
      <w:r>
        <w:t xml:space="preserve"> </w:t>
      </w:r>
      <w:r>
        <w:t xml:space="preserve">9 (2004): 69–97.</w:t>
      </w:r>
    </w:p>
    <w:p>
      <w:pPr>
        <w:numPr>
          <w:ilvl w:val="0"/>
          <w:numId w:val="1251"/>
        </w:numPr>
        <w:pStyle w:val="Compact"/>
      </w:pPr>
      <w:r>
        <w:rPr>
          <w:bCs/>
          <w:b/>
        </w:rPr>
        <w:t xml:space="preserve">Sainenji-bon ni Nai Katakana Chūki (3)</w:t>
      </w:r>
      <w:r>
        <w:t xml:space="preserve"> </w:t>
      </w:r>
      <w:r>
        <w:t xml:space="preserve">(西念寺本にないカタカナ注記(3)):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Sainenji-bon ni Nai Katakana Chūki ni Tsuite (3)</w:t>
      </w:r>
      <w:r>
        <w:t xml:space="preserve">”</w:t>
      </w:r>
      <w:r>
        <w:t xml:space="preserve"> </w:t>
      </w:r>
      <w:r>
        <w:t xml:space="preserve">(Additions and Omissions in the Sainenji Manuscript</w:t>
      </w:r>
      <w:r>
        <w:t xml:space="preserve"> </w:t>
      </w:r>
      <w:r>
        <w:rPr>
          <w:iCs/>
          <w:i/>
        </w:rPr>
        <w:t xml:space="preserve">Ruiju Myōgishō</w:t>
      </w:r>
      <w:r>
        <w:t xml:space="preserve">: On Katakana Annotations Absent from the Sainenji Manuscript (3)).</w:t>
      </w:r>
      <w:r>
        <w:t xml:space="preserve"> </w:t>
      </w:r>
      <w:r>
        <w:rPr>
          <w:iCs/>
          <w:i/>
        </w:rPr>
        <w:t xml:space="preserve">Tsurumi Daigaku Kiyō, Dai 1-bu, Nihongo/Nihon Bungaku-hen</w:t>
      </w:r>
      <w:r>
        <w:t xml:space="preserve"> </w:t>
      </w:r>
      <w:r>
        <w:t xml:space="preserve">42 (2005): 1–23.</w:t>
      </w:r>
    </w:p>
    <w:p>
      <w:pPr>
        <w:numPr>
          <w:ilvl w:val="0"/>
          <w:numId w:val="1251"/>
        </w:numPr>
        <w:pStyle w:val="Compact"/>
      </w:pPr>
      <w:r>
        <w:rPr>
          <w:bCs/>
          <w:b/>
        </w:rPr>
        <w:t xml:space="preserve">Sainenji-bon ni Nai Katakana Chūki (4)</w:t>
      </w:r>
      <w:r>
        <w:t xml:space="preserve"> </w:t>
      </w:r>
      <w:r>
        <w:t xml:space="preserve">(西念寺本にないカタカナ注記(4)):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Sainenji-bon ni Nai Katakana Chūki ni Tsuite (4)</w:t>
      </w:r>
      <w:r>
        <w:t xml:space="preserve">”</w:t>
      </w:r>
      <w:r>
        <w:t xml:space="preserve"> </w:t>
      </w:r>
      <w:r>
        <w:t xml:space="preserve">(Additions and Omissions in the Sainenji Manuscript</w:t>
      </w:r>
      <w:r>
        <w:t xml:space="preserve"> </w:t>
      </w:r>
      <w:r>
        <w:rPr>
          <w:iCs/>
          <w:i/>
        </w:rPr>
        <w:t xml:space="preserve">Ruiju Myōgishō</w:t>
      </w:r>
      <w:r>
        <w:t xml:space="preserve">: On Katakana Annotations Absent from the Sainenji Manuscript (4)).</w:t>
      </w:r>
      <w:r>
        <w:t xml:space="preserve"> </w:t>
      </w:r>
      <w:r>
        <w:rPr>
          <w:iCs/>
          <w:i/>
        </w:rPr>
        <w:t xml:space="preserve">Tsurumi Daigaku Bukkyō Bunka Kenkyūjo Kiyō</w:t>
      </w:r>
      <w:r>
        <w:t xml:space="preserve"> </w:t>
      </w:r>
      <w:r>
        <w:t xml:space="preserve">10 (2005): 147–164.</w:t>
      </w:r>
    </w:p>
    <w:p>
      <w:pPr>
        <w:numPr>
          <w:ilvl w:val="0"/>
          <w:numId w:val="1251"/>
        </w:numPr>
        <w:pStyle w:val="Compact"/>
      </w:pPr>
      <w:r>
        <w:rPr>
          <w:bCs/>
          <w:b/>
        </w:rPr>
        <w:t xml:space="preserve">Sainenji-bon ni Nai Katakana Chūki (5)</w:t>
      </w:r>
      <w:r>
        <w:t xml:space="preserve"> </w:t>
      </w:r>
      <w:r>
        <w:t xml:space="preserve">(西念寺本にないカタカナ注記(5)):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Sainenji-bon ni Nai Katakana Chūki ni Tsuite (5)</w:t>
      </w:r>
      <w:r>
        <w:t xml:space="preserve">”</w:t>
      </w:r>
      <w:r>
        <w:t xml:space="preserve"> </w:t>
      </w:r>
      <w:r>
        <w:t xml:space="preserve">(Additions and Omissions in the Sainenji Manuscript</w:t>
      </w:r>
      <w:r>
        <w:t xml:space="preserve"> </w:t>
      </w:r>
      <w:r>
        <w:rPr>
          <w:iCs/>
          <w:i/>
        </w:rPr>
        <w:t xml:space="preserve">Ruiju Myōgishō</w:t>
      </w:r>
      <w:r>
        <w:t xml:space="preserve">: On Katakana Annotations Absent from the Sainenji Manuscript (5)).</w:t>
      </w:r>
      <w:r>
        <w:t xml:space="preserve"> </w:t>
      </w:r>
      <w:r>
        <w:rPr>
          <w:iCs/>
          <w:i/>
        </w:rPr>
        <w:t xml:space="preserve">Tsurumi Daigaku Kiyō, Dai 1-bu, Kokugo Kokubungaku-hen</w:t>
      </w:r>
      <w:r>
        <w:t xml:space="preserve"> </w:t>
      </w:r>
      <w:r>
        <w:t xml:space="preserve">43 (2006): 1–22.</w:t>
      </w:r>
    </w:p>
    <w:p>
      <w:pPr>
        <w:numPr>
          <w:ilvl w:val="0"/>
          <w:numId w:val="1251"/>
        </w:numPr>
        <w:pStyle w:val="Compact"/>
      </w:pPr>
      <w:r>
        <w:rPr>
          <w:bCs/>
          <w:b/>
        </w:rPr>
        <w:t xml:space="preserve">Kanchi-in-bon ni Nai Katakana Chūki (1)</w:t>
      </w:r>
      <w:r>
        <w:t xml:space="preserve"> </w:t>
      </w:r>
      <w:r>
        <w:t xml:space="preserve">(観智院本にないカタカナ注記(1)):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Kanchi-in-bon ni Nai Katakana Chūki ni Tsuite (1)</w:t>
      </w:r>
      <w:r>
        <w:t xml:space="preserve">”</w:t>
      </w:r>
      <w:r>
        <w:t xml:space="preserve"> </w:t>
      </w:r>
      <w:r>
        <w:t xml:space="preserve">(Additions and Omissions in the Sainenji Manuscript</w:t>
      </w:r>
      <w:r>
        <w:t xml:space="preserve"> </w:t>
      </w:r>
      <w:r>
        <w:rPr>
          <w:iCs/>
          <w:i/>
        </w:rPr>
        <w:t xml:space="preserve">Ruiju Myōgishō</w:t>
      </w:r>
      <w:r>
        <w:t xml:space="preserve">: On Katakana Annotations Absent from the Kanchi-in Manuscript (1)).</w:t>
      </w:r>
      <w:r>
        <w:t xml:space="preserve"> </w:t>
      </w:r>
      <w:r>
        <w:rPr>
          <w:iCs/>
          <w:i/>
        </w:rPr>
        <w:t xml:space="preserve">Tsurumi Daigaku Bukkyō Bunka Kenkyūjo Kiyō</w:t>
      </w:r>
      <w:r>
        <w:t xml:space="preserve"> </w:t>
      </w:r>
      <w:r>
        <w:t xml:space="preserve">11 (2006): 141–158.</w:t>
      </w:r>
    </w:p>
    <w:p>
      <w:pPr>
        <w:numPr>
          <w:ilvl w:val="0"/>
          <w:numId w:val="1251"/>
        </w:numPr>
        <w:pStyle w:val="Compact"/>
      </w:pPr>
      <w:r>
        <w:rPr>
          <w:bCs/>
          <w:b/>
        </w:rPr>
        <w:t xml:space="preserve">Kanchi-in-bon ni Nai Katakana Chūki (2)</w:t>
      </w:r>
      <w:r>
        <w:t xml:space="preserve"> </w:t>
      </w:r>
      <w:r>
        <w:t xml:space="preserve">(観智院本にないカタカナ注記(2)):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Kanchi-in-bon ni Nai Katakana Chūki ni Tsuite (2)</w:t>
      </w:r>
      <w:r>
        <w:t xml:space="preserve">”</w:t>
      </w:r>
      <w:r>
        <w:t xml:space="preserve"> </w:t>
      </w:r>
      <w:r>
        <w:t xml:space="preserve">(Additions and Omissions in the Sainenji Manuscript</w:t>
      </w:r>
      <w:r>
        <w:t xml:space="preserve"> </w:t>
      </w:r>
      <w:r>
        <w:rPr>
          <w:iCs/>
          <w:i/>
        </w:rPr>
        <w:t xml:space="preserve">Ruiju Myōgishō</w:t>
      </w:r>
      <w:r>
        <w:t xml:space="preserve">: On Katakana Annotations Absent from the Kanchi-in Manuscript (2)).</w:t>
      </w:r>
      <w:r>
        <w:t xml:space="preserve"> </w:t>
      </w:r>
      <w:r>
        <w:rPr>
          <w:iCs/>
          <w:i/>
        </w:rPr>
        <w:t xml:space="preserve">Tsurumi Daigaku Kiyō, Dai 1-bu, Nihongo/Nihon Bungaku-hen</w:t>
      </w:r>
      <w:r>
        <w:t xml:space="preserve"> </w:t>
      </w:r>
      <w:r>
        <w:t xml:space="preserve">44 (2007): 325–351.</w:t>
      </w:r>
    </w:p>
    <w:p>
      <w:pPr>
        <w:numPr>
          <w:ilvl w:val="0"/>
          <w:numId w:val="1251"/>
        </w:numPr>
        <w:pStyle w:val="Compact"/>
      </w:pPr>
      <w:r>
        <w:rPr>
          <w:bCs/>
          <w:b/>
        </w:rPr>
        <w:t xml:space="preserve">Kanchi-in-bon ni Nai Katakana Chūki (3)</w:t>
      </w:r>
      <w:r>
        <w:t xml:space="preserve"> </w:t>
      </w:r>
      <w:r>
        <w:t xml:space="preserve">(観智院本にないカタカナ注記(3)):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Kanchi-in-bon ni Nai Katakana Chūki ni Tsuite (3)</w:t>
      </w:r>
      <w:r>
        <w:t xml:space="preserve">”</w:t>
      </w:r>
      <w:r>
        <w:t xml:space="preserve"> </w:t>
      </w:r>
      <w:r>
        <w:t xml:space="preserve">(Additions and Omissions in the Sainenji Manuscript</w:t>
      </w:r>
      <w:r>
        <w:t xml:space="preserve"> </w:t>
      </w:r>
      <w:r>
        <w:rPr>
          <w:iCs/>
          <w:i/>
        </w:rPr>
        <w:t xml:space="preserve">Ruiju Myōgishō</w:t>
      </w:r>
      <w:r>
        <w:t xml:space="preserve">: On Katakana Annotations Absent from the Kanchi-in Manuscript (3)).</w:t>
      </w:r>
      <w:r>
        <w:t xml:space="preserve"> </w:t>
      </w:r>
      <w:r>
        <w:rPr>
          <w:iCs/>
          <w:i/>
        </w:rPr>
        <w:t xml:space="preserve">Tsurumi Daigaku Bukkyō Bunka Kenkyūjo Kiyō</w:t>
      </w:r>
      <w:r>
        <w:t xml:space="preserve"> </w:t>
      </w:r>
      <w:r>
        <w:t xml:space="preserve">12 (2007): 43–65.</w:t>
      </w:r>
    </w:p>
    <w:p>
      <w:pPr>
        <w:numPr>
          <w:ilvl w:val="0"/>
          <w:numId w:val="1251"/>
        </w:numPr>
        <w:pStyle w:val="Compact"/>
      </w:pPr>
      <w:r>
        <w:rPr>
          <w:bCs/>
          <w:b/>
        </w:rPr>
        <w:t xml:space="preserve">Kanchi-in-bon ni Nai Katakana Chūki (4)</w:t>
      </w:r>
      <w:r>
        <w:t xml:space="preserve"> </w:t>
      </w:r>
      <w:r>
        <w:t xml:space="preserve">(観智院本にないカタカナ注記(4)):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Kanchi-in-bon ni Nai Katakana Chūki ni Tsuite (4)</w:t>
      </w:r>
      <w:r>
        <w:t xml:space="preserve">”</w:t>
      </w:r>
      <w:r>
        <w:t xml:space="preserve"> </w:t>
      </w:r>
      <w:r>
        <w:t xml:space="preserve">(Additions and Omissions in the Sainenji Manuscript</w:t>
      </w:r>
      <w:r>
        <w:t xml:space="preserve"> </w:t>
      </w:r>
      <w:r>
        <w:rPr>
          <w:iCs/>
          <w:i/>
        </w:rPr>
        <w:t xml:space="preserve">Ruiju Myōgishō</w:t>
      </w:r>
      <w:r>
        <w:t xml:space="preserve">: On Katakana Annotations Absent from the Kanchi-in Manuscript (4)).</w:t>
      </w:r>
      <w:r>
        <w:t xml:space="preserve"> </w:t>
      </w:r>
      <w:r>
        <w:rPr>
          <w:iCs/>
          <w:i/>
        </w:rPr>
        <w:t xml:space="preserve">Tsurumi Daigaku Kiyō, Dai 1-bu, Nihongo/Nihon Bungaku-hen</w:t>
      </w:r>
      <w:r>
        <w:t xml:space="preserve"> </w:t>
      </w:r>
      <w:r>
        <w:t xml:space="preserve">45 (2008): 19–35.</w:t>
      </w:r>
    </w:p>
    <w:p>
      <w:pPr>
        <w:numPr>
          <w:ilvl w:val="0"/>
          <w:numId w:val="1251"/>
        </w:numPr>
        <w:pStyle w:val="Compact"/>
      </w:pPr>
      <w:r>
        <w:rPr>
          <w:bCs/>
          <w:b/>
        </w:rPr>
        <w:t xml:space="preserve">Kanchi-in-bon ni Nai Katakana Chūki (5)</w:t>
      </w:r>
      <w:r>
        <w:t xml:space="preserve"> </w:t>
      </w:r>
      <w:r>
        <w:t xml:space="preserve">(観智院本にないカタカナ注記(5)):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Kanchi-in-bon ni Nai Katakana Chūki ni Tsuite (5)</w:t>
      </w:r>
      <w:r>
        <w:t xml:space="preserve">”</w:t>
      </w:r>
      <w:r>
        <w:t xml:space="preserve"> </w:t>
      </w:r>
      <w:r>
        <w:t xml:space="preserve">(Additions and Omissions in the Sainenji Manuscript</w:t>
      </w:r>
      <w:r>
        <w:t xml:space="preserve"> </w:t>
      </w:r>
      <w:r>
        <w:rPr>
          <w:iCs/>
          <w:i/>
        </w:rPr>
        <w:t xml:space="preserve">Ruiju Myōgishō</w:t>
      </w:r>
      <w:r>
        <w:t xml:space="preserve">: On Katakana Annotations Absent from the Kanchi-in Manuscript (5)).</w:t>
      </w:r>
      <w:r>
        <w:t xml:space="preserve"> </w:t>
      </w:r>
      <w:r>
        <w:rPr>
          <w:iCs/>
          <w:i/>
        </w:rPr>
        <w:t xml:space="preserve">Tsurumi Daigaku Bukkyō Bunka Kenkyūjo Kiyō</w:t>
      </w:r>
      <w:r>
        <w:t xml:space="preserve"> </w:t>
      </w:r>
      <w:r>
        <w:t xml:space="preserve">13 (2008): 43–61.</w:t>
      </w:r>
    </w:p>
    <w:p>
      <w:pPr>
        <w:numPr>
          <w:ilvl w:val="0"/>
          <w:numId w:val="1251"/>
        </w:numPr>
        <w:pStyle w:val="Compact"/>
      </w:pPr>
      <w:r>
        <w:rPr>
          <w:bCs/>
          <w:b/>
        </w:rPr>
        <w:t xml:space="preserve">Kanchi-in-bon ni Nai Katakana Chūki (6)</w:t>
      </w:r>
      <w:r>
        <w:t xml:space="preserve"> </w:t>
      </w:r>
      <w:r>
        <w:t xml:space="preserve">(観智院本にないカタカナ注記(6)):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Kanchi-in-bon ni Nai Katakana Chūki ni Tsuite (6)</w:t>
      </w:r>
      <w:r>
        <w:t xml:space="preserve">”</w:t>
      </w:r>
      <w:r>
        <w:t xml:space="preserve"> </w:t>
      </w:r>
      <w:r>
        <w:t xml:space="preserve">(Additions and Omissions in the Sainenji Manuscript</w:t>
      </w:r>
      <w:r>
        <w:t xml:space="preserve"> </w:t>
      </w:r>
      <w:r>
        <w:rPr>
          <w:iCs/>
          <w:i/>
        </w:rPr>
        <w:t xml:space="preserve">Ruiju Myōgishō</w:t>
      </w:r>
      <w:r>
        <w:t xml:space="preserve">: On Katakana Annotations Absent from the Kanchi-in Manuscript (6)).</w:t>
      </w:r>
      <w:r>
        <w:t xml:space="preserve"> </w:t>
      </w:r>
      <w:r>
        <w:rPr>
          <w:iCs/>
          <w:i/>
        </w:rPr>
        <w:t xml:space="preserve">Tsurumi Daigaku Kiyō, Dai 1-bu, Nihongo/Nihon Bungaku-hen</w:t>
      </w:r>
      <w:r>
        <w:t xml:space="preserve"> </w:t>
      </w:r>
      <w:r>
        <w:t xml:space="preserve">46 (2009): 1–28.</w:t>
      </w:r>
    </w:p>
    <w:p>
      <w:pPr>
        <w:numPr>
          <w:ilvl w:val="0"/>
          <w:numId w:val="1251"/>
        </w:numPr>
        <w:pStyle w:val="Compact"/>
      </w:pPr>
      <w:r>
        <w:rPr>
          <w:bCs/>
          <w:b/>
        </w:rPr>
        <w:t xml:space="preserve">Kanchi-in-bon ni Nai Katakana Chūki (7)</w:t>
      </w:r>
      <w:r>
        <w:t xml:space="preserve"> </w:t>
      </w:r>
      <w:r>
        <w:t xml:space="preserve">(観智院本にないカタカナ注記(7)):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Kanchi-in-bon ni Nai Katakana Chūki ni Tsuite (7)</w:t>
      </w:r>
      <w:r>
        <w:t xml:space="preserve">”</w:t>
      </w:r>
      <w:r>
        <w:t xml:space="preserve"> </w:t>
      </w:r>
      <w:r>
        <w:t xml:space="preserve">(Additions and Omissions in the Sainenji Manuscript</w:t>
      </w:r>
      <w:r>
        <w:t xml:space="preserve"> </w:t>
      </w:r>
      <w:r>
        <w:rPr>
          <w:iCs/>
          <w:i/>
        </w:rPr>
        <w:t xml:space="preserve">Ruiju Myōgishō</w:t>
      </w:r>
      <w:r>
        <w:t xml:space="preserve">: On Katakana Annotations Absent from the Kanchi-in Manuscript (7)).</w:t>
      </w:r>
      <w:r>
        <w:t xml:space="preserve"> </w:t>
      </w:r>
      <w:r>
        <w:rPr>
          <w:iCs/>
          <w:i/>
        </w:rPr>
        <w:t xml:space="preserve">Tsurumi Daigaku Bukkyō Bunka Kenkyūjo Kiyō</w:t>
      </w:r>
      <w:r>
        <w:t xml:space="preserve"> </w:t>
      </w:r>
      <w:r>
        <w:t xml:space="preserve">14 (2009): 39–73.</w:t>
      </w:r>
    </w:p>
    <w:p>
      <w:pPr>
        <w:numPr>
          <w:ilvl w:val="0"/>
          <w:numId w:val="1251"/>
        </w:numPr>
        <w:pStyle w:val="Compact"/>
      </w:pPr>
      <w:r>
        <w:rPr>
          <w:bCs/>
          <w:b/>
        </w:rPr>
        <w:t xml:space="preserve">Ihon Chūki no Umu ni Tsuite (1)</w:t>
      </w:r>
      <w:r>
        <w:t xml:space="preserve"> </w:t>
      </w:r>
      <w:r>
        <w:t xml:space="preserve">(異本注記の有無について(1)):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Ihon Chūki no Umu ni Tsuite (1)</w:t>
      </w:r>
      <w:r>
        <w:t xml:space="preserve">”</w:t>
      </w:r>
      <w:r>
        <w:t xml:space="preserve"> </w:t>
      </w:r>
      <w:r>
        <w:t xml:space="preserve">(Additions and Omissions in the Sainenji Manuscript</w:t>
      </w:r>
      <w:r>
        <w:t xml:space="preserve"> </w:t>
      </w:r>
      <w:r>
        <w:rPr>
          <w:iCs/>
          <w:i/>
        </w:rPr>
        <w:t xml:space="preserve">Ruiju Myōgishō</w:t>
      </w:r>
      <w:r>
        <w:t xml:space="preserve">: On the Presence or Absence of Variant-Manuscript Annotations (1)).</w:t>
      </w:r>
      <w:r>
        <w:t xml:space="preserve"> </w:t>
      </w:r>
      <w:r>
        <w:rPr>
          <w:iCs/>
          <w:i/>
        </w:rPr>
        <w:t xml:space="preserve">Tsurumi Daigaku Kiyō, Dai 1-bu, Nihongo/Nihon Bungaku-hen</w:t>
      </w:r>
      <w:r>
        <w:t xml:space="preserve"> </w:t>
      </w:r>
      <w:r>
        <w:t xml:space="preserve">47 (2010): 31–52.</w:t>
      </w:r>
    </w:p>
    <w:p>
      <w:pPr>
        <w:numPr>
          <w:ilvl w:val="0"/>
          <w:numId w:val="1251"/>
        </w:numPr>
        <w:pStyle w:val="Compact"/>
      </w:pPr>
      <w:r>
        <w:rPr>
          <w:bCs/>
          <w:b/>
        </w:rPr>
        <w:t xml:space="preserve">Ihon Chūki no Umu ni Tsuite (2)</w:t>
      </w:r>
      <w:r>
        <w:t xml:space="preserve"> </w:t>
      </w:r>
      <w:r>
        <w:t xml:space="preserve">(異本注記の有無について(2)):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Ihon Chūki no Umu ni Tsuite (2)</w:t>
      </w:r>
      <w:r>
        <w:t xml:space="preserve">”</w:t>
      </w:r>
      <w:r>
        <w:t xml:space="preserve"> </w:t>
      </w:r>
      <w:r>
        <w:t xml:space="preserve">(Additions and Omissions in the Sainenji Manuscript</w:t>
      </w:r>
      <w:r>
        <w:t xml:space="preserve"> </w:t>
      </w:r>
      <w:r>
        <w:rPr>
          <w:iCs/>
          <w:i/>
        </w:rPr>
        <w:t xml:space="preserve">Ruiju Myōgishō</w:t>
      </w:r>
      <w:r>
        <w:t xml:space="preserve">: On the Presence or Absence of Variant-Manuscript Annotations (2)).</w:t>
      </w:r>
      <w:r>
        <w:t xml:space="preserve"> </w:t>
      </w:r>
      <w:r>
        <w:rPr>
          <w:iCs/>
          <w:i/>
        </w:rPr>
        <w:t xml:space="preserve">Tsurumi Daigaku Bukkyō Bunka Kenkyūjo Kiyō</w:t>
      </w:r>
      <w:r>
        <w:t xml:space="preserve"> </w:t>
      </w:r>
      <w:r>
        <w:t xml:space="preserve">15 (2010): 37–60.</w:t>
      </w:r>
    </w:p>
    <w:p>
      <w:pPr>
        <w:numPr>
          <w:ilvl w:val="0"/>
          <w:numId w:val="1251"/>
        </w:numPr>
        <w:pStyle w:val="Compact"/>
      </w:pPr>
      <w:r>
        <w:rPr>
          <w:bCs/>
          <w:b/>
        </w:rPr>
        <w:t xml:space="preserve">Ihon Chūki no Umu ni Tsuite (3)</w:t>
      </w:r>
      <w:r>
        <w:t xml:space="preserve"> </w:t>
      </w:r>
      <w:r>
        <w:t xml:space="preserve">(異本注記の有無について(3)):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Ihon Chūki no Umu ni Tsuite (3)</w:t>
      </w:r>
      <w:r>
        <w:t xml:space="preserve">”</w:t>
      </w:r>
      <w:r>
        <w:t xml:space="preserve"> </w:t>
      </w:r>
      <w:r>
        <w:t xml:space="preserve">(Additions and Omissions in the Sainenji Manuscript</w:t>
      </w:r>
      <w:r>
        <w:t xml:space="preserve"> </w:t>
      </w:r>
      <w:r>
        <w:rPr>
          <w:iCs/>
          <w:i/>
        </w:rPr>
        <w:t xml:space="preserve">Ruiju Myōgishō</w:t>
      </w:r>
      <w:r>
        <w:t xml:space="preserve">: On the Presence or Absence of Variant-Manuscript Annotations (3)).</w:t>
      </w:r>
      <w:r>
        <w:t xml:space="preserve"> </w:t>
      </w:r>
      <w:r>
        <w:rPr>
          <w:iCs/>
          <w:i/>
        </w:rPr>
        <w:t xml:space="preserve">Tsurumi Daigaku Kiyō, Dai 1-bu, Nihongo/Nihon Bungaku-hen</w:t>
      </w:r>
      <w:r>
        <w:t xml:space="preserve"> </w:t>
      </w:r>
      <w:r>
        <w:t xml:space="preserve">48 (2011): 1–27.</w:t>
      </w:r>
    </w:p>
    <w:p>
      <w:pPr>
        <w:numPr>
          <w:ilvl w:val="0"/>
          <w:numId w:val="1251"/>
        </w:numPr>
        <w:pStyle w:val="Compact"/>
      </w:pPr>
      <w:r>
        <w:rPr>
          <w:bCs/>
          <w:b/>
        </w:rPr>
        <w:t xml:space="preserve">Ihon Chūki no Umu ni Tsuite (4)</w:t>
      </w:r>
      <w:r>
        <w:t xml:space="preserve"> </w:t>
      </w:r>
      <w:r>
        <w:t xml:space="preserve">(異本注記の有無について(4)):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Ihon Chūki no Umu ni Tsuite (4)</w:t>
      </w:r>
      <w:r>
        <w:t xml:space="preserve">”</w:t>
      </w:r>
      <w:r>
        <w:t xml:space="preserve"> </w:t>
      </w:r>
      <w:r>
        <w:t xml:space="preserve">(Additions and Omissions in the Sainenji Manuscript</w:t>
      </w:r>
      <w:r>
        <w:t xml:space="preserve"> </w:t>
      </w:r>
      <w:r>
        <w:rPr>
          <w:iCs/>
          <w:i/>
        </w:rPr>
        <w:t xml:space="preserve">Ruiju Myōgishō</w:t>
      </w:r>
      <w:r>
        <w:t xml:space="preserve">: On the Presence or Absence of Variant-Manuscript Annotations (4)).</w:t>
      </w:r>
      <w:r>
        <w:t xml:space="preserve"> </w:t>
      </w:r>
      <w:r>
        <w:rPr>
          <w:iCs/>
          <w:i/>
        </w:rPr>
        <w:t xml:space="preserve">Tsurumi Daigaku Kiyō, Dai 4-bu, Jinbun/Shakai/Shizen Kagaku-hen</w:t>
      </w:r>
      <w:r>
        <w:t xml:space="preserve"> </w:t>
      </w:r>
      <w:r>
        <w:t xml:space="preserve">48 (2011): 127–136.</w:t>
      </w:r>
    </w:p>
    <w:p>
      <w:pPr>
        <w:numPr>
          <w:ilvl w:val="0"/>
          <w:numId w:val="1251"/>
        </w:numPr>
        <w:pStyle w:val="Compact"/>
      </w:pPr>
      <w:r>
        <w:rPr>
          <w:bCs/>
          <w:b/>
        </w:rPr>
        <w:t xml:space="preserve">Ihon Chūki no Umu ni Tsuite (5)</w:t>
      </w:r>
      <w:r>
        <w:t xml:space="preserve"> </w:t>
      </w:r>
      <w:r>
        <w:t xml:space="preserve">(異本注記の有無について(5)):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Ihon Chūki no Umu ni Tsuite (5)</w:t>
      </w:r>
      <w:r>
        <w:t xml:space="preserve">”</w:t>
      </w:r>
      <w:r>
        <w:t xml:space="preserve"> </w:t>
      </w:r>
      <w:r>
        <w:t xml:space="preserve">(Additions and Omissions in the Sainenji Manuscript</w:t>
      </w:r>
      <w:r>
        <w:t xml:space="preserve"> </w:t>
      </w:r>
      <w:r>
        <w:rPr>
          <w:iCs/>
          <w:i/>
        </w:rPr>
        <w:t xml:space="preserve">Ruiju Myōgishō</w:t>
      </w:r>
      <w:r>
        <w:t xml:space="preserve">: On the Presence or Absence of Variant-Manuscript Annotations (5)).</w:t>
      </w:r>
      <w:r>
        <w:t xml:space="preserve"> </w:t>
      </w:r>
      <w:r>
        <w:rPr>
          <w:iCs/>
          <w:i/>
        </w:rPr>
        <w:t xml:space="preserve">Tsurumi Daigaku Kiyō, Dai 1-bu, Nihongo/Nihon Bungaku-hen</w:t>
      </w:r>
      <w:r>
        <w:t xml:space="preserve"> </w:t>
      </w:r>
      <w:r>
        <w:t xml:space="preserve">49 (2012): 1–20.</w:t>
      </w:r>
    </w:p>
    <w:p>
      <w:pPr>
        <w:numPr>
          <w:ilvl w:val="0"/>
          <w:numId w:val="1251"/>
        </w:numPr>
        <w:pStyle w:val="Compact"/>
      </w:pPr>
      <w:r>
        <w:rPr>
          <w:bCs/>
          <w:b/>
        </w:rPr>
        <w:t xml:space="preserve">Ihon Chūki no Umu ni Tsuite (6)</w:t>
      </w:r>
      <w:r>
        <w:t xml:space="preserve"> </w:t>
      </w:r>
      <w:r>
        <w:t xml:space="preserve">(異本注記の有無について(6)):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Ihon Chūki no Umu ni Tsuite (6)</w:t>
      </w:r>
      <w:r>
        <w:t xml:space="preserve">”</w:t>
      </w:r>
      <w:r>
        <w:t xml:space="preserve"> </w:t>
      </w:r>
      <w:r>
        <w:t xml:space="preserve">(Additions and Omissions in the Sainenji Manuscript</w:t>
      </w:r>
      <w:r>
        <w:t xml:space="preserve"> </w:t>
      </w:r>
      <w:r>
        <w:rPr>
          <w:iCs/>
          <w:i/>
        </w:rPr>
        <w:t xml:space="preserve">Ruiju Myōgishō</w:t>
      </w:r>
      <w:r>
        <w:t xml:space="preserve">: On the Presence or Absence of Variant-Manuscript Annotations (6)).</w:t>
      </w:r>
      <w:r>
        <w:t xml:space="preserve"> </w:t>
      </w:r>
      <w:r>
        <w:rPr>
          <w:iCs/>
          <w:i/>
        </w:rPr>
        <w:t xml:space="preserve">Tsurumi Daigaku Kiyō, Dai 4-bu, Jinbun/Shakai/Shizen Kagaku-hen</w:t>
      </w:r>
      <w:r>
        <w:t xml:space="preserve"> </w:t>
      </w:r>
      <w:r>
        <w:t xml:space="preserve">49 (2012): 159–166.</w:t>
      </w:r>
    </w:p>
    <w:p>
      <w:pPr>
        <w:numPr>
          <w:ilvl w:val="0"/>
          <w:numId w:val="1251"/>
        </w:numPr>
        <w:pStyle w:val="Compact"/>
      </w:pPr>
      <w:r>
        <w:rPr>
          <w:bCs/>
          <w:b/>
        </w:rPr>
        <w:t xml:space="preserve">Ihon Chūki no Umu ni Tsuite (7)</w:t>
      </w:r>
      <w:r>
        <w:t xml:space="preserve"> </w:t>
      </w:r>
      <w:r>
        <w:t xml:space="preserve">(異本注記の有無について(7)):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Ihon Chūki no Umu ni Tsuite (7)</w:t>
      </w:r>
      <w:r>
        <w:t xml:space="preserve">”</w:t>
      </w:r>
      <w:r>
        <w:t xml:space="preserve"> </w:t>
      </w:r>
      <w:r>
        <w:t xml:space="preserve">(Additions and Omissions in the Sainenji Manuscript</w:t>
      </w:r>
      <w:r>
        <w:t xml:space="preserve"> </w:t>
      </w:r>
      <w:r>
        <w:rPr>
          <w:iCs/>
          <w:i/>
        </w:rPr>
        <w:t xml:space="preserve">Ruiju Myōgishō</w:t>
      </w:r>
      <w:r>
        <w:t xml:space="preserve">: On the Presence or Absence of Variant-Manuscript Annotations (7)).</w:t>
      </w:r>
      <w:r>
        <w:t xml:space="preserve"> </w:t>
      </w:r>
      <w:r>
        <w:rPr>
          <w:iCs/>
          <w:i/>
        </w:rPr>
        <w:t xml:space="preserve">Tsurumi Daigaku Kiyō, Dai 1-bu, Nihongo/Nihon Bungaku-hen</w:t>
      </w:r>
      <w:r>
        <w:t xml:space="preserve"> </w:t>
      </w:r>
      <w:r>
        <w:t xml:space="preserve">50 (2013): 1–23.</w:t>
      </w:r>
    </w:p>
    <w:p>
      <w:pPr>
        <w:numPr>
          <w:ilvl w:val="0"/>
          <w:numId w:val="1251"/>
        </w:numPr>
        <w:pStyle w:val="Compact"/>
      </w:pPr>
      <w:r>
        <w:rPr>
          <w:bCs/>
          <w:b/>
        </w:rPr>
        <w:t xml:space="preserve">Ihon Chūki no Umu ni Tsuite (8)</w:t>
      </w:r>
      <w:r>
        <w:t xml:space="preserve"> </w:t>
      </w:r>
      <w:r>
        <w:t xml:space="preserve">(異本注記の有無について(8)):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Ihon Chūki no Umu ni Tsuite (8)</w:t>
      </w:r>
      <w:r>
        <w:t xml:space="preserve">”</w:t>
      </w:r>
      <w:r>
        <w:t xml:space="preserve"> </w:t>
      </w:r>
      <w:r>
        <w:t xml:space="preserve">(Additions and Omissions in the Sainenji Manuscript</w:t>
      </w:r>
      <w:r>
        <w:t xml:space="preserve"> </w:t>
      </w:r>
      <w:r>
        <w:rPr>
          <w:iCs/>
          <w:i/>
        </w:rPr>
        <w:t xml:space="preserve">Ruiju Myōgishō</w:t>
      </w:r>
      <w:r>
        <w:t xml:space="preserve">: On the Presence or Absence of Variant-Manuscript Annotations (8)).</w:t>
      </w:r>
      <w:r>
        <w:t xml:space="preserve"> </w:t>
      </w:r>
      <w:r>
        <w:rPr>
          <w:iCs/>
          <w:i/>
        </w:rPr>
        <w:t xml:space="preserve">Tsurumi Daigaku Kiyō, Dai 4-bu, Jinbun/Shakai/Shizen Kagaku-hen</w:t>
      </w:r>
      <w:r>
        <w:t xml:space="preserve"> </w:t>
      </w:r>
      <w:r>
        <w:t xml:space="preserve">50 (2013): 126–138.</w:t>
      </w:r>
    </w:p>
    <w:p>
      <w:pPr>
        <w:numPr>
          <w:ilvl w:val="0"/>
          <w:numId w:val="1251"/>
        </w:numPr>
        <w:pStyle w:val="Compact"/>
      </w:pPr>
      <w:r>
        <w:rPr>
          <w:bCs/>
          <w:b/>
        </w:rPr>
        <w:t xml:space="preserve">Ihon Chūki no Umu ni Tsuite (9)</w:t>
      </w:r>
      <w:r>
        <w:t xml:space="preserve"> </w:t>
      </w:r>
      <w:r>
        <w:t xml:space="preserve">(異本注記の有無について(9)):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Ihon Chūki no Umu ni Tsuite (9)</w:t>
      </w:r>
      <w:r>
        <w:t xml:space="preserve">”</w:t>
      </w:r>
      <w:r>
        <w:t xml:space="preserve"> </w:t>
      </w:r>
      <w:r>
        <w:t xml:space="preserve">(Additions and Omissions in the Sainenji Manuscript</w:t>
      </w:r>
      <w:r>
        <w:t xml:space="preserve"> </w:t>
      </w:r>
      <w:r>
        <w:rPr>
          <w:iCs/>
          <w:i/>
        </w:rPr>
        <w:t xml:space="preserve">Ruiju Myōgishō</w:t>
      </w:r>
      <w:r>
        <w:t xml:space="preserve">: On the Presence or Absence of Variant-Manuscript Annotations (9)).</w:t>
      </w:r>
      <w:r>
        <w:t xml:space="preserve"> </w:t>
      </w:r>
      <w:r>
        <w:rPr>
          <w:iCs/>
          <w:i/>
        </w:rPr>
        <w:t xml:space="preserve">Tsurumi Daigaku Kiyō, Dai 4-bu, Jinbun/Shakai/Shizen Kagaku-hen</w:t>
      </w:r>
      <w:r>
        <w:t xml:space="preserve"> </w:t>
      </w:r>
      <w:r>
        <w:t xml:space="preserve">51 (2014): 87–98.</w:t>
      </w:r>
    </w:p>
    <w:p>
      <w:pPr>
        <w:numPr>
          <w:ilvl w:val="0"/>
          <w:numId w:val="1251"/>
        </w:numPr>
        <w:pStyle w:val="Compact"/>
      </w:pPr>
      <w:r>
        <w:rPr>
          <w:bCs/>
          <w:b/>
        </w:rPr>
        <w:t xml:space="preserve">Ihon Chūki no Umu ni Tsuite (10)</w:t>
      </w:r>
      <w:r>
        <w:t xml:space="preserve"> </w:t>
      </w:r>
      <w:r>
        <w:t xml:space="preserve">(異本注記の有無について(10)):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Ihon Chūki no Umu ni Tsuite (10)</w:t>
      </w:r>
      <w:r>
        <w:t xml:space="preserve">”</w:t>
      </w:r>
      <w:r>
        <w:t xml:space="preserve"> </w:t>
      </w:r>
      <w:r>
        <w:t xml:space="preserve">(Additions and Omissions in the Sainenji Manuscript</w:t>
      </w:r>
      <w:r>
        <w:t xml:space="preserve"> </w:t>
      </w:r>
      <w:r>
        <w:rPr>
          <w:iCs/>
          <w:i/>
        </w:rPr>
        <w:t xml:space="preserve">Ruiju Myōgishō</w:t>
      </w:r>
      <w:r>
        <w:t xml:space="preserve">: On the Presence or Absence of Variant-Manuscript Annotations (10)).</w:t>
      </w:r>
      <w:r>
        <w:t xml:space="preserve"> </w:t>
      </w:r>
      <w:r>
        <w:rPr>
          <w:iCs/>
          <w:i/>
        </w:rPr>
        <w:t xml:space="preserve">Tsurumi Daigaku Kiyō, Dai 4-bu, Jinbun/Shakai/Shizen Kagaku-hen</w:t>
      </w:r>
      <w:r>
        <w:t xml:space="preserve"> </w:t>
      </w:r>
      <w:r>
        <w:t xml:space="preserve">52 (2015): 123–134.</w:t>
      </w:r>
    </w:p>
    <w:p>
      <w:pPr>
        <w:numPr>
          <w:ilvl w:val="0"/>
          <w:numId w:val="1251"/>
        </w:numPr>
        <w:pStyle w:val="Compact"/>
      </w:pPr>
      <w:r>
        <w:rPr>
          <w:bCs/>
          <w:b/>
        </w:rPr>
        <w:t xml:space="preserve">Ihon Chūki no Umu ni Tsuite (11)</w:t>
      </w:r>
      <w:r>
        <w:t xml:space="preserve"> </w:t>
      </w:r>
      <w:r>
        <w:t xml:space="preserve">(異本注記の有無について(11)): Kobayashi Kyōji.</w:t>
      </w:r>
      <w:r>
        <w:t xml:space="preserve"> </w:t>
      </w:r>
      <w:r>
        <w:t xml:space="preserve">“</w:t>
      </w:r>
      <w:r>
        <w:t xml:space="preserve">Sainenji-bon</w:t>
      </w:r>
      <w:r>
        <w:t xml:space="preserve"> </w:t>
      </w:r>
      <w:r>
        <w:rPr>
          <w:iCs/>
          <w:i/>
        </w:rPr>
        <w:t xml:space="preserve">Ruiju Myōgishō</w:t>
      </w:r>
      <w:r>
        <w:t xml:space="preserve"> </w:t>
      </w:r>
      <w:r>
        <w:t xml:space="preserve">ni okeru Zōho to Datsuro: Ihon Chūki no Umu ni Tsuite (11)</w:t>
      </w:r>
      <w:r>
        <w:t xml:space="preserve">”</w:t>
      </w:r>
      <w:r>
        <w:t xml:space="preserve"> </w:t>
      </w:r>
      <w:r>
        <w:t xml:space="preserve">(Additions and Omissions in the Sainenji Manuscript</w:t>
      </w:r>
      <w:r>
        <w:t xml:space="preserve"> </w:t>
      </w:r>
      <w:r>
        <w:rPr>
          <w:iCs/>
          <w:i/>
        </w:rPr>
        <w:t xml:space="preserve">Ruiju Myōgishō</w:t>
      </w:r>
      <w:r>
        <w:t xml:space="preserve">: On the Presence or Absence of Variant-Manuscript Annotations (11)).</w:t>
      </w:r>
      <w:r>
        <w:t xml:space="preserve"> </w:t>
      </w:r>
      <w:r>
        <w:rPr>
          <w:iCs/>
          <w:i/>
        </w:rPr>
        <w:t xml:space="preserve">Tsurumi Daigaku Kiyō, Dai 4-bu, Jinbun/Shakai/Shizen Kagaku-hen</w:t>
      </w:r>
      <w:r>
        <w:t xml:space="preserve"> </w:t>
      </w:r>
      <w:r>
        <w:t xml:space="preserve">53 (2016): 110–120.</w:t>
      </w:r>
    </w:p>
    <w:bookmarkEnd w:id="657"/>
    <w:bookmarkStart w:id="658" w:name="X8737fb33fb7c32f94edbdea5534302e0cf2be05"/>
    <w:p>
      <w:pPr>
        <w:pStyle w:val="Heading3"/>
      </w:pPr>
      <w:r>
        <w:rPr>
          <w:rStyle w:val="SectionNumber"/>
        </w:rPr>
        <w:t xml:space="preserve">25.1.2</w:t>
      </w:r>
      <w:r>
        <w:tab/>
      </w:r>
      <w:r>
        <w:t xml:space="preserve">References Cited Without Abbreviation</w:t>
      </w:r>
    </w:p>
    <w:p>
      <w:pPr>
        <w:pStyle w:val="FirstParagraph"/>
      </w:pPr>
      <w:r>
        <w:t xml:space="preserve">The following list gives, without abbreviation, the author’s name, title, journal name, volume/issue number, and year of publication. When cited in annotations, subtitles are sometimes omitted. Studies concerning the</w:t>
      </w:r>
      <w:r>
        <w:t xml:space="preserve"> </w:t>
      </w:r>
      <w:r>
        <w:rPr>
          <w:iCs/>
          <w:i/>
        </w:rPr>
        <w:t xml:space="preserve">wakun</w:t>
      </w:r>
      <w:r>
        <w:t xml:space="preserve"> </w:t>
      </w:r>
      <w:r>
        <w:t xml:space="preserve">of the Zushoryō manuscript are also useful for interpreting the Kanchi-in manuscript, and so are included here.</w:t>
      </w:r>
    </w:p>
    <w:p>
      <w:pPr>
        <w:numPr>
          <w:ilvl w:val="0"/>
          <w:numId w:val="1252"/>
        </w:numPr>
        <w:pStyle w:val="Compact"/>
      </w:pPr>
      <w:r>
        <w:t xml:space="preserve">Tsukishima, Hiroshi.</w:t>
      </w:r>
      <w:r>
        <w:t xml:space="preserve"> </w:t>
      </w:r>
      <w:r>
        <w:t xml:space="preserve">“</w:t>
      </w:r>
      <w:r>
        <w:rPr>
          <w:iCs/>
          <w:i/>
        </w:rPr>
        <w:t xml:space="preserve">Ruiju Myōgishō</w:t>
      </w:r>
      <w:r>
        <w:t xml:space="preserve"> </w:t>
      </w:r>
      <w:r>
        <w:t xml:space="preserve">no Wakun no Genryū ni Tsuite</w:t>
      </w:r>
      <w:r>
        <w:t xml:space="preserve">”</w:t>
      </w:r>
      <w:r>
        <w:t xml:space="preserve"> </w:t>
      </w:r>
      <w:r>
        <w:t xml:space="preserve">(On the Origins of the</w:t>
      </w:r>
      <w:r>
        <w:t xml:space="preserve"> </w:t>
      </w:r>
      <w:r>
        <w:rPr>
          <w:iCs/>
          <w:i/>
        </w:rPr>
        <w:t xml:space="preserve">Wakun</w:t>
      </w:r>
      <w:r>
        <w:t xml:space="preserve"> </w:t>
      </w:r>
      <w:r>
        <w:t xml:space="preserve">in the</w:t>
      </w:r>
      <w:r>
        <w:t xml:space="preserve"> </w:t>
      </w:r>
      <w:r>
        <w:rPr>
          <w:iCs/>
          <w:i/>
        </w:rPr>
        <w:t xml:space="preserve">Ruiju Myōgishō</w:t>
      </w:r>
      <w:r>
        <w:t xml:space="preserve">).</w:t>
      </w:r>
      <w:r>
        <w:t xml:space="preserve"> </w:t>
      </w:r>
      <w:r>
        <w:rPr>
          <w:iCs/>
          <w:i/>
        </w:rPr>
        <w:t xml:space="preserve">Kokugo to Kokubungaku</w:t>
      </w:r>
      <w:r>
        <w:t xml:space="preserve"> </w:t>
      </w:r>
      <w:r>
        <w:t xml:space="preserve">27, no. 7 (1950).</w:t>
      </w:r>
    </w:p>
    <w:p>
      <w:pPr>
        <w:numPr>
          <w:ilvl w:val="0"/>
          <w:numId w:val="1252"/>
        </w:numPr>
        <w:pStyle w:val="Compact"/>
      </w:pPr>
      <w:r>
        <w:t xml:space="preserve">Nakada, Norio.</w:t>
      </w:r>
      <w:r>
        <w:t xml:space="preserve"> </w:t>
      </w:r>
      <w:r>
        <w:t xml:space="preserve">“</w:t>
      </w:r>
      <w:r>
        <w:rPr>
          <w:iCs/>
          <w:i/>
        </w:rPr>
        <w:t xml:space="preserve">Ruiju Myōgishō</w:t>
      </w:r>
      <w:r>
        <w:t xml:space="preserve"> </w:t>
      </w:r>
      <w:r>
        <w:t xml:space="preserve">Shiyōsha no Tame ni</w:t>
      </w:r>
      <w:r>
        <w:t xml:space="preserve">”</w:t>
      </w:r>
      <w:r>
        <w:t xml:space="preserve"> </w:t>
      </w:r>
      <w:r>
        <w:t xml:space="preserve">(For Users of the</w:t>
      </w:r>
      <w:r>
        <w:t xml:space="preserve"> </w:t>
      </w:r>
      <w:r>
        <w:rPr>
          <w:iCs/>
          <w:i/>
        </w:rPr>
        <w:t xml:space="preserve">Ruiju Myōgishō</w:t>
      </w:r>
      <w:r>
        <w:t xml:space="preserve">). In</w:t>
      </w:r>
      <w:r>
        <w:t xml:space="preserve"> </w:t>
      </w:r>
      <w:r>
        <w:rPr>
          <w:iCs/>
          <w:i/>
        </w:rPr>
        <w:t xml:space="preserve">Ruiju Myōgishō</w:t>
      </w:r>
      <w:r>
        <w:t xml:space="preserve">. Tokyo: Kazama Shobō, 1955.</w:t>
      </w:r>
    </w:p>
    <w:p>
      <w:pPr>
        <w:numPr>
          <w:ilvl w:val="0"/>
          <w:numId w:val="1252"/>
        </w:numPr>
        <w:pStyle w:val="Compact"/>
      </w:pPr>
      <w:r>
        <w:t xml:space="preserve">Kadosaki, Masahiko.</w:t>
      </w:r>
      <w:r>
        <w:t xml:space="preserve"> </w:t>
      </w:r>
      <w:r>
        <w:t xml:space="preserve">“</w:t>
      </w:r>
      <w:r>
        <w:t xml:space="preserve">Kanbun Kundokushi-jō no Ichi Mondai (Yon):</w:t>
      </w:r>
      <w:r>
        <w:t xml:space="preserve"> </w:t>
      </w:r>
      <w:r>
        <w:t xml:space="preserve">‘</w:t>
      </w:r>
      <w:r>
        <w:t xml:space="preserve">Hei</w:t>
      </w:r>
      <w:r>
        <w:t xml:space="preserve">’</w:t>
      </w:r>
      <w:r>
        <w:t xml:space="preserve"> </w:t>
      </w:r>
      <w:r>
        <w:t xml:space="preserve">no Kun ni Tsuite</w:t>
      </w:r>
      <w:r>
        <w:t xml:space="preserve">”</w:t>
      </w:r>
      <w:r>
        <w:t xml:space="preserve"> </w:t>
      </w:r>
      <w:r>
        <w:t xml:space="preserve">(A Problem in the History of Kanbun-Kundoku Reading, Part 4: On the Reading of the Character 并).</w:t>
      </w:r>
      <w:r>
        <w:t xml:space="preserve"> </w:t>
      </w:r>
      <w:r>
        <w:rPr>
          <w:iCs/>
          <w:i/>
        </w:rPr>
        <w:t xml:space="preserve">Kuntengo to Kunten Shiryō</w:t>
      </w:r>
      <w:r>
        <w:t xml:space="preserve"> </w:t>
      </w:r>
      <w:r>
        <w:t xml:space="preserve">14 (1960): 83–94.</w:t>
      </w:r>
    </w:p>
    <w:p>
      <w:pPr>
        <w:numPr>
          <w:ilvl w:val="0"/>
          <w:numId w:val="1252"/>
        </w:numPr>
        <w:pStyle w:val="Compact"/>
      </w:pPr>
      <w:r>
        <w:t xml:space="preserve">Tsukishima, Hiroshi.</w:t>
      </w:r>
      <w:r>
        <w:t xml:space="preserve"> </w:t>
      </w:r>
      <w:r>
        <w:rPr>
          <w:iCs/>
          <w:i/>
        </w:rPr>
        <w:t xml:space="preserve">Heian Jidai no Kanbun Kundokugo ni Tsuite no Kenkyū</w:t>
      </w:r>
      <w:r>
        <w:t xml:space="preserve"> </w:t>
      </w:r>
      <w:r>
        <w:t xml:space="preserve">(A Study of Kanbun-Kundoku Vocabulary in the Heian Period). Tokyo: Tōkyō Daigaku Shuppankai, 1963.</w:t>
      </w:r>
    </w:p>
    <w:p>
      <w:pPr>
        <w:numPr>
          <w:ilvl w:val="0"/>
          <w:numId w:val="1252"/>
        </w:numPr>
        <w:pStyle w:val="Compact"/>
      </w:pPr>
      <w:r>
        <w:t xml:space="preserve">Komatsu, Hideo (こまつひでお).</w:t>
      </w:r>
      <w:r>
        <w:t xml:space="preserve"> </w:t>
      </w:r>
      <w:r>
        <w:t xml:space="preserve">“</w:t>
      </w:r>
      <w:r>
        <w:t xml:space="preserve">Gochō Shiryō to shite no</w:t>
      </w:r>
      <w:r>
        <w:t xml:space="preserve"> </w:t>
      </w:r>
      <w:r>
        <w:rPr>
          <w:iCs/>
          <w:i/>
        </w:rPr>
        <w:t xml:space="preserve">Ruiju Myōgishō</w:t>
      </w:r>
      <w:r>
        <w:t xml:space="preserve">: Zushoryōbon oyobi Kanchi-in-bon ni Mieru Wakun no Shōten no Kinshitsusei no Kentō</w:t>
      </w:r>
      <w:r>
        <w:t xml:space="preserve">”</w:t>
      </w:r>
      <w:r>
        <w:t xml:space="preserve"> </w:t>
      </w:r>
      <w:r>
        <w:t xml:space="preserve">(The</w:t>
      </w:r>
      <w:r>
        <w:t xml:space="preserve"> </w:t>
      </w:r>
      <w:r>
        <w:rPr>
          <w:iCs/>
          <w:i/>
        </w:rPr>
        <w:t xml:space="preserve">Ruiju Myōgishō</w:t>
      </w:r>
      <w:r>
        <w:t xml:space="preserve"> </w:t>
      </w:r>
      <w:r>
        <w:t xml:space="preserve">as a Source for Pitch-Accent History: An Examination of the Homogeneity of Tone Marks on the</w:t>
      </w:r>
      <w:r>
        <w:t xml:space="preserve"> </w:t>
      </w:r>
      <w:r>
        <w:rPr>
          <w:iCs/>
          <w:i/>
        </w:rPr>
        <w:t xml:space="preserve">Wakun</w:t>
      </w:r>
      <w:r>
        <w:t xml:space="preserve"> </w:t>
      </w:r>
      <w:r>
        <w:t xml:space="preserve">Found in the Zushoryō and Kanchi-in Manuscripts).</w:t>
      </w:r>
      <w:r>
        <w:t xml:space="preserve"> </w:t>
      </w:r>
      <w:r>
        <w:rPr>
          <w:iCs/>
          <w:i/>
        </w:rPr>
        <w:t xml:space="preserve">Tōkyō Kyōiku Daigaku Bungakubu Kiyō</w:t>
      </w:r>
      <w:r>
        <w:t xml:space="preserve"> </w:t>
      </w:r>
      <w:r>
        <w:t xml:space="preserve">47 (1964): 1–37.</w:t>
      </w:r>
    </w:p>
    <w:p>
      <w:pPr>
        <w:numPr>
          <w:ilvl w:val="0"/>
          <w:numId w:val="1252"/>
        </w:numPr>
        <w:pStyle w:val="Compact"/>
      </w:pPr>
      <w:r>
        <w:t xml:space="preserve">Kadosaki, Masahiko.</w:t>
      </w:r>
      <w:r>
        <w:t xml:space="preserve"> </w:t>
      </w:r>
      <w:r>
        <w:t xml:space="preserve">“</w:t>
      </w:r>
      <w:r>
        <w:t xml:space="preserve">Kanbun Kundokushi-jō no Ichi Mondai (Go):</w:t>
      </w:r>
      <w:r>
        <w:t xml:space="preserve"> </w:t>
      </w:r>
      <w:r>
        <w:t xml:space="preserve">‘</w:t>
      </w:r>
      <w:r>
        <w:t xml:space="preserve">Yoku</w:t>
      </w:r>
      <w:r>
        <w:t xml:space="preserve">’</w:t>
      </w:r>
      <w:r>
        <w:t xml:space="preserve"> </w:t>
      </w:r>
      <w:r>
        <w:t xml:space="preserve">no Kun ni Tsuite</w:t>
      </w:r>
      <w:r>
        <w:t xml:space="preserve">”</w:t>
      </w:r>
      <w:r>
        <w:t xml:space="preserve"> </w:t>
      </w:r>
      <w:r>
        <w:t xml:space="preserve">(A Problem in the History of Kanbun-Kundoku Reading, Part 5: On the Reading of the Character 欲).</w:t>
      </w:r>
      <w:r>
        <w:t xml:space="preserve"> </w:t>
      </w:r>
      <w:r>
        <w:rPr>
          <w:iCs/>
          <w:i/>
        </w:rPr>
        <w:t xml:space="preserve">Kuntengo to Kunten Shiryō</w:t>
      </w:r>
      <w:r>
        <w:t xml:space="preserve"> </w:t>
      </w:r>
      <w:r>
        <w:t xml:space="preserve">25 (1963): 111–120.</w:t>
      </w:r>
    </w:p>
    <w:p>
      <w:pPr>
        <w:numPr>
          <w:ilvl w:val="0"/>
          <w:numId w:val="1252"/>
        </w:numPr>
        <w:pStyle w:val="Compact"/>
      </w:pPr>
      <w:r>
        <w:t xml:space="preserve">Kobayashi, Yoshinori.</w:t>
      </w:r>
      <w:r>
        <w:t xml:space="preserve"> </w:t>
      </w:r>
      <w:r>
        <w:rPr>
          <w:iCs/>
          <w:i/>
        </w:rPr>
        <w:t xml:space="preserve">Heian Kamakura Jidai ni Okeru Kanseki Kundoku no Kokugoshiteki Kenkyū</w:t>
      </w:r>
      <w:r>
        <w:t xml:space="preserve"> </w:t>
      </w:r>
      <w:r>
        <w:t xml:space="preserve">(A Study in the History of the Japanese Language on the Kundoku Reading of Chinese Texts in the Heian and Kamakura Periods). Tokyo: Tōkyō Daigaku Shuppankai, 1967.</w:t>
      </w:r>
    </w:p>
    <w:p>
      <w:pPr>
        <w:numPr>
          <w:ilvl w:val="0"/>
          <w:numId w:val="1252"/>
        </w:numPr>
        <w:pStyle w:val="Compact"/>
      </w:pPr>
      <w:r>
        <w:t xml:space="preserve">Akinaga, Kazue. Review of</w:t>
      </w:r>
      <w:r>
        <w:t xml:space="preserve"> </w:t>
      </w:r>
      <w:r>
        <w:rPr>
          <w:iCs/>
          <w:i/>
        </w:rPr>
        <w:t xml:space="preserve">Wamyō Ruijushō Koshahon Shōtenbon Honbun oyobi Sakuin</w:t>
      </w:r>
      <w:r>
        <w:t xml:space="preserve"> </w:t>
      </w:r>
      <w:r>
        <w:t xml:space="preserve">(Text and Index of Old Tone-Marked Manuscripts of the</w:t>
      </w:r>
      <w:r>
        <w:t xml:space="preserve"> </w:t>
      </w:r>
      <w:r>
        <w:rPr>
          <w:iCs/>
          <w:i/>
        </w:rPr>
        <w:t xml:space="preserve">Wamyō Ruijushō</w:t>
      </w:r>
      <w:r>
        <w:t xml:space="preserve">), by Mabuchi Kazuo, and</w:t>
      </w:r>
      <w:r>
        <w:t xml:space="preserve"> </w:t>
      </w:r>
      <w:r>
        <w:rPr>
          <w:iCs/>
          <w:i/>
        </w:rPr>
        <w:t xml:space="preserve">Ruiju Myōgishō Yonshu Shōten-tsuki Wakun Shūsei</w:t>
      </w:r>
      <w:r>
        <w:t xml:space="preserve"> </w:t>
      </w:r>
      <w:r>
        <w:t xml:space="preserve">(A Collection of</w:t>
      </w:r>
      <w:r>
        <w:t xml:space="preserve"> </w:t>
      </w:r>
      <w:r>
        <w:rPr>
          <w:iCs/>
          <w:i/>
        </w:rPr>
        <w:t xml:space="preserve">Wakun</w:t>
      </w:r>
      <w:r>
        <w:t xml:space="preserve"> </w:t>
      </w:r>
      <w:r>
        <w:t xml:space="preserve">with Four Types of Tone Marks in the</w:t>
      </w:r>
      <w:r>
        <w:t xml:space="preserve"> </w:t>
      </w:r>
      <w:r>
        <w:rPr>
          <w:iCs/>
          <w:i/>
        </w:rPr>
        <w:t xml:space="preserve">Ruiju Myōgishō</w:t>
      </w:r>
      <w:r>
        <w:t xml:space="preserve">), edited by Mochizuki Ikuko.</w:t>
      </w:r>
      <w:r>
        <w:t xml:space="preserve"> </w:t>
      </w:r>
      <w:r>
        <w:rPr>
          <w:iCs/>
          <w:i/>
        </w:rPr>
        <w:t xml:space="preserve">Kokugogaku</w:t>
      </w:r>
      <w:r>
        <w:t xml:space="preserve"> </w:t>
      </w:r>
      <w:r>
        <w:t xml:space="preserve">99 (1974): 81–85.</w:t>
      </w:r>
    </w:p>
    <w:p>
      <w:pPr>
        <w:numPr>
          <w:ilvl w:val="0"/>
          <w:numId w:val="1252"/>
        </w:numPr>
        <w:pStyle w:val="Compact"/>
      </w:pPr>
      <w:r>
        <w:t xml:space="preserve">Mochizuki, Ikuko.</w:t>
      </w:r>
      <w:r>
        <w:t xml:space="preserve"> </w:t>
      </w:r>
      <w:r>
        <w:t xml:space="preserve">“</w:t>
      </w:r>
      <w:r>
        <w:t xml:space="preserve">Shōten no Seichō Nintei no Hōhō:</w:t>
      </w:r>
      <w:r>
        <w:t xml:space="preserve"> </w:t>
      </w:r>
      <w:r>
        <w:rPr>
          <w:iCs/>
          <w:i/>
        </w:rPr>
        <w:t xml:space="preserve">Ruiju Myōgishō</w:t>
      </w:r>
      <w:r>
        <w:t xml:space="preserve"> </w:t>
      </w:r>
      <w:r>
        <w:t xml:space="preserve">no Dai Ni-rui Dōshi Shūshikei Gomatsu no Kana no Shōten o Chūshin ni</w:t>
      </w:r>
      <w:r>
        <w:t xml:space="preserve">”</w:t>
      </w:r>
      <w:r>
        <w:t xml:space="preserve"> </w:t>
      </w:r>
      <w:r>
        <w:t xml:space="preserve">(Methods for Determining Tonal Values from Tone Marks: Focusing on the Tone Marks on the Final Kana of Second-Conjugation Verb Shūshikei Forms in the</w:t>
      </w:r>
      <w:r>
        <w:t xml:space="preserve"> </w:t>
      </w:r>
      <w:r>
        <w:rPr>
          <w:iCs/>
          <w:i/>
        </w:rPr>
        <w:t xml:space="preserve">Ruiju Myōgishō</w:t>
      </w:r>
      <w:r>
        <w:t xml:space="preserve">).</w:t>
      </w:r>
      <w:r>
        <w:t xml:space="preserve"> </w:t>
      </w:r>
      <w:r>
        <w:rPr>
          <w:iCs/>
          <w:i/>
        </w:rPr>
        <w:t xml:space="preserve">Kokugogaku</w:t>
      </w:r>
      <w:r>
        <w:t xml:space="preserve"> </w:t>
      </w:r>
      <w:r>
        <w:t xml:space="preserve">102 (1975): 31–49.</w:t>
      </w:r>
    </w:p>
    <w:p>
      <w:pPr>
        <w:numPr>
          <w:ilvl w:val="0"/>
          <w:numId w:val="1252"/>
        </w:numPr>
        <w:pStyle w:val="Compact"/>
      </w:pPr>
      <w:r>
        <w:t xml:space="preserve">Inukai, Takashi.</w:t>
      </w:r>
      <w:r>
        <w:t xml:space="preserve"> </w:t>
      </w:r>
      <w:r>
        <w:t xml:space="preserve">“</w:t>
      </w:r>
      <w:r>
        <w:t xml:space="preserve">Kodaigo no</w:t>
      </w:r>
      <w:r>
        <w:t xml:space="preserve"> </w:t>
      </w:r>
      <w:r>
        <w:t xml:space="preserve">‘</w:t>
      </w:r>
      <w:r>
        <w:t xml:space="preserve">Daku</w:t>
      </w:r>
      <w:r>
        <w:t xml:space="preserve">’</w:t>
      </w:r>
      <w:r>
        <w:t xml:space="preserve"> </w:t>
      </w:r>
      <w:r>
        <w:t xml:space="preserve">Haku ni Tsuite: Kanchi-in-bon</w:t>
      </w:r>
      <w:r>
        <w:t xml:space="preserve"> </w:t>
      </w:r>
      <w:r>
        <w:rPr>
          <w:iCs/>
          <w:i/>
        </w:rPr>
        <w:t xml:space="preserve">Ruiju Myōgishō</w:t>
      </w:r>
      <w:r>
        <w:t xml:space="preserve"> </w:t>
      </w:r>
      <w:r>
        <w:t xml:space="preserve">no Fukushōten-tsuki Wakun o Chūshin ni</w:t>
      </w:r>
      <w:r>
        <w:t xml:space="preserve">”</w:t>
      </w:r>
      <w:r>
        <w:t xml:space="preserve"> </w:t>
      </w:r>
      <w:r>
        <w:t xml:space="preserve">(On the Voiced Mora in Old Japanese: Focusing on</w:t>
      </w:r>
      <w:r>
        <w:t xml:space="preserve"> </w:t>
      </w:r>
      <w:r>
        <w:rPr>
          <w:iCs/>
          <w:i/>
        </w:rPr>
        <w:t xml:space="preserve">Wakun</w:t>
      </w:r>
      <w:r>
        <w:t xml:space="preserve"> </w:t>
      </w:r>
      <w:r>
        <w:t xml:space="preserve">with Compound Tone Marks in the Kanchi-in Manuscript</w:t>
      </w:r>
      <w:r>
        <w:t xml:space="preserve"> </w:t>
      </w:r>
      <w:r>
        <w:rPr>
          <w:iCs/>
          <w:i/>
        </w:rPr>
        <w:t xml:space="preserve">Ruiju Myōgishō</w:t>
      </w:r>
      <w:r>
        <w:t xml:space="preserve">).</w:t>
      </w:r>
      <w:r>
        <w:t xml:space="preserve"> </w:t>
      </w:r>
      <w:r>
        <w:rPr>
          <w:iCs/>
          <w:i/>
        </w:rPr>
        <w:t xml:space="preserve">Gakushūin Joshi Tanki Daigaku Kiyō</w:t>
      </w:r>
      <w:r>
        <w:t xml:space="preserve"> </w:t>
      </w:r>
      <w:r>
        <w:t xml:space="preserve">15 (1977): 1–30.</w:t>
      </w:r>
    </w:p>
    <w:p>
      <w:pPr>
        <w:numPr>
          <w:ilvl w:val="0"/>
          <w:numId w:val="1252"/>
        </w:numPr>
        <w:pStyle w:val="Compact"/>
      </w:pPr>
      <w:r>
        <w:t xml:space="preserve">Inukai, Morimasa.</w:t>
      </w:r>
      <w:r>
        <w:t xml:space="preserve"> </w:t>
      </w:r>
      <w:r>
        <w:t xml:space="preserve">“</w:t>
      </w:r>
      <w:r>
        <w:rPr>
          <w:iCs/>
          <w:i/>
        </w:rPr>
        <w:t xml:space="preserve">Ruiju Myōgishō</w:t>
      </w:r>
      <w:r>
        <w:t xml:space="preserve">: Kanchi-in bon to Renjō-in bon to no</w:t>
      </w:r>
      <w:r>
        <w:t xml:space="preserve"> </w:t>
      </w:r>
      <w:r>
        <w:t xml:space="preserve">‘</w:t>
      </w:r>
      <w:r>
        <w:t xml:space="preserve">Zatsu</w:t>
      </w:r>
      <w:r>
        <w:t xml:space="preserve">’</w:t>
      </w:r>
      <w:r>
        <w:t xml:space="preserve"> </w:t>
      </w:r>
      <w:r>
        <w:t xml:space="preserve">Bu no Hikaku Taishō (Jō)</w:t>
      </w:r>
      <w:r>
        <w:t xml:space="preserve">”</w:t>
      </w:r>
      <w:r>
        <w:t xml:space="preserve"> </w:t>
      </w:r>
      <w:r>
        <w:t xml:space="preserve">(A Comparative Study of the</w:t>
      </w:r>
      <w:r>
        <w:t xml:space="preserve"> </w:t>
      </w:r>
      <w:r>
        <w:t xml:space="preserve">‘</w:t>
      </w:r>
      <w:r>
        <w:t xml:space="preserve">Miscellaneous</w:t>
      </w:r>
      <w:r>
        <w:t xml:space="preserve">’</w:t>
      </w:r>
      <w:r>
        <w:t xml:space="preserve"> </w:t>
      </w:r>
      <w:r>
        <w:t xml:space="preserve">Section of the</w:t>
      </w:r>
      <w:r>
        <w:t xml:space="preserve"> </w:t>
      </w:r>
      <w:r>
        <w:rPr>
          <w:iCs/>
          <w:i/>
        </w:rPr>
        <w:t xml:space="preserve">Ruiju Myōgishō</w:t>
      </w:r>
      <w:r>
        <w:t xml:space="preserve">: Kanchi-in and Renjō-in Manuscripts, Part 1).</w:t>
      </w:r>
      <w:r>
        <w:t xml:space="preserve"> </w:t>
      </w:r>
      <w:r>
        <w:rPr>
          <w:iCs/>
          <w:i/>
        </w:rPr>
        <w:t xml:space="preserve">Sugiyama Jogakuen Daigaku Kenkyū Ronshū</w:t>
      </w:r>
      <w:r>
        <w:t xml:space="preserve"> </w:t>
      </w:r>
      <w:r>
        <w:t xml:space="preserve">8, no. 2 (1977).</w:t>
      </w:r>
    </w:p>
    <w:p>
      <w:pPr>
        <w:numPr>
          <w:ilvl w:val="0"/>
          <w:numId w:val="1252"/>
        </w:numPr>
        <w:pStyle w:val="Compact"/>
      </w:pPr>
      <w:r>
        <w:t xml:space="preserve">Inukai, Morimasa.</w:t>
      </w:r>
      <w:r>
        <w:t xml:space="preserve"> </w:t>
      </w:r>
      <w:r>
        <w:t xml:space="preserve">“</w:t>
      </w:r>
      <w:r>
        <w:rPr>
          <w:iCs/>
          <w:i/>
        </w:rPr>
        <w:t xml:space="preserve">Ruiju Myōgishō</w:t>
      </w:r>
      <w:r>
        <w:t xml:space="preserve">: Kanchi-in bon to Renjō-in bon to no</w:t>
      </w:r>
      <w:r>
        <w:t xml:space="preserve"> </w:t>
      </w:r>
      <w:r>
        <w:t xml:space="preserve">‘</w:t>
      </w:r>
      <w:r>
        <w:t xml:space="preserve">Zatsu</w:t>
      </w:r>
      <w:r>
        <w:t xml:space="preserve">’</w:t>
      </w:r>
      <w:r>
        <w:t xml:space="preserve"> </w:t>
      </w:r>
      <w:r>
        <w:t xml:space="preserve">Bu no Hikaku Taishō (Chū)</w:t>
      </w:r>
      <w:r>
        <w:t xml:space="preserve">”</w:t>
      </w:r>
      <w:r>
        <w:t xml:space="preserve"> </w:t>
      </w:r>
      <w:r>
        <w:t xml:space="preserve">(A Comparative Study of the</w:t>
      </w:r>
      <w:r>
        <w:t xml:space="preserve"> </w:t>
      </w:r>
      <w:r>
        <w:t xml:space="preserve">‘</w:t>
      </w:r>
      <w:r>
        <w:t xml:space="preserve">Miscellaneous</w:t>
      </w:r>
      <w:r>
        <w:t xml:space="preserve">’</w:t>
      </w:r>
      <w:r>
        <w:t xml:space="preserve"> </w:t>
      </w:r>
      <w:r>
        <w:t xml:space="preserve">Section of the</w:t>
      </w:r>
      <w:r>
        <w:t xml:space="preserve"> </w:t>
      </w:r>
      <w:r>
        <w:rPr>
          <w:iCs/>
          <w:i/>
        </w:rPr>
        <w:t xml:space="preserve">Ruiju Myōgishō</w:t>
      </w:r>
      <w:r>
        <w:t xml:space="preserve">: Kanchi-in and Renjō-in Manuscripts, Part 2).</w:t>
      </w:r>
      <w:r>
        <w:t xml:space="preserve"> </w:t>
      </w:r>
      <w:r>
        <w:rPr>
          <w:iCs/>
          <w:i/>
        </w:rPr>
        <w:t xml:space="preserve">Sugiyama Jogakuen Daigaku Kenkyū Ronshū</w:t>
      </w:r>
      <w:r>
        <w:t xml:space="preserve"> </w:t>
      </w:r>
      <w:r>
        <w:t xml:space="preserve">9, no. 2 (1978).</w:t>
      </w:r>
    </w:p>
    <w:p>
      <w:pPr>
        <w:numPr>
          <w:ilvl w:val="0"/>
          <w:numId w:val="1252"/>
        </w:numPr>
        <w:pStyle w:val="Compact"/>
      </w:pPr>
      <w:r>
        <w:t xml:space="preserve">Matsumoto, Mitsutaka.</w:t>
      </w:r>
      <w:r>
        <w:t xml:space="preserve"> </w:t>
      </w:r>
      <w:r>
        <w:t xml:space="preserve">“</w:t>
      </w:r>
      <w:r>
        <w:t xml:space="preserve">Shoryōbu-zō</w:t>
      </w:r>
      <w:r>
        <w:t xml:space="preserve"> </w:t>
      </w:r>
      <w:r>
        <w:rPr>
          <w:iCs/>
          <w:i/>
        </w:rPr>
        <w:t xml:space="preserve">Ishinpō</w:t>
      </w:r>
      <w:r>
        <w:t xml:space="preserve">, Seikidō Bunko-zō</w:t>
      </w:r>
      <w:r>
        <w:t xml:space="preserve"> </w:t>
      </w:r>
      <w:r>
        <w:rPr>
          <w:iCs/>
          <w:i/>
        </w:rPr>
        <w:t xml:space="preserve">Ishinpō</w:t>
      </w:r>
      <w:r>
        <w:t xml:space="preserve"> </w:t>
      </w:r>
      <w:r>
        <w:t xml:space="preserve">ni okeru Fukun no Kiban:</w:t>
      </w:r>
      <w:r>
        <w:t xml:space="preserve"> </w:t>
      </w:r>
      <w:r>
        <w:rPr>
          <w:iCs/>
          <w:i/>
        </w:rPr>
        <w:t xml:space="preserve">Wamyō Ruijushō</w:t>
      </w:r>
      <w:r>
        <w:t xml:space="preserve">,</w:t>
      </w:r>
      <w:r>
        <w:t xml:space="preserve"> </w:t>
      </w:r>
      <w:r>
        <w:rPr>
          <w:iCs/>
          <w:i/>
        </w:rPr>
        <w:t xml:space="preserve">Honzō Wamyō</w:t>
      </w:r>
      <w:r>
        <w:t xml:space="preserve"> </w:t>
      </w:r>
      <w:r>
        <w:t xml:space="preserve">to no Hikaku o Tōshite</w:t>
      </w:r>
      <w:r>
        <w:t xml:space="preserve">”</w:t>
      </w:r>
      <w:r>
        <w:t xml:space="preserve"> </w:t>
      </w:r>
      <w:r>
        <w:t xml:space="preserve">(The Basis of Kun-Reading Annotations in the Shoryōbu and Seikidō Bunko Manuscripts of the</w:t>
      </w:r>
      <w:r>
        <w:t xml:space="preserve"> </w:t>
      </w:r>
      <w:r>
        <w:rPr>
          <w:iCs/>
          <w:i/>
        </w:rPr>
        <w:t xml:space="preserve">Ishinpō</w:t>
      </w:r>
      <w:r>
        <w:t xml:space="preserve">: Through Comparison with the</w:t>
      </w:r>
      <w:r>
        <w:t xml:space="preserve"> </w:t>
      </w:r>
      <w:r>
        <w:rPr>
          <w:iCs/>
          <w:i/>
        </w:rPr>
        <w:t xml:space="preserve">Wamyō Ruijushō</w:t>
      </w:r>
      <w:r>
        <w:t xml:space="preserve"> </w:t>
      </w:r>
      <w:r>
        <w:t xml:space="preserve">and</w:t>
      </w:r>
      <w:r>
        <w:t xml:space="preserve"> </w:t>
      </w:r>
      <w:r>
        <w:rPr>
          <w:iCs/>
          <w:i/>
        </w:rPr>
        <w:t xml:space="preserve">Honzō Wamyō</w:t>
      </w:r>
      <w:r>
        <w:t xml:space="preserve">).</w:t>
      </w:r>
      <w:r>
        <w:t xml:space="preserve"> </w:t>
      </w:r>
      <w:r>
        <w:rPr>
          <w:iCs/>
          <w:i/>
        </w:rPr>
        <w:t xml:space="preserve">Kamakura Jidaigo Kenkyū</w:t>
      </w:r>
      <w:r>
        <w:t xml:space="preserve"> </w:t>
      </w:r>
      <w:r>
        <w:t xml:space="preserve">3 (1980): 133–154.</w:t>
      </w:r>
    </w:p>
    <w:p>
      <w:pPr>
        <w:numPr>
          <w:ilvl w:val="0"/>
          <w:numId w:val="1252"/>
        </w:numPr>
        <w:pStyle w:val="Compact"/>
      </w:pPr>
      <w:r>
        <w:t xml:space="preserve">Inukai, Morimasa.</w:t>
      </w:r>
      <w:r>
        <w:t xml:space="preserve"> </w:t>
      </w:r>
      <w:r>
        <w:t xml:space="preserve">“</w:t>
      </w:r>
      <w:r>
        <w:rPr>
          <w:iCs/>
          <w:i/>
        </w:rPr>
        <w:t xml:space="preserve">Ruiju Myōgishō</w:t>
      </w:r>
      <w:r>
        <w:t xml:space="preserve">: Kanchi-in bon to Renjō-in bon to no</w:t>
      </w:r>
      <w:r>
        <w:t xml:space="preserve"> </w:t>
      </w:r>
      <w:r>
        <w:t xml:space="preserve">‘</w:t>
      </w:r>
      <w:r>
        <w:t xml:space="preserve">Zatsu</w:t>
      </w:r>
      <w:r>
        <w:t xml:space="preserve">’</w:t>
      </w:r>
      <w:r>
        <w:t xml:space="preserve"> </w:t>
      </w:r>
      <w:r>
        <w:t xml:space="preserve">Bu no Hikaku Taishō (Ge)</w:t>
      </w:r>
      <w:r>
        <w:t xml:space="preserve">”</w:t>
      </w:r>
      <w:r>
        <w:t xml:space="preserve"> </w:t>
      </w:r>
      <w:r>
        <w:t xml:space="preserve">(A Comparative Study of the</w:t>
      </w:r>
      <w:r>
        <w:t xml:space="preserve"> </w:t>
      </w:r>
      <w:r>
        <w:t xml:space="preserve">‘</w:t>
      </w:r>
      <w:r>
        <w:t xml:space="preserve">Miscellaneous</w:t>
      </w:r>
      <w:r>
        <w:t xml:space="preserve">’</w:t>
      </w:r>
      <w:r>
        <w:t xml:space="preserve"> </w:t>
      </w:r>
      <w:r>
        <w:t xml:space="preserve">Section of the</w:t>
      </w:r>
      <w:r>
        <w:t xml:space="preserve"> </w:t>
      </w:r>
      <w:r>
        <w:rPr>
          <w:iCs/>
          <w:i/>
        </w:rPr>
        <w:t xml:space="preserve">Ruiju Myōgishō</w:t>
      </w:r>
      <w:r>
        <w:t xml:space="preserve">: Kanchi-in and Renjō-in Manuscripts, Part 3).</w:t>
      </w:r>
      <w:r>
        <w:t xml:space="preserve"> </w:t>
      </w:r>
      <w:r>
        <w:rPr>
          <w:iCs/>
          <w:i/>
        </w:rPr>
        <w:t xml:space="preserve">Sugiyama Jogakuen Daigaku Kenkyū Ronshū</w:t>
      </w:r>
      <w:r>
        <w:t xml:space="preserve"> </w:t>
      </w:r>
      <w:r>
        <w:t xml:space="preserve">13, no. 2 (1981).</w:t>
      </w:r>
    </w:p>
    <w:p>
      <w:pPr>
        <w:numPr>
          <w:ilvl w:val="0"/>
          <w:numId w:val="1252"/>
        </w:numPr>
        <w:pStyle w:val="Compact"/>
      </w:pPr>
      <w:r>
        <w:t xml:space="preserve">Takase, Shōichi.</w:t>
      </w:r>
      <w:r>
        <w:t xml:space="preserve"> </w:t>
      </w:r>
      <w:r>
        <w:t xml:space="preserve">“</w:t>
      </w:r>
      <w:r>
        <w:t xml:space="preserve">Wakun yori Mita</w:t>
      </w:r>
      <w:r>
        <w:t xml:space="preserve"> </w:t>
      </w:r>
      <w:r>
        <w:t xml:space="preserve">‘</w:t>
      </w:r>
      <w:r>
        <w:rPr>
          <w:iCs/>
          <w:i/>
        </w:rPr>
        <w:t xml:space="preserve">Shinsen Jikyō</w:t>
      </w:r>
      <w:r>
        <w:t xml:space="preserve">’</w:t>
      </w:r>
      <w:r>
        <w:t xml:space="preserve"> </w:t>
      </w:r>
      <w:r>
        <w:t xml:space="preserve">to</w:t>
      </w:r>
      <w:r>
        <w:t xml:space="preserve"> </w:t>
      </w:r>
      <w:r>
        <w:t xml:space="preserve">‘</w:t>
      </w:r>
      <w:r>
        <w:rPr>
          <w:iCs/>
          <w:i/>
        </w:rPr>
        <w:t xml:space="preserve">Kanchi-in bon Ruiju Myōgishō</w:t>
      </w:r>
      <w:r>
        <w:t xml:space="preserve">’</w:t>
      </w:r>
      <w:r>
        <w:t xml:space="preserve"> </w:t>
      </w:r>
      <w:r>
        <w:t xml:space="preserve">ni Tsuite</w:t>
      </w:r>
      <w:r>
        <w:t xml:space="preserve">”</w:t>
      </w:r>
      <w:r>
        <w:t xml:space="preserve"> </w:t>
      </w:r>
      <w:r>
        <w:t xml:space="preserve">(On the</w:t>
      </w:r>
      <w:r>
        <w:t xml:space="preserve"> </w:t>
      </w:r>
      <w:r>
        <w:rPr>
          <w:iCs/>
          <w:i/>
        </w:rPr>
        <w:t xml:space="preserve">Shinsen Jikyō</w:t>
      </w:r>
      <w:r>
        <w:t xml:space="preserve"> </w:t>
      </w:r>
      <w:r>
        <w:t xml:space="preserve">and the Kanchi-in Manuscript</w:t>
      </w:r>
      <w:r>
        <w:t xml:space="preserve"> </w:t>
      </w:r>
      <w:r>
        <w:rPr>
          <w:iCs/>
          <w:i/>
        </w:rPr>
        <w:t xml:space="preserve">Ruiju Myōgishō</w:t>
      </w:r>
      <w:r>
        <w:t xml:space="preserve">, Viewed from Their</w:t>
      </w:r>
      <w:r>
        <w:t xml:space="preserve"> </w:t>
      </w:r>
      <w:r>
        <w:rPr>
          <w:iCs/>
          <w:i/>
        </w:rPr>
        <w:t xml:space="preserve">Wakun</w:t>
      </w:r>
      <w:r>
        <w:t xml:space="preserve">).</w:t>
      </w:r>
      <w:r>
        <w:t xml:space="preserve"> </w:t>
      </w:r>
      <w:r>
        <w:rPr>
          <w:iCs/>
          <w:i/>
        </w:rPr>
        <w:t xml:space="preserve">Gobun Kenkyū</w:t>
      </w:r>
      <w:r>
        <w:t xml:space="preserve">, nos. 44/45 (1978): 103–114.</w:t>
      </w:r>
    </w:p>
    <w:p>
      <w:pPr>
        <w:numPr>
          <w:ilvl w:val="0"/>
          <w:numId w:val="1252"/>
        </w:numPr>
        <w:pStyle w:val="Compact"/>
      </w:pPr>
      <w:r>
        <w:t xml:space="preserve">Kazama, Rikizō.</w:t>
      </w:r>
      <w:r>
        <w:t xml:space="preserve"> </w:t>
      </w:r>
      <w:r>
        <w:t xml:space="preserve">“</w:t>
      </w:r>
      <w:r>
        <w:rPr>
          <w:iCs/>
          <w:i/>
        </w:rPr>
        <w:t xml:space="preserve">Ruiju Myōgishō</w:t>
      </w:r>
      <w:r>
        <w:t xml:space="preserve"> </w:t>
      </w:r>
      <w:r>
        <w:t xml:space="preserve">no</w:t>
      </w:r>
      <w:r>
        <w:t xml:space="preserve"> </w:t>
      </w:r>
      <w:r>
        <w:rPr>
          <w:iCs/>
          <w:i/>
        </w:rPr>
        <w:t xml:space="preserve">Monzen</w:t>
      </w:r>
      <w:r>
        <w:t xml:space="preserve"> </w:t>
      </w:r>
      <w:r>
        <w:t xml:space="preserve">Yomi</w:t>
      </w:r>
      <w:r>
        <w:t xml:space="preserve">”</w:t>
      </w:r>
      <w:r>
        <w:t xml:space="preserve"> </w:t>
      </w:r>
      <w:r>
        <w:t xml:space="preserve">(Readings from the</w:t>
      </w:r>
      <w:r>
        <w:t xml:space="preserve"> </w:t>
      </w:r>
      <w:r>
        <w:rPr>
          <w:iCs/>
          <w:i/>
        </w:rPr>
        <w:t xml:space="preserve">Wén Xuǎn</w:t>
      </w:r>
      <w:r>
        <w:t xml:space="preserve"> </w:t>
      </w:r>
      <w:r>
        <w:t xml:space="preserve">in the</w:t>
      </w:r>
      <w:r>
        <w:t xml:space="preserve"> </w:t>
      </w:r>
      <w:r>
        <w:rPr>
          <w:iCs/>
          <w:i/>
        </w:rPr>
        <w:t xml:space="preserve">Ruiju Myōgishō</w:t>
      </w:r>
      <w:r>
        <w:t xml:space="preserve">).</w:t>
      </w:r>
      <w:r>
        <w:t xml:space="preserve"> </w:t>
      </w:r>
      <w:r>
        <w:rPr>
          <w:iCs/>
          <w:i/>
        </w:rPr>
        <w:t xml:space="preserve">Kōnan Daigaku Kiyō: Bungakuhen</w:t>
      </w:r>
      <w:r>
        <w:t xml:space="preserve"> </w:t>
      </w:r>
      <w:r>
        <w:t xml:space="preserve">36 (1979).</w:t>
      </w:r>
    </w:p>
    <w:p>
      <w:pPr>
        <w:numPr>
          <w:ilvl w:val="0"/>
          <w:numId w:val="1252"/>
        </w:numPr>
        <w:pStyle w:val="Compact"/>
      </w:pPr>
      <w:r>
        <w:t xml:space="preserve">Yamamoto, Hideto.</w:t>
      </w:r>
      <w:r>
        <w:t xml:space="preserve"> </w:t>
      </w:r>
      <w:r>
        <w:t xml:space="preserve">“</w:t>
      </w:r>
      <w:r>
        <w:t xml:space="preserve">Kaihenbon</w:t>
      </w:r>
      <w:r>
        <w:t xml:space="preserve"> </w:t>
      </w:r>
      <w:r>
        <w:rPr>
          <w:iCs/>
          <w:i/>
        </w:rPr>
        <w:t xml:space="preserve">Ruiju Myōgishō</w:t>
      </w:r>
      <w:r>
        <w:t xml:space="preserve"> </w:t>
      </w:r>
      <w:r>
        <w:t xml:space="preserve">ni okeru</w:t>
      </w:r>
      <w:r>
        <w:t xml:space="preserve"> </w:t>
      </w:r>
      <w:r>
        <w:rPr>
          <w:iCs/>
          <w:i/>
        </w:rPr>
        <w:t xml:space="preserve">Monzen</w:t>
      </w:r>
      <w:r>
        <w:t xml:space="preserve"> </w:t>
      </w:r>
      <w:r>
        <w:t xml:space="preserve">Kun no Zōho ni Tsuite</w:t>
      </w:r>
      <w:r>
        <w:t xml:space="preserve">”</w:t>
      </w:r>
      <w:r>
        <w:t xml:space="preserve"> </w:t>
      </w:r>
      <w:r>
        <w:t xml:space="preserve">(On the Augmentation of</w:t>
      </w:r>
      <w:r>
        <w:t xml:space="preserve"> </w:t>
      </w:r>
      <w:r>
        <w:rPr>
          <w:iCs/>
          <w:i/>
        </w:rPr>
        <w:t xml:space="preserve">Monzen</w:t>
      </w:r>
      <w:r>
        <w:t xml:space="preserve"> </w:t>
      </w:r>
      <w:r>
        <w:t xml:space="preserve">Readings in the Revised</w:t>
      </w:r>
      <w:r>
        <w:t xml:space="preserve"> </w:t>
      </w:r>
      <w:r>
        <w:rPr>
          <w:iCs/>
          <w:i/>
        </w:rPr>
        <w:t xml:space="preserve">Ruiju Myōgishō</w:t>
      </w:r>
      <w:r>
        <w:t xml:space="preserve">).</w:t>
      </w:r>
      <w:r>
        <w:t xml:space="preserve"> </w:t>
      </w:r>
      <w:r>
        <w:rPr>
          <w:iCs/>
          <w:i/>
        </w:rPr>
        <w:t xml:space="preserve">Kokubungaku Kō</w:t>
      </w:r>
      <w:r>
        <w:t xml:space="preserve"> </w:t>
      </w:r>
      <w:r>
        <w:t xml:space="preserve">105 (1985).</w:t>
      </w:r>
    </w:p>
    <w:p>
      <w:pPr>
        <w:numPr>
          <w:ilvl w:val="0"/>
          <w:numId w:val="1252"/>
        </w:numPr>
        <w:pStyle w:val="Compact"/>
      </w:pPr>
      <w:r>
        <w:t xml:space="preserve">Yamamoto, Hideto.</w:t>
      </w:r>
      <w:r>
        <w:t xml:space="preserve"> </w:t>
      </w:r>
      <w:r>
        <w:t xml:space="preserve">“</w:t>
      </w:r>
      <w:r>
        <w:t xml:space="preserve">Renjō-in bon</w:t>
      </w:r>
      <w:r>
        <w:t xml:space="preserve"> </w:t>
      </w:r>
      <w:r>
        <w:rPr>
          <w:iCs/>
          <w:i/>
        </w:rPr>
        <w:t xml:space="preserve">Ruiju Myōgishō</w:t>
      </w:r>
      <w:r>
        <w:t xml:space="preserve"> </w:t>
      </w:r>
      <w:r>
        <w:t xml:space="preserve">no Seiritsu ni Tsuite: Ishitsu na Honbun o Yūsuru Bubun no Sonzai to sono Sojō</w:t>
      </w:r>
      <w:r>
        <w:t xml:space="preserve">”</w:t>
      </w:r>
      <w:r>
        <w:t xml:space="preserve"> </w:t>
      </w:r>
      <w:r>
        <w:t xml:space="preserve">(On the Formation of the Renjō-in Manuscript</w:t>
      </w:r>
      <w:r>
        <w:t xml:space="preserve"> </w:t>
      </w:r>
      <w:r>
        <w:rPr>
          <w:iCs/>
          <w:i/>
        </w:rPr>
        <w:t xml:space="preserve">Ruiju Myōgishō</w:t>
      </w:r>
      <w:r>
        <w:t xml:space="preserve">: The Existence and Origin of Sections with Heterogeneous Text).</w:t>
      </w:r>
      <w:r>
        <w:t xml:space="preserve"> </w:t>
      </w:r>
      <w:r>
        <w:rPr>
          <w:iCs/>
          <w:i/>
        </w:rPr>
        <w:t xml:space="preserve">Kamakura Jidaigo Kenkyū</w:t>
      </w:r>
      <w:r>
        <w:t xml:space="preserve"> </w:t>
      </w:r>
      <w:r>
        <w:t xml:space="preserve">8 (1985): 134–159.</w:t>
      </w:r>
    </w:p>
    <w:p>
      <w:pPr>
        <w:numPr>
          <w:ilvl w:val="0"/>
          <w:numId w:val="1252"/>
        </w:numPr>
        <w:pStyle w:val="Compact"/>
      </w:pPr>
      <w:r>
        <w:t xml:space="preserve">Yamamoto, Hideto.</w:t>
      </w:r>
      <w:r>
        <w:t xml:space="preserve"> </w:t>
      </w:r>
      <w:r>
        <w:t xml:space="preserve">“</w:t>
      </w:r>
      <w:r>
        <w:t xml:space="preserve">Kaihenbon</w:t>
      </w:r>
      <w:r>
        <w:t xml:space="preserve"> </w:t>
      </w:r>
      <w:r>
        <w:rPr>
          <w:iCs/>
          <w:i/>
        </w:rPr>
        <w:t xml:space="preserve">Ruiju Myōgishō</w:t>
      </w:r>
      <w:r>
        <w:t xml:space="preserve"> </w:t>
      </w:r>
      <w:r>
        <w:t xml:space="preserve">ni okeru</w:t>
      </w:r>
      <w:r>
        <w:t xml:space="preserve"> </w:t>
      </w:r>
      <w:r>
        <w:rPr>
          <w:iCs/>
          <w:i/>
        </w:rPr>
        <w:t xml:space="preserve">Shinsen Jikyō</w:t>
      </w:r>
      <w:r>
        <w:t xml:space="preserve"> </w:t>
      </w:r>
      <w:r>
        <w:t xml:space="preserve">o Shutten to suru Wakun no Zōho ni Tsuite: Jukujikun o Taishō to shite</w:t>
      </w:r>
      <w:r>
        <w:t xml:space="preserve">”</w:t>
      </w:r>
      <w:r>
        <w:t xml:space="preserve"> </w:t>
      </w:r>
      <w:r>
        <w:t xml:space="preserve">(On the Augmentation of</w:t>
      </w:r>
      <w:r>
        <w:t xml:space="preserve"> </w:t>
      </w:r>
      <w:r>
        <w:rPr>
          <w:iCs/>
          <w:i/>
        </w:rPr>
        <w:t xml:space="preserve">Wakun</w:t>
      </w:r>
      <w:r>
        <w:t xml:space="preserve"> </w:t>
      </w:r>
      <w:r>
        <w:t xml:space="preserve">Sourced from the</w:t>
      </w:r>
      <w:r>
        <w:t xml:space="preserve"> </w:t>
      </w:r>
      <w:r>
        <w:rPr>
          <w:iCs/>
          <w:i/>
        </w:rPr>
        <w:t xml:space="preserve">Shinsen Jikyō</w:t>
      </w:r>
      <w:r>
        <w:t xml:space="preserve"> </w:t>
      </w:r>
      <w:r>
        <w:t xml:space="preserve">in the Revised</w:t>
      </w:r>
      <w:r>
        <w:t xml:space="preserve"> </w:t>
      </w:r>
      <w:r>
        <w:rPr>
          <w:iCs/>
          <w:i/>
        </w:rPr>
        <w:t xml:space="preserve">Ruiju Myōgishō</w:t>
      </w:r>
      <w:r>
        <w:t xml:space="preserve">: Focusing on Compound-Character Readings).</w:t>
      </w:r>
      <w:r>
        <w:t xml:space="preserve"> </w:t>
      </w:r>
      <w:r>
        <w:rPr>
          <w:iCs/>
          <w:i/>
        </w:rPr>
        <w:t xml:space="preserve">Kokugogaku</w:t>
      </w:r>
      <w:r>
        <w:t xml:space="preserve"> </w:t>
      </w:r>
      <w:r>
        <w:t xml:space="preserve">144 (1986).</w:t>
      </w:r>
    </w:p>
    <w:p>
      <w:pPr>
        <w:numPr>
          <w:ilvl w:val="0"/>
          <w:numId w:val="1252"/>
        </w:numPr>
        <w:pStyle w:val="Compact"/>
      </w:pPr>
      <w:r>
        <w:t xml:space="preserve">Yamamoto, Hideto.</w:t>
      </w:r>
      <w:r>
        <w:t xml:space="preserve"> </w:t>
      </w:r>
      <w:r>
        <w:t xml:space="preserve">“</w:t>
      </w:r>
      <w:r>
        <w:rPr>
          <w:iCs/>
          <w:i/>
        </w:rPr>
        <w:t xml:space="preserve">Ruiju Myōgishō</w:t>
      </w:r>
      <w:r>
        <w:t xml:space="preserve"> </w:t>
      </w:r>
      <w:r>
        <w:t xml:space="preserve">ni okeru</w:t>
      </w:r>
      <w:r>
        <w:t xml:space="preserve"> </w:t>
      </w:r>
      <w:r>
        <w:rPr>
          <w:iCs/>
          <w:i/>
        </w:rPr>
        <w:t xml:space="preserve">Wamyō Ruijushō</w:t>
      </w:r>
      <w:r>
        <w:t xml:space="preserve"> </w:t>
      </w:r>
      <w:r>
        <w:t xml:space="preserve">o Shutten to suru Wakun no Sesshuhō ni Tsuite: Gensenbon Hensan, Kaihen, Kaihengo no Zōho, no San Dankai ni Chakumoku shite</w:t>
      </w:r>
      <w:r>
        <w:t xml:space="preserve">”</w:t>
      </w:r>
      <w:r>
        <w:t xml:space="preserve"> </w:t>
      </w:r>
      <w:r>
        <w:t xml:space="preserve">(On the Method of Adopting</w:t>
      </w:r>
      <w:r>
        <w:t xml:space="preserve"> </w:t>
      </w:r>
      <w:r>
        <w:rPr>
          <w:iCs/>
          <w:i/>
        </w:rPr>
        <w:t xml:space="preserve">Wakun</w:t>
      </w:r>
      <w:r>
        <w:t xml:space="preserve"> </w:t>
      </w:r>
      <w:r>
        <w:t xml:space="preserve">Sourced from the</w:t>
      </w:r>
      <w:r>
        <w:t xml:space="preserve"> </w:t>
      </w:r>
      <w:r>
        <w:rPr>
          <w:iCs/>
          <w:i/>
        </w:rPr>
        <w:t xml:space="preserve">Wamyō Ruijushō</w:t>
      </w:r>
      <w:r>
        <w:t xml:space="preserve"> </w:t>
      </w:r>
      <w:r>
        <w:t xml:space="preserve">in the</w:t>
      </w:r>
      <w:r>
        <w:t xml:space="preserve"> </w:t>
      </w:r>
      <w:r>
        <w:rPr>
          <w:iCs/>
          <w:i/>
        </w:rPr>
        <w:t xml:space="preserve">Ruiju Myōgishō</w:t>
      </w:r>
      <w:r>
        <w:t xml:space="preserve">: Focusing on Three Stages — Original Compilation, Revision, and Post-Revision Augmentation).</w:t>
      </w:r>
      <w:r>
        <w:t xml:space="preserve"> </w:t>
      </w:r>
      <w:r>
        <w:rPr>
          <w:iCs/>
          <w:i/>
        </w:rPr>
        <w:t xml:space="preserve">Hiroshima Daigaku Bungakubu Kiyō</w:t>
      </w:r>
      <w:r>
        <w:t xml:space="preserve"> </w:t>
      </w:r>
      <w:r>
        <w:t xml:space="preserve">47 (1988).</w:t>
      </w:r>
    </w:p>
    <w:p>
      <w:pPr>
        <w:numPr>
          <w:ilvl w:val="0"/>
          <w:numId w:val="1252"/>
        </w:numPr>
        <w:pStyle w:val="Compact"/>
      </w:pPr>
      <w:r>
        <w:t xml:space="preserve">Yamamoto, Shingo.</w:t>
      </w:r>
      <w:r>
        <w:t xml:space="preserve"> </w:t>
      </w:r>
      <w:r>
        <w:t xml:space="preserve">“</w:t>
      </w:r>
      <w:r>
        <w:t xml:space="preserve">Keiō Gijuku Toshokan-zō</w:t>
      </w:r>
      <w:r>
        <w:t xml:space="preserve"> </w:t>
      </w:r>
      <w:r>
        <w:rPr>
          <w:iCs/>
          <w:i/>
        </w:rPr>
        <w:t xml:space="preserve">Shōryōshū Ryakuchū</w:t>
      </w:r>
      <w:r>
        <w:t xml:space="preserve"> </w:t>
      </w:r>
      <w:r>
        <w:t xml:space="preserve">Shuttenkō:</w:t>
      </w:r>
      <w:r>
        <w:t xml:space="preserve"> </w:t>
      </w:r>
      <w:r>
        <w:rPr>
          <w:iCs/>
          <w:i/>
        </w:rPr>
        <w:t xml:space="preserve">Ruiju Myōgishō</w:t>
      </w:r>
      <w:r>
        <w:t xml:space="preserve"> </w:t>
      </w:r>
      <w:r>
        <w:t xml:space="preserve">kara no In’yō o Chūshin to shite</w:t>
      </w:r>
      <w:r>
        <w:t xml:space="preserve">”</w:t>
      </w:r>
      <w:r>
        <w:t xml:space="preserve"> </w:t>
      </w:r>
      <w:r>
        <w:t xml:space="preserve">(A Study of the Sources of the</w:t>
      </w:r>
      <w:r>
        <w:t xml:space="preserve"> </w:t>
      </w:r>
      <w:r>
        <w:rPr>
          <w:iCs/>
          <w:i/>
        </w:rPr>
        <w:t xml:space="preserve">Shōryōshū Ryakuchū</w:t>
      </w:r>
      <w:r>
        <w:t xml:space="preserve"> </w:t>
      </w:r>
      <w:r>
        <w:t xml:space="preserve">Held by the Keio University Library: Focusing on Citations from the</w:t>
      </w:r>
      <w:r>
        <w:t xml:space="preserve"> </w:t>
      </w:r>
      <w:r>
        <w:rPr>
          <w:iCs/>
          <w:i/>
        </w:rPr>
        <w:t xml:space="preserve">Ruiju Myōgishō</w:t>
      </w:r>
      <w:r>
        <w:t xml:space="preserve">).</w:t>
      </w:r>
      <w:r>
        <w:t xml:space="preserve"> </w:t>
      </w:r>
      <w:r>
        <w:rPr>
          <w:iCs/>
          <w:i/>
        </w:rPr>
        <w:t xml:space="preserve">Kamakura Jidaigo Kenkyū</w:t>
      </w:r>
      <w:r>
        <w:t xml:space="preserve"> </w:t>
      </w:r>
      <w:r>
        <w:t xml:space="preserve">14 (1991): 32–55.</w:t>
      </w:r>
    </w:p>
    <w:p>
      <w:pPr>
        <w:numPr>
          <w:ilvl w:val="0"/>
          <w:numId w:val="1252"/>
        </w:numPr>
        <w:pStyle w:val="Compact"/>
      </w:pPr>
      <w:r>
        <w:t xml:space="preserve">Soeda, Kenjirō.</w:t>
      </w:r>
      <w:r>
        <w:t xml:space="preserve"> </w:t>
      </w:r>
      <w:r>
        <w:t xml:space="preserve">“</w:t>
      </w:r>
      <w:r>
        <w:t xml:space="preserve">Zushoryōbon</w:t>
      </w:r>
      <w:r>
        <w:t xml:space="preserve"> </w:t>
      </w:r>
      <w:r>
        <w:rPr>
          <w:iCs/>
          <w:i/>
        </w:rPr>
        <w:t xml:space="preserve">Ruiju Myōgishō</w:t>
      </w:r>
      <w:r>
        <w:t xml:space="preserve"> </w:t>
      </w:r>
      <w:r>
        <w:t xml:space="preserve">ni Mirareru</w:t>
      </w:r>
      <w:r>
        <w:t xml:space="preserve"> </w:t>
      </w:r>
      <w:r>
        <w:t xml:space="preserve">‘</w:t>
      </w:r>
      <w:r>
        <w:t xml:space="preserve">Chōfuku Sasei</w:t>
      </w:r>
      <w:r>
        <w:t xml:space="preserve">’</w:t>
      </w:r>
      <w:r>
        <w:t xml:space="preserve"> </w:t>
      </w:r>
      <w:r>
        <w:t xml:space="preserve">no Igi ni Tsuite</w:t>
      </w:r>
      <w:r>
        <w:t xml:space="preserve">”</w:t>
      </w:r>
      <w:r>
        <w:t xml:space="preserve"> </w:t>
      </w:r>
      <w:r>
        <w:t xml:space="preserve">(On the Significance of</w:t>
      </w:r>
      <w:r>
        <w:t xml:space="preserve"> </w:t>
      </w:r>
      <w:r>
        <w:t xml:space="preserve">“</w:t>
      </w:r>
      <w:r>
        <w:t xml:space="preserve">Duplicate Differential Tone Marks</w:t>
      </w:r>
      <w:r>
        <w:t xml:space="preserve">”</w:t>
      </w:r>
      <w:r>
        <w:t xml:space="preserve"> </w:t>
      </w:r>
      <w:r>
        <w:t xml:space="preserve">Found in the Zushoryōbon</w:t>
      </w:r>
      <w:r>
        <w:t xml:space="preserve"> </w:t>
      </w:r>
      <w:r>
        <w:rPr>
          <w:iCs/>
          <w:i/>
        </w:rPr>
        <w:t xml:space="preserve">Ruiju Myōgishō</w:t>
      </w:r>
      <w:r>
        <w:t xml:space="preserve">).</w:t>
      </w:r>
      <w:r>
        <w:t xml:space="preserve"> </w:t>
      </w:r>
      <w:r>
        <w:rPr>
          <w:iCs/>
          <w:i/>
        </w:rPr>
        <w:t xml:space="preserve">Yamaguchi Kokubun</w:t>
      </w:r>
      <w:r>
        <w:t xml:space="preserve"> </w:t>
      </w:r>
      <w:r>
        <w:t xml:space="preserve">15 (1992): 86–99.</w:t>
      </w:r>
    </w:p>
    <w:p>
      <w:pPr>
        <w:numPr>
          <w:ilvl w:val="0"/>
          <w:numId w:val="1252"/>
        </w:numPr>
        <w:pStyle w:val="Compact"/>
      </w:pPr>
      <w:r>
        <w:t xml:space="preserve">Kusakawa, Noboru.</w:t>
      </w:r>
      <w:r>
        <w:t xml:space="preserve"> </w:t>
      </w:r>
      <w:r>
        <w:t xml:space="preserve">“</w:t>
      </w:r>
      <w:r>
        <w:rPr>
          <w:iCs/>
          <w:i/>
        </w:rPr>
        <w:t xml:space="preserve">Ruiju Myōgishō</w:t>
      </w:r>
      <w:r>
        <w:t xml:space="preserve"> </w:t>
      </w:r>
      <w:r>
        <w:t xml:space="preserve">Wakun Shōkō</w:t>
      </w:r>
      <w:r>
        <w:t xml:space="preserve">”</w:t>
      </w:r>
      <w:r>
        <w:t xml:space="preserve"> </w:t>
      </w:r>
      <w:r>
        <w:t xml:space="preserve">(A Short Study of the</w:t>
      </w:r>
      <w:r>
        <w:t xml:space="preserve"> </w:t>
      </w:r>
      <w:r>
        <w:rPr>
          <w:iCs/>
          <w:i/>
        </w:rPr>
        <w:t xml:space="preserve">Wakun</w:t>
      </w:r>
      <w:r>
        <w:t xml:space="preserve"> </w:t>
      </w:r>
      <w:r>
        <w:t xml:space="preserve">in the</w:t>
      </w:r>
      <w:r>
        <w:t xml:space="preserve"> </w:t>
      </w:r>
      <w:r>
        <w:rPr>
          <w:iCs/>
          <w:i/>
        </w:rPr>
        <w:t xml:space="preserve">Ruiju Myōgishō</w:t>
      </w:r>
      <w:r>
        <w:t xml:space="preserve">). In</w:t>
      </w:r>
      <w:r>
        <w:t xml:space="preserve"> </w:t>
      </w:r>
      <w:r>
        <w:rPr>
          <w:iCs/>
          <w:i/>
        </w:rPr>
        <w:t xml:space="preserve">Nihongo Ronkyū 2: Koten Nihongo to Jisho</w:t>
      </w:r>
      <w:r>
        <w:t xml:space="preserve"> </w:t>
      </w:r>
      <w:r>
        <w:t xml:space="preserve">(Japanese Language Studies 2: Classical Japanese and Dictionaries), 23–49. Osaka: Izumi Shoin, 1992.</w:t>
      </w:r>
    </w:p>
    <w:p>
      <w:pPr>
        <w:numPr>
          <w:ilvl w:val="0"/>
          <w:numId w:val="1252"/>
        </w:numPr>
        <w:pStyle w:val="Compact"/>
      </w:pPr>
      <w:r>
        <w:t xml:space="preserve">Kōno, Toshihiro.</w:t>
      </w:r>
      <w:r>
        <w:t xml:space="preserve"> </w:t>
      </w:r>
      <w:r>
        <w:t xml:space="preserve">“</w:t>
      </w:r>
      <w:r>
        <w:t xml:space="preserve">Kanchi-in bon</w:t>
      </w:r>
      <w:r>
        <w:t xml:space="preserve"> </w:t>
      </w:r>
      <w:r>
        <w:rPr>
          <w:iCs/>
          <w:i/>
        </w:rPr>
        <w:t xml:space="preserve">Ruiju Myōgishō</w:t>
      </w:r>
      <w:r>
        <w:t xml:space="preserve"> </w:t>
      </w:r>
      <w:r>
        <w:t xml:space="preserve">Shoin no</w:t>
      </w:r>
      <w:r>
        <w:t xml:space="preserve"> </w:t>
      </w:r>
      <w:r>
        <w:rPr>
          <w:iCs/>
          <w:i/>
        </w:rPr>
        <w:t xml:space="preserve">Honzō Wamyō</w:t>
      </w:r>
      <w:r>
        <w:t xml:space="preserve"> </w:t>
      </w:r>
      <w:r>
        <w:t xml:space="preserve">ni Tsuite</w:t>
      </w:r>
      <w:r>
        <w:t xml:space="preserve">”</w:t>
      </w:r>
      <w:r>
        <w:t xml:space="preserve"> </w:t>
      </w:r>
      <w:r>
        <w:t xml:space="preserve">(On the</w:t>
      </w:r>
      <w:r>
        <w:t xml:space="preserve"> </w:t>
      </w:r>
      <w:r>
        <w:rPr>
          <w:iCs/>
          <w:i/>
        </w:rPr>
        <w:t xml:space="preserve">Honzō Wamyō</w:t>
      </w:r>
      <w:r>
        <w:t xml:space="preserve"> </w:t>
      </w:r>
      <w:r>
        <w:t xml:space="preserve">Cited in the Kanchi-in Manuscript of the</w:t>
      </w:r>
      <w:r>
        <w:t xml:space="preserve"> </w:t>
      </w:r>
      <w:r>
        <w:rPr>
          <w:iCs/>
          <w:i/>
        </w:rPr>
        <w:t xml:space="preserve">Ruiju Myōgishō</w:t>
      </w:r>
      <w:r>
        <w:t xml:space="preserve">). In</w:t>
      </w:r>
      <w:r>
        <w:t xml:space="preserve"> </w:t>
      </w:r>
      <w:r>
        <w:rPr>
          <w:iCs/>
          <w:i/>
        </w:rPr>
        <w:t xml:space="preserve">Nihongo Ronkyū 2: Koten Nihongo to Jisho</w:t>
      </w:r>
      <w:r>
        <w:t xml:space="preserve">, 69–85. Osaka: Izumi Shoin, 1992.</w:t>
      </w:r>
    </w:p>
    <w:p>
      <w:pPr>
        <w:numPr>
          <w:ilvl w:val="0"/>
          <w:numId w:val="1252"/>
        </w:numPr>
        <w:pStyle w:val="Compact"/>
      </w:pPr>
      <w:r>
        <w:t xml:space="preserve">Ishii, Yukio.</w:t>
      </w:r>
      <w:r>
        <w:t xml:space="preserve"> </w:t>
      </w:r>
      <w:r>
        <w:t xml:space="preserve">“</w:t>
      </w:r>
      <w:r>
        <w:t xml:space="preserve">‘</w:t>
      </w:r>
      <w:r>
        <w:t xml:space="preserve">Shichijō Jisho</w:t>
      </w:r>
      <w:r>
        <w:t xml:space="preserve">’</w:t>
      </w:r>
      <w:r>
        <w:t xml:space="preserve"> </w:t>
      </w:r>
      <w:r>
        <w:t xml:space="preserve">Kō</w:t>
      </w:r>
      <w:r>
        <w:t xml:space="preserve">”</w:t>
      </w:r>
      <w:r>
        <w:t xml:space="preserve"> </w:t>
      </w:r>
      <w:r>
        <w:t xml:space="preserve">(A Study of the</w:t>
      </w:r>
      <w:r>
        <w:t xml:space="preserve"> </w:t>
      </w:r>
      <w:r>
        <w:t xml:space="preserve">“</w:t>
      </w:r>
      <w:r>
        <w:t xml:space="preserve">Shichijō Jisho</w:t>
      </w:r>
      <w:r>
        <w:t xml:space="preserve">”</w:t>
      </w:r>
      <w:r>
        <w:t xml:space="preserve">).</w:t>
      </w:r>
      <w:r>
        <w:t xml:space="preserve"> </w:t>
      </w:r>
      <w:r>
        <w:rPr>
          <w:iCs/>
          <w:i/>
        </w:rPr>
        <w:t xml:space="preserve">Gogaku Bungaku</w:t>
      </w:r>
      <w:r>
        <w:t xml:space="preserve"> </w:t>
      </w:r>
      <w:r>
        <w:t xml:space="preserve">31 (1993): 15–22.</w:t>
      </w:r>
    </w:p>
    <w:p>
      <w:pPr>
        <w:numPr>
          <w:ilvl w:val="0"/>
          <w:numId w:val="1252"/>
        </w:numPr>
        <w:pStyle w:val="Compact"/>
      </w:pPr>
      <w:r>
        <w:t xml:space="preserve">Kuranaka, Susumu.</w:t>
      </w:r>
      <w:r>
        <w:t xml:space="preserve"> </w:t>
      </w:r>
      <w:r>
        <w:rPr>
          <w:iCs/>
          <w:i/>
        </w:rPr>
        <w:t xml:space="preserve">Sokuten Moji no Kenkyū</w:t>
      </w:r>
      <w:r>
        <w:t xml:space="preserve"> </w:t>
      </w:r>
      <w:r>
        <w:t xml:space="preserve">(A Study of the Zetian Characters). Tokyo: Kanrin Shobō, 1995.</w:t>
      </w:r>
    </w:p>
    <w:p>
      <w:pPr>
        <w:numPr>
          <w:ilvl w:val="0"/>
          <w:numId w:val="1252"/>
        </w:numPr>
        <w:pStyle w:val="Compact"/>
      </w:pPr>
      <w:r>
        <w:t xml:space="preserve">Ishii, Yukio.</w:t>
      </w:r>
      <w:r>
        <w:t xml:space="preserve"> </w:t>
      </w:r>
      <w:r>
        <w:t xml:space="preserve">“</w:t>
      </w:r>
      <w:r>
        <w:t xml:space="preserve">‘</w:t>
      </w:r>
      <w:r>
        <w:t xml:space="preserve">Kenenshō</w:t>
      </w:r>
      <w:r>
        <w:t xml:space="preserve">’</w:t>
      </w:r>
      <w:r>
        <w:t xml:space="preserve"> </w:t>
      </w:r>
      <w:r>
        <w:t xml:space="preserve">Shoin Jisho Itsubun Ruijū</w:t>
      </w:r>
      <w:r>
        <w:t xml:space="preserve">”</w:t>
      </w:r>
      <w:r>
        <w:t xml:space="preserve"> </w:t>
      </w:r>
      <w:r>
        <w:t xml:space="preserve">(A Collection of Lost Dictionary Fragments Cited in the</w:t>
      </w:r>
      <w:r>
        <w:t xml:space="preserve"> </w:t>
      </w:r>
      <w:r>
        <w:t xml:space="preserve">“</w:t>
      </w:r>
      <w:r>
        <w:t xml:space="preserve">Kenenshō</w:t>
      </w:r>
      <w:r>
        <w:t xml:space="preserve">”</w:t>
      </w:r>
      <w:r>
        <w:t xml:space="preserve">).</w:t>
      </w:r>
      <w:r>
        <w:t xml:space="preserve"> </w:t>
      </w:r>
      <w:r>
        <w:rPr>
          <w:iCs/>
          <w:i/>
        </w:rPr>
        <w:t xml:space="preserve">Gogaku Bungaku</w:t>
      </w:r>
      <w:r>
        <w:t xml:space="preserve"> </w:t>
      </w:r>
      <w:r>
        <w:t xml:space="preserve">37 (1999): 11–18.</w:t>
      </w:r>
    </w:p>
    <w:p>
      <w:pPr>
        <w:numPr>
          <w:ilvl w:val="0"/>
          <w:numId w:val="1252"/>
        </w:numPr>
        <w:pStyle w:val="Compact"/>
      </w:pPr>
      <w:r>
        <w:t xml:space="preserve">Oh, Miyoung.</w:t>
      </w:r>
      <w:r>
        <w:t xml:space="preserve"> </w:t>
      </w:r>
      <w:r>
        <w:t xml:space="preserve">“</w:t>
      </w:r>
      <w:r>
        <w:t xml:space="preserve">Zushoryōbon</w:t>
      </w:r>
      <w:r>
        <w:t xml:space="preserve"> </w:t>
      </w:r>
      <w:r>
        <w:rPr>
          <w:iCs/>
          <w:i/>
        </w:rPr>
        <w:t xml:space="preserve">Ruiju Myōgishō</w:t>
      </w:r>
      <w:r>
        <w:t xml:space="preserve"> </w:t>
      </w:r>
      <w:r>
        <w:t xml:space="preserve">ni okeru</w:t>
      </w:r>
      <w:r>
        <w:t xml:space="preserve"> </w:t>
      </w:r>
      <w:r>
        <w:rPr>
          <w:iCs/>
          <w:i/>
        </w:rPr>
        <w:t xml:space="preserve">Rongo</w:t>
      </w:r>
      <w:r>
        <w:t xml:space="preserve"> </w:t>
      </w:r>
      <w:r>
        <w:t xml:space="preserve">no Wakun ni Tsuite</w:t>
      </w:r>
      <w:r>
        <w:t xml:space="preserve">”</w:t>
      </w:r>
      <w:r>
        <w:t xml:space="preserve"> </w:t>
      </w:r>
      <w:r>
        <w:t xml:space="preserve">(On the</w:t>
      </w:r>
      <w:r>
        <w:t xml:space="preserve"> </w:t>
      </w:r>
      <w:r>
        <w:rPr>
          <w:iCs/>
          <w:i/>
        </w:rPr>
        <w:t xml:space="preserve">Wakun</w:t>
      </w:r>
      <w:r>
        <w:t xml:space="preserve"> </w:t>
      </w:r>
      <w:r>
        <w:t xml:space="preserve">Readings from the</w:t>
      </w:r>
      <w:r>
        <w:t xml:space="preserve"> </w:t>
      </w:r>
      <w:r>
        <w:rPr>
          <w:iCs/>
          <w:i/>
        </w:rPr>
        <w:t xml:space="preserve">Analects</w:t>
      </w:r>
      <w:r>
        <w:t xml:space="preserve"> </w:t>
      </w:r>
      <w:r>
        <w:t xml:space="preserve">in the Zushoryō Manuscript</w:t>
      </w:r>
      <w:r>
        <w:t xml:space="preserve"> </w:t>
      </w:r>
      <w:r>
        <w:rPr>
          <w:iCs/>
          <w:i/>
        </w:rPr>
        <w:t xml:space="preserve">Ruiju Myōgishō</w:t>
      </w:r>
      <w:r>
        <w:t xml:space="preserve">).</w:t>
      </w:r>
      <w:r>
        <w:t xml:space="preserve"> </w:t>
      </w:r>
      <w:r>
        <w:rPr>
          <w:iCs/>
          <w:i/>
        </w:rPr>
        <w:t xml:space="preserve">Kokugo Kokubun Kenkyū</w:t>
      </w:r>
      <w:r>
        <w:t xml:space="preserve"> </w:t>
      </w:r>
      <w:r>
        <w:t xml:space="preserve">116 (2000): 35–48.</w:t>
      </w:r>
    </w:p>
    <w:p>
      <w:pPr>
        <w:numPr>
          <w:ilvl w:val="0"/>
          <w:numId w:val="1252"/>
        </w:numPr>
        <w:pStyle w:val="Compact"/>
      </w:pPr>
      <w:r>
        <w:t xml:space="preserve">Yamamoto, Hideto.</w:t>
      </w:r>
      <w:r>
        <w:t xml:space="preserve"> </w:t>
      </w:r>
      <w:r>
        <w:t xml:space="preserve">“</w:t>
      </w:r>
      <w:r>
        <w:t xml:space="preserve">Kaihenbon</w:t>
      </w:r>
      <w:r>
        <w:t xml:space="preserve"> </w:t>
      </w:r>
      <w:r>
        <w:rPr>
          <w:iCs/>
          <w:i/>
        </w:rPr>
        <w:t xml:space="preserve">Ruiju Myōgishō</w:t>
      </w:r>
      <w:r>
        <w:t xml:space="preserve"> </w:t>
      </w:r>
      <w:r>
        <w:t xml:space="preserve">ni okeru Zōho sareta Wakun no</w:t>
      </w:r>
      <w:r>
        <w:t xml:space="preserve"> </w:t>
      </w:r>
      <w:r>
        <w:rPr>
          <w:iCs/>
          <w:i/>
        </w:rPr>
        <w:t xml:space="preserve">Iroha Jiruishō</w:t>
      </w:r>
      <w:r>
        <w:t xml:space="preserve"> </w:t>
      </w:r>
      <w:r>
        <w:t xml:space="preserve">to no Kankei ni Tsuite</w:t>
      </w:r>
      <w:r>
        <w:t xml:space="preserve">”</w:t>
      </w:r>
      <w:r>
        <w:t xml:space="preserve"> </w:t>
      </w:r>
      <w:r>
        <w:t xml:space="preserve">(On the Relationship between</w:t>
      </w:r>
      <w:r>
        <w:t xml:space="preserve"> </w:t>
      </w:r>
      <w:r>
        <w:rPr>
          <w:iCs/>
          <w:i/>
        </w:rPr>
        <w:t xml:space="preserve">Wakun</w:t>
      </w:r>
      <w:r>
        <w:t xml:space="preserve"> </w:t>
      </w:r>
      <w:r>
        <w:t xml:space="preserve">Added in the Revised</w:t>
      </w:r>
      <w:r>
        <w:t xml:space="preserve"> </w:t>
      </w:r>
      <w:r>
        <w:rPr>
          <w:iCs/>
          <w:i/>
        </w:rPr>
        <w:t xml:space="preserve">Ruiju Myōgishō</w:t>
      </w:r>
      <w:r>
        <w:t xml:space="preserve"> </w:t>
      </w:r>
      <w:r>
        <w:t xml:space="preserve">and the</w:t>
      </w:r>
      <w:r>
        <w:t xml:space="preserve"> </w:t>
      </w:r>
      <w:r>
        <w:rPr>
          <w:iCs/>
          <w:i/>
        </w:rPr>
        <w:t xml:space="preserve">Iroha Jiruishō</w:t>
      </w:r>
      <w:r>
        <w:t xml:space="preserve">).</w:t>
      </w:r>
      <w:r>
        <w:t xml:space="preserve"> </w:t>
      </w:r>
      <w:r>
        <w:rPr>
          <w:iCs/>
          <w:i/>
        </w:rPr>
        <w:t xml:space="preserve">Kōchidai Kokubun</w:t>
      </w:r>
      <w:r>
        <w:t xml:space="preserve"> </w:t>
      </w:r>
      <w:r>
        <w:t xml:space="preserve">31 (2000): 1–20.</w:t>
      </w:r>
    </w:p>
    <w:p>
      <w:pPr>
        <w:numPr>
          <w:ilvl w:val="0"/>
          <w:numId w:val="1252"/>
        </w:numPr>
        <w:pStyle w:val="Compact"/>
      </w:pPr>
      <w:r>
        <w:t xml:space="preserve">Yamamoto, Hideto.</w:t>
      </w:r>
      <w:r>
        <w:t xml:space="preserve"> </w:t>
      </w:r>
      <w:r>
        <w:t xml:space="preserve">“</w:t>
      </w:r>
      <w:r>
        <w:rPr>
          <w:iCs/>
          <w:i/>
        </w:rPr>
        <w:t xml:space="preserve">Ruiju Myōgishō</w:t>
      </w:r>
      <w:r>
        <w:t xml:space="preserve"> </w:t>
      </w:r>
      <w:r>
        <w:t xml:space="preserve">ni okeru</w:t>
      </w:r>
      <w:r>
        <w:t xml:space="preserve"> </w:t>
      </w:r>
      <w:r>
        <w:rPr>
          <w:iCs/>
          <w:i/>
        </w:rPr>
        <w:t xml:space="preserve">Shiki</w:t>
      </w:r>
      <w:r>
        <w:t xml:space="preserve"> </w:t>
      </w:r>
      <w:r>
        <w:t xml:space="preserve">no Kun no Sairoku ni Tsuite: Zushoryōbon ni okeru Fusairoku no Kun o Chūshin ni</w:t>
      </w:r>
      <w:r>
        <w:t xml:space="preserve">”</w:t>
      </w:r>
      <w:r>
        <w:t xml:space="preserve"> </w:t>
      </w:r>
      <w:r>
        <w:t xml:space="preserve">(On the Recording of</w:t>
      </w:r>
      <w:r>
        <w:t xml:space="preserve"> </w:t>
      </w:r>
      <w:r>
        <w:rPr>
          <w:iCs/>
          <w:i/>
        </w:rPr>
        <w:t xml:space="preserve">Shǐjì</w:t>
      </w:r>
      <w:r>
        <w:t xml:space="preserve"> </w:t>
      </w:r>
      <w:r>
        <w:t xml:space="preserve">Readings in the</w:t>
      </w:r>
      <w:r>
        <w:t xml:space="preserve"> </w:t>
      </w:r>
      <w:r>
        <w:rPr>
          <w:iCs/>
          <w:i/>
        </w:rPr>
        <w:t xml:space="preserve">Ruiju Myōgishō</w:t>
      </w:r>
      <w:r>
        <w:t xml:space="preserve">: Focusing on Readings Not Recorded in the Zushoryōbon).</w:t>
      </w:r>
      <w:r>
        <w:t xml:space="preserve"> </w:t>
      </w:r>
      <w:r>
        <w:rPr>
          <w:iCs/>
          <w:i/>
        </w:rPr>
        <w:t xml:space="preserve">Kamakura Jidaigo Kenkyū</w:t>
      </w:r>
      <w:r>
        <w:t xml:space="preserve"> </w:t>
      </w:r>
      <w:r>
        <w:t xml:space="preserve">23 (Tokyo: Musashino Shoin, 2000): 466–491.</w:t>
      </w:r>
    </w:p>
    <w:p>
      <w:pPr>
        <w:numPr>
          <w:ilvl w:val="0"/>
          <w:numId w:val="1252"/>
        </w:numPr>
        <w:pStyle w:val="Compact"/>
      </w:pPr>
      <w:r>
        <w:t xml:space="preserve">Yamamoto, Hideto.</w:t>
      </w:r>
      <w:r>
        <w:t xml:space="preserve"> </w:t>
      </w:r>
      <w:r>
        <w:t xml:space="preserve">“</w:t>
      </w:r>
      <w:r>
        <w:t xml:space="preserve">Zushoryōbon</w:t>
      </w:r>
      <w:r>
        <w:t xml:space="preserve"> </w:t>
      </w:r>
      <w:r>
        <w:rPr>
          <w:iCs/>
          <w:i/>
        </w:rPr>
        <w:t xml:space="preserve">Ruiju Myōgishō</w:t>
      </w:r>
      <w:r>
        <w:t xml:space="preserve"> </w:t>
      </w:r>
      <w:r>
        <w:t xml:space="preserve">ni okeru Shutten Muhyōji no Wakun ni Tsuite: Kokusho no Kun to no Kakawari o Chūshin ni</w:t>
      </w:r>
      <w:r>
        <w:t xml:space="preserve">”</w:t>
      </w:r>
      <w:r>
        <w:t xml:space="preserve"> </w:t>
      </w:r>
      <w:r>
        <w:t xml:space="preserve">(On</w:t>
      </w:r>
      <w:r>
        <w:t xml:space="preserve"> </w:t>
      </w:r>
      <w:r>
        <w:rPr>
          <w:iCs/>
          <w:i/>
        </w:rPr>
        <w:t xml:space="preserve">Wakun</w:t>
      </w:r>
      <w:r>
        <w:t xml:space="preserve"> </w:t>
      </w:r>
      <w:r>
        <w:t xml:space="preserve">with No Source Indication in the Zushoryōbon</w:t>
      </w:r>
      <w:r>
        <w:t xml:space="preserve"> </w:t>
      </w:r>
      <w:r>
        <w:rPr>
          <w:iCs/>
          <w:i/>
        </w:rPr>
        <w:t xml:space="preserve">Ruiju Myōgishō</w:t>
      </w:r>
      <w:r>
        <w:t xml:space="preserve">: Focusing on the Relationship with Readings in Japanese Texts).</w:t>
      </w:r>
      <w:r>
        <w:t xml:space="preserve"> </w:t>
      </w:r>
      <w:r>
        <w:rPr>
          <w:iCs/>
          <w:i/>
        </w:rPr>
        <w:t xml:space="preserve">Kōchidai Kokubun</w:t>
      </w:r>
      <w:r>
        <w:t xml:space="preserve"> </w:t>
      </w:r>
      <w:r>
        <w:t xml:space="preserve">32 (2001): 48–72.</w:t>
      </w:r>
    </w:p>
    <w:p>
      <w:pPr>
        <w:numPr>
          <w:ilvl w:val="0"/>
          <w:numId w:val="1252"/>
        </w:numPr>
        <w:pStyle w:val="Compact"/>
      </w:pPr>
      <w:r>
        <w:t xml:space="preserve">Tsukishima, Hiroshi.</w:t>
      </w:r>
      <w:r>
        <w:t xml:space="preserve"> </w:t>
      </w:r>
      <w:r>
        <w:t xml:space="preserve">“</w:t>
      </w:r>
      <w:r>
        <w:t xml:space="preserve">Seikadō Bunko Zōbon</w:t>
      </w:r>
      <w:r>
        <w:t xml:space="preserve"> </w:t>
      </w:r>
      <w:r>
        <w:rPr>
          <w:iCs/>
          <w:i/>
        </w:rPr>
        <w:t xml:space="preserve">Mōshi Teisen</w:t>
      </w:r>
      <w:r>
        <w:t xml:space="preserve"> </w:t>
      </w:r>
      <w:r>
        <w:t xml:space="preserve">Koten Kaisetsu</w:t>
      </w:r>
      <w:r>
        <w:t xml:space="preserve">”</w:t>
      </w:r>
      <w:r>
        <w:t xml:space="preserve"> </w:t>
      </w:r>
      <w:r>
        <w:t xml:space="preserve">(Commentary on the Old Glosses of the Seikadō Bunko Manuscript of the</w:t>
      </w:r>
      <w:r>
        <w:t xml:space="preserve"> </w:t>
      </w:r>
      <w:r>
        <w:rPr>
          <w:iCs/>
          <w:i/>
        </w:rPr>
        <w:t xml:space="preserve">Maoshi Zhengjian</w:t>
      </w:r>
      <w:r>
        <w:t xml:space="preserve">). In</w:t>
      </w:r>
      <w:r>
        <w:t xml:space="preserve"> </w:t>
      </w:r>
      <w:r>
        <w:rPr>
          <w:iCs/>
          <w:i/>
        </w:rPr>
        <w:t xml:space="preserve">Mōshi Teisen (San)</w:t>
      </w:r>
      <w:r>
        <w:t xml:space="preserve"> </w:t>
      </w:r>
      <w:r>
        <w:t xml:space="preserve">(Koten Kenkyūkai Sōsho, Kanseki no Bu 3). Tokyo: Kyūko Shoin, 2004.</w:t>
      </w:r>
    </w:p>
    <w:p>
      <w:pPr>
        <w:numPr>
          <w:ilvl w:val="0"/>
          <w:numId w:val="1252"/>
        </w:numPr>
        <w:pStyle w:val="Compact"/>
      </w:pPr>
      <w:r>
        <w:t xml:space="preserve">Takahashi, Hiroyuki.</w:t>
      </w:r>
      <w:r>
        <w:t xml:space="preserve"> </w:t>
      </w:r>
      <w:r>
        <w:t xml:space="preserve">“</w:t>
      </w:r>
      <w:r>
        <w:rPr>
          <w:iCs/>
          <w:i/>
        </w:rPr>
        <w:t xml:space="preserve">Zushoryōbon Ruiju Myōgishō</w:t>
      </w:r>
      <w:r>
        <w:t xml:space="preserve"> </w:t>
      </w:r>
      <w:r>
        <w:t xml:space="preserve">Shoin</w:t>
      </w:r>
      <w:r>
        <w:t xml:space="preserve"> </w:t>
      </w:r>
      <w:r>
        <w:t xml:space="preserve">‘</w:t>
      </w:r>
      <w:r>
        <w:t xml:space="preserve">Gatsuryō, Getsu</w:t>
      </w:r>
      <w:r>
        <w:t xml:space="preserve">’</w:t>
      </w:r>
      <w:r>
        <w:t xml:space="preserve"> </w:t>
      </w:r>
      <w:r>
        <w:t xml:space="preserve">no Wakun ni Tsuite</w:t>
      </w:r>
      <w:r>
        <w:t xml:space="preserve">”</w:t>
      </w:r>
      <w:r>
        <w:t xml:space="preserve"> </w:t>
      </w:r>
      <w:r>
        <w:t xml:space="preserve">(On the</w:t>
      </w:r>
      <w:r>
        <w:t xml:space="preserve"> </w:t>
      </w:r>
      <w:r>
        <w:rPr>
          <w:iCs/>
          <w:i/>
        </w:rPr>
        <w:t xml:space="preserve">Wakun</w:t>
      </w:r>
      <w:r>
        <w:t xml:space="preserve"> </w:t>
      </w:r>
      <w:r>
        <w:t xml:space="preserve">for</w:t>
      </w:r>
      <w:r>
        <w:t xml:space="preserve"> </w:t>
      </w:r>
      <w:r>
        <w:t xml:space="preserve">“</w:t>
      </w:r>
      <w:r>
        <w:t xml:space="preserve">Gatsuryō, Getsu</w:t>
      </w:r>
      <w:r>
        <w:t xml:space="preserve">”</w:t>
      </w:r>
      <w:r>
        <w:t xml:space="preserve"> </w:t>
      </w:r>
      <w:r>
        <w:t xml:space="preserve">Cited in the</w:t>
      </w:r>
      <w:r>
        <w:t xml:space="preserve"> </w:t>
      </w:r>
      <w:r>
        <w:rPr>
          <w:iCs/>
          <w:i/>
        </w:rPr>
        <w:t xml:space="preserve">Zushoryōbon Ruiju Myōgishō</w:t>
      </w:r>
      <w:r>
        <w:t xml:space="preserve">).</w:t>
      </w:r>
      <w:r>
        <w:t xml:space="preserve"> </w:t>
      </w:r>
      <w:r>
        <w:rPr>
          <w:iCs/>
          <w:i/>
        </w:rPr>
        <w:t xml:space="preserve">Kokubungaku Ronkō</w:t>
      </w:r>
      <w:r>
        <w:t xml:space="preserve"> </w:t>
      </w:r>
      <w:r>
        <w:t xml:space="preserve">40 (2004): 72–80.</w:t>
      </w:r>
    </w:p>
    <w:p>
      <w:pPr>
        <w:numPr>
          <w:ilvl w:val="0"/>
          <w:numId w:val="1252"/>
        </w:numPr>
        <w:pStyle w:val="Compact"/>
      </w:pPr>
      <w:r>
        <w:t xml:space="preserve">Takahashi, Hiroyuki.</w:t>
      </w:r>
      <w:r>
        <w:t xml:space="preserve"> </w:t>
      </w:r>
      <w:r>
        <w:t xml:space="preserve">“</w:t>
      </w:r>
      <w:r>
        <w:rPr>
          <w:iCs/>
          <w:i/>
        </w:rPr>
        <w:t xml:space="preserve">Zushoryōbon Ruiju Myōgishō</w:t>
      </w:r>
      <w:r>
        <w:t xml:space="preserve"> </w:t>
      </w:r>
      <w:r>
        <w:t xml:space="preserve">Shoin</w:t>
      </w:r>
      <w:r>
        <w:t xml:space="preserve"> </w:t>
      </w:r>
      <w:r>
        <w:t xml:space="preserve">‘</w:t>
      </w:r>
      <w:r>
        <w:t xml:space="preserve">Ritsu</w:t>
      </w:r>
      <w:r>
        <w:t xml:space="preserve">’</w:t>
      </w:r>
      <w:r>
        <w:t xml:space="preserve"> </w:t>
      </w:r>
      <w:r>
        <w:t xml:space="preserve">o Megutte: Fu,</w:t>
      </w:r>
      <w:r>
        <w:t xml:space="preserve"> </w:t>
      </w:r>
      <w:r>
        <w:t xml:space="preserve">‘</w:t>
      </w:r>
      <w:r>
        <w:t xml:space="preserve">Inryōshō</w:t>
      </w:r>
      <w:r>
        <w:t xml:space="preserve">’</w:t>
      </w:r>
      <w:r>
        <w:t xml:space="preserve">”</w:t>
      </w:r>
      <w:r>
        <w:t xml:space="preserve"> </w:t>
      </w:r>
      <w:r>
        <w:t xml:space="preserve">(On</w:t>
      </w:r>
      <w:r>
        <w:t xml:space="preserve"> </w:t>
      </w:r>
      <w:r>
        <w:t xml:space="preserve">“</w:t>
      </w:r>
      <w:r>
        <w:t xml:space="preserve">Ritsu</w:t>
      </w:r>
      <w:r>
        <w:t xml:space="preserve">”</w:t>
      </w:r>
      <w:r>
        <w:t xml:space="preserve"> </w:t>
      </w:r>
      <w:r>
        <w:t xml:space="preserve">Cited in the</w:t>
      </w:r>
      <w:r>
        <w:t xml:space="preserve"> </w:t>
      </w:r>
      <w:r>
        <w:rPr>
          <w:iCs/>
          <w:i/>
        </w:rPr>
        <w:t xml:space="preserve">Zushoryōbon Ruiju Myōgishō</w:t>
      </w:r>
      <w:r>
        <w:t xml:space="preserve">, with an Appendix on the</w:t>
      </w:r>
      <w:r>
        <w:t xml:space="preserve"> </w:t>
      </w:r>
      <w:r>
        <w:rPr>
          <w:iCs/>
          <w:i/>
        </w:rPr>
        <w:t xml:space="preserve">Inryōshō</w:t>
      </w:r>
      <w:r>
        <w:t xml:space="preserve">).</w:t>
      </w:r>
      <w:r>
        <w:t xml:space="preserve"> </w:t>
      </w:r>
      <w:r>
        <w:rPr>
          <w:iCs/>
          <w:i/>
        </w:rPr>
        <w:t xml:space="preserve">Kokubungaku Ronkō</w:t>
      </w:r>
      <w:r>
        <w:t xml:space="preserve"> </w:t>
      </w:r>
      <w:r>
        <w:t xml:space="preserve">41 (2005): 58–69.</w:t>
      </w:r>
    </w:p>
    <w:p>
      <w:pPr>
        <w:numPr>
          <w:ilvl w:val="0"/>
          <w:numId w:val="1252"/>
        </w:numPr>
        <w:pStyle w:val="Compact"/>
      </w:pPr>
      <w:r>
        <w:t xml:space="preserve">Takahashi, Hiroyuki.</w:t>
      </w:r>
      <w:r>
        <w:t xml:space="preserve"> </w:t>
      </w:r>
      <w:r>
        <w:t xml:space="preserve">“</w:t>
      </w:r>
      <w:r>
        <w:rPr>
          <w:iCs/>
          <w:i/>
        </w:rPr>
        <w:t xml:space="preserve">Zushoryōbon Ruiju Myōgishō</w:t>
      </w:r>
      <w:r>
        <w:t xml:space="preserve"> </w:t>
      </w:r>
      <w:r>
        <w:t xml:space="preserve">Shoin</w:t>
      </w:r>
      <w:r>
        <w:t xml:space="preserve"> </w:t>
      </w:r>
      <w:r>
        <w:rPr>
          <w:iCs/>
          <w:i/>
        </w:rPr>
        <w:t xml:space="preserve">Kobun Kōkyō</w:t>
      </w:r>
      <w:r>
        <w:t xml:space="preserve"> </w:t>
      </w:r>
      <w:r>
        <w:t xml:space="preserve">no Wakun ni Tsuite</w:t>
      </w:r>
      <w:r>
        <w:t xml:space="preserve">”</w:t>
      </w:r>
      <w:r>
        <w:t xml:space="preserve"> </w:t>
      </w:r>
      <w:r>
        <w:t xml:space="preserve">(On the</w:t>
      </w:r>
      <w:r>
        <w:t xml:space="preserve"> </w:t>
      </w:r>
      <w:r>
        <w:rPr>
          <w:iCs/>
          <w:i/>
        </w:rPr>
        <w:t xml:space="preserve">Wakun</w:t>
      </w:r>
      <w:r>
        <w:t xml:space="preserve"> </w:t>
      </w:r>
      <w:r>
        <w:t xml:space="preserve">for the</w:t>
      </w:r>
      <w:r>
        <w:t xml:space="preserve"> </w:t>
      </w:r>
      <w:r>
        <w:rPr>
          <w:iCs/>
          <w:i/>
        </w:rPr>
        <w:t xml:space="preserve">Gǔwén Xiàojīng</w:t>
      </w:r>
      <w:r>
        <w:t xml:space="preserve"> </w:t>
      </w:r>
      <w:r>
        <w:t xml:space="preserve">Cited in the</w:t>
      </w:r>
      <w:r>
        <w:t xml:space="preserve"> </w:t>
      </w:r>
      <w:r>
        <w:rPr>
          <w:iCs/>
          <w:i/>
        </w:rPr>
        <w:t xml:space="preserve">Zushoryōbon Ruiju Myōgishō</w:t>
      </w:r>
      <w:r>
        <w:t xml:space="preserve">).</w:t>
      </w:r>
      <w:r>
        <w:t xml:space="preserve"> </w:t>
      </w:r>
      <w:r>
        <w:rPr>
          <w:iCs/>
          <w:i/>
        </w:rPr>
        <w:t xml:space="preserve">Kokubungaku Ronkō</w:t>
      </w:r>
      <w:r>
        <w:t xml:space="preserve"> </w:t>
      </w:r>
      <w:r>
        <w:t xml:space="preserve">42 (2006): 14–21.</w:t>
      </w:r>
    </w:p>
    <w:p>
      <w:pPr>
        <w:numPr>
          <w:ilvl w:val="0"/>
          <w:numId w:val="1252"/>
        </w:numPr>
        <w:pStyle w:val="Compact"/>
      </w:pPr>
      <w:r>
        <w:t xml:space="preserve">Takahashi, Hiroyuki.</w:t>
      </w:r>
      <w:r>
        <w:t xml:space="preserve"> </w:t>
      </w:r>
      <w:r>
        <w:t xml:space="preserve">“</w:t>
      </w:r>
      <w:r>
        <w:rPr>
          <w:iCs/>
          <w:i/>
        </w:rPr>
        <w:t xml:space="preserve">Zushoryōbon Ruiju Myōgishō</w:t>
      </w:r>
      <w:r>
        <w:t xml:space="preserve"> </w:t>
      </w:r>
      <w:r>
        <w:t xml:space="preserve">Shoin</w:t>
      </w:r>
      <w:r>
        <w:t xml:space="preserve"> </w:t>
      </w:r>
      <w:r>
        <w:rPr>
          <w:iCs/>
          <w:i/>
        </w:rPr>
        <w:t xml:space="preserve">Ganshi Kakun</w:t>
      </w:r>
      <w:r>
        <w:t xml:space="preserve"> </w:t>
      </w:r>
      <w:r>
        <w:t xml:space="preserve">no Wakun ni Tsuite</w:t>
      </w:r>
      <w:r>
        <w:t xml:space="preserve">”</w:t>
      </w:r>
      <w:r>
        <w:t xml:space="preserve"> </w:t>
      </w:r>
      <w:r>
        <w:t xml:space="preserve">(On the</w:t>
      </w:r>
      <w:r>
        <w:t xml:space="preserve"> </w:t>
      </w:r>
      <w:r>
        <w:rPr>
          <w:iCs/>
          <w:i/>
        </w:rPr>
        <w:t xml:space="preserve">Wakun</w:t>
      </w:r>
      <w:r>
        <w:t xml:space="preserve"> </w:t>
      </w:r>
      <w:r>
        <w:t xml:space="preserve">for the</w:t>
      </w:r>
      <w:r>
        <w:t xml:space="preserve"> </w:t>
      </w:r>
      <w:r>
        <w:rPr>
          <w:iCs/>
          <w:i/>
        </w:rPr>
        <w:t xml:space="preserve">Yánshì Jiāxùn</w:t>
      </w:r>
      <w:r>
        <w:t xml:space="preserve"> </w:t>
      </w:r>
      <w:r>
        <w:t xml:space="preserve">Cited in the</w:t>
      </w:r>
      <w:r>
        <w:t xml:space="preserve"> </w:t>
      </w:r>
      <w:r>
        <w:rPr>
          <w:iCs/>
          <w:i/>
        </w:rPr>
        <w:t xml:space="preserve">Zushoryōbon Ruiju Myōgishō</w:t>
      </w:r>
      <w:r>
        <w:t xml:space="preserve">).</w:t>
      </w:r>
      <w:r>
        <w:t xml:space="preserve"> </w:t>
      </w:r>
      <w:r>
        <w:rPr>
          <w:iCs/>
          <w:i/>
        </w:rPr>
        <w:t xml:space="preserve">Kokubungaku Ronkō</w:t>
      </w:r>
      <w:r>
        <w:t xml:space="preserve"> </w:t>
      </w:r>
      <w:r>
        <w:t xml:space="preserve">43 (2007): 15–26.</w:t>
      </w:r>
    </w:p>
    <w:p>
      <w:pPr>
        <w:numPr>
          <w:ilvl w:val="0"/>
          <w:numId w:val="1252"/>
        </w:numPr>
        <w:pStyle w:val="Compact"/>
      </w:pPr>
      <w:r>
        <w:t xml:space="preserve">Yamamoto, Hideto.</w:t>
      </w:r>
      <w:r>
        <w:t xml:space="preserve"> </w:t>
      </w:r>
      <w:r>
        <w:t xml:space="preserve">“</w:t>
      </w:r>
      <w:r>
        <w:t xml:space="preserve">Kaihenbon</w:t>
      </w:r>
      <w:r>
        <w:t xml:space="preserve"> </w:t>
      </w:r>
      <w:r>
        <w:rPr>
          <w:iCs/>
          <w:i/>
        </w:rPr>
        <w:t xml:space="preserve">Ruiju Myōgishō</w:t>
      </w:r>
      <w:r>
        <w:t xml:space="preserve"> </w:t>
      </w:r>
      <w:r>
        <w:t xml:space="preserve">ni okeru</w:t>
      </w:r>
      <w:r>
        <w:t xml:space="preserve"> </w:t>
      </w:r>
      <w:r>
        <w:t xml:space="preserve">‘</w:t>
      </w:r>
      <w:r>
        <w:t xml:space="preserve">Azumabito un</w:t>
      </w:r>
      <w:r>
        <w:t xml:space="preserve">’</w:t>
      </w:r>
      <w:r>
        <w:t xml:space="preserve"> </w:t>
      </w:r>
      <w:r>
        <w:t xml:space="preserve">ni Tsuite (Jō):</w:t>
      </w:r>
      <w:r>
        <w:t xml:space="preserve"> </w:t>
      </w:r>
      <w:r>
        <w:rPr>
          <w:iCs/>
          <w:i/>
        </w:rPr>
        <w:t xml:space="preserve">Shinsen Jikyō</w:t>
      </w:r>
      <w:r>
        <w:t xml:space="preserve"> </w:t>
      </w:r>
      <w:r>
        <w:t xml:space="preserve">to no Kankei o Chūshin ni</w:t>
      </w:r>
      <w:r>
        <w:t xml:space="preserve">”</w:t>
      </w:r>
      <w:r>
        <w:t xml:space="preserve"> </w:t>
      </w:r>
      <w:r>
        <w:t xml:space="preserve">(On</w:t>
      </w:r>
      <w:r>
        <w:t xml:space="preserve"> </w:t>
      </w:r>
      <w:r>
        <w:t xml:space="preserve">“</w:t>
      </w:r>
      <w:r>
        <w:t xml:space="preserve">Azumabito un</w:t>
      </w:r>
      <w:r>
        <w:t xml:space="preserve">”</w:t>
      </w:r>
      <w:r>
        <w:t xml:space="preserve"> </w:t>
      </w:r>
      <w:r>
        <w:t xml:space="preserve">in the Revised</w:t>
      </w:r>
      <w:r>
        <w:t xml:space="preserve"> </w:t>
      </w:r>
      <w:r>
        <w:rPr>
          <w:iCs/>
          <w:i/>
        </w:rPr>
        <w:t xml:space="preserve">Ruiju Myōgishō</w:t>
      </w:r>
      <w:r>
        <w:t xml:space="preserve">, Part 1: Focusing on the Relationship with the</w:t>
      </w:r>
      <w:r>
        <w:t xml:space="preserve"> </w:t>
      </w:r>
      <w:r>
        <w:rPr>
          <w:iCs/>
          <w:i/>
        </w:rPr>
        <w:t xml:space="preserve">Shinsen Jikyō</w:t>
      </w:r>
      <w:r>
        <w:t xml:space="preserve">). In</w:t>
      </w:r>
      <w:r>
        <w:t xml:space="preserve"> </w:t>
      </w:r>
      <w:r>
        <w:rPr>
          <w:iCs/>
          <w:i/>
        </w:rPr>
        <w:t xml:space="preserve">Kokugo Goishi no Kenkyū 30</w:t>
      </w:r>
      <w:r>
        <w:t xml:space="preserve">, 145–157. Osaka: Izumi Shoin, 2011.</w:t>
      </w:r>
    </w:p>
    <w:p>
      <w:pPr>
        <w:numPr>
          <w:ilvl w:val="0"/>
          <w:numId w:val="1252"/>
        </w:numPr>
        <w:pStyle w:val="Compact"/>
      </w:pPr>
      <w:r>
        <w:t xml:space="preserve">Kobayashi, Kyōji.</w:t>
      </w:r>
      <w:r>
        <w:t xml:space="preserve"> </w:t>
      </w:r>
      <w:r>
        <w:t xml:space="preserve">“</w:t>
      </w:r>
      <w:r>
        <w:t xml:space="preserve">Kaihenbon-kei</w:t>
      </w:r>
      <w:r>
        <w:t xml:space="preserve"> </w:t>
      </w:r>
      <w:r>
        <w:rPr>
          <w:iCs/>
          <w:i/>
        </w:rPr>
        <w:t xml:space="preserve">Ruiju Myōgishō</w:t>
      </w:r>
      <w:r>
        <w:t xml:space="preserve"> </w:t>
      </w:r>
      <w:r>
        <w:t xml:space="preserve">ni okeru</w:t>
      </w:r>
      <w:r>
        <w:t xml:space="preserve"> </w:t>
      </w:r>
      <w:r>
        <w:t xml:space="preserve">‘</w:t>
      </w:r>
      <w:r>
        <w:t xml:space="preserve">Ka</w:t>
      </w:r>
      <w:r>
        <w:t xml:space="preserve">’</w:t>
      </w:r>
      <w:r>
        <w:t xml:space="preserve"> </w:t>
      </w:r>
      <w:r>
        <w:t xml:space="preserve">Kōmoku no Chūki Hairetsu ni Tsuite</w:t>
      </w:r>
      <w:r>
        <w:t xml:space="preserve">”</w:t>
      </w:r>
      <w:r>
        <w:t xml:space="preserve"> </w:t>
      </w:r>
      <w:r>
        <w:t xml:space="preserve">(On the Arrangement of Annotations in the</w:t>
      </w:r>
      <w:r>
        <w:t xml:space="preserve"> </w:t>
      </w:r>
      <w:r>
        <w:t xml:space="preserve">‘</w:t>
      </w:r>
      <w:r>
        <w:t xml:space="preserve">過</w:t>
      </w:r>
      <w:r>
        <w:t xml:space="preserve">’</w:t>
      </w:r>
      <w:r>
        <w:t xml:space="preserve"> </w:t>
      </w:r>
      <w:r>
        <w:t xml:space="preserve">Entry of the Revised-Lineage</w:t>
      </w:r>
      <w:r>
        <w:t xml:space="preserve"> </w:t>
      </w:r>
      <w:r>
        <w:rPr>
          <w:iCs/>
          <w:i/>
        </w:rPr>
        <w:t xml:space="preserve">Ruiju Myōgishō</w:t>
      </w:r>
      <w:r>
        <w:t xml:space="preserve">).</w:t>
      </w:r>
      <w:r>
        <w:t xml:space="preserve"> </w:t>
      </w:r>
      <w:r>
        <w:rPr>
          <w:iCs/>
          <w:i/>
        </w:rPr>
        <w:t xml:space="preserve">Kuntengo to Kunten Shiryō</w:t>
      </w:r>
      <w:r>
        <w:t xml:space="preserve"> </w:t>
      </w:r>
      <w:r>
        <w:t xml:space="preserve">127 (2011): 120–131.</w:t>
      </w:r>
    </w:p>
    <w:p>
      <w:pPr>
        <w:numPr>
          <w:ilvl w:val="0"/>
          <w:numId w:val="1252"/>
        </w:numPr>
        <w:pStyle w:val="Compact"/>
      </w:pPr>
      <w:r>
        <w:t xml:space="preserve">Kondō, Yasuhiro.</w:t>
      </w:r>
      <w:r>
        <w:t xml:space="preserve"> </w:t>
      </w:r>
      <w:r>
        <w:t xml:space="preserve">“</w:t>
      </w:r>
      <w:r>
        <w:t xml:space="preserve">Heian Jidai no Kanbun Kundokugo no Bunrui</w:t>
      </w:r>
      <w:r>
        <w:t xml:space="preserve">”</w:t>
      </w:r>
      <w:r>
        <w:t xml:space="preserve"> </w:t>
      </w:r>
      <w:r>
        <w:t xml:space="preserve">(A Classification of Kanbun-Kundoku Vocabulary of the Heian Period).</w:t>
      </w:r>
      <w:r>
        <w:t xml:space="preserve"> </w:t>
      </w:r>
      <w:r>
        <w:rPr>
          <w:iCs/>
          <w:i/>
        </w:rPr>
        <w:t xml:space="preserve">Kuntengo to Kunten Shiryō</w:t>
      </w:r>
      <w:r>
        <w:t xml:space="preserve"> </w:t>
      </w:r>
      <w:r>
        <w:t xml:space="preserve">127 (2011): 90–103.</w:t>
      </w:r>
    </w:p>
    <w:p>
      <w:pPr>
        <w:numPr>
          <w:ilvl w:val="0"/>
          <w:numId w:val="1252"/>
        </w:numPr>
        <w:pStyle w:val="Compact"/>
      </w:pPr>
      <w:r>
        <w:t xml:space="preserve">Yamamoto, Hideto.</w:t>
      </w:r>
      <w:r>
        <w:t xml:space="preserve"> </w:t>
      </w:r>
      <w:r>
        <w:t xml:space="preserve">“</w:t>
      </w:r>
      <w:r>
        <w:t xml:space="preserve">Kaihenbon</w:t>
      </w:r>
      <w:r>
        <w:t xml:space="preserve"> </w:t>
      </w:r>
      <w:r>
        <w:rPr>
          <w:iCs/>
          <w:i/>
        </w:rPr>
        <w:t xml:space="preserve">Ruiju Myōgishō</w:t>
      </w:r>
      <w:r>
        <w:t xml:space="preserve"> </w:t>
      </w:r>
      <w:r>
        <w:t xml:space="preserve">ni okeru</w:t>
      </w:r>
      <w:r>
        <w:t xml:space="preserve"> </w:t>
      </w:r>
      <w:r>
        <w:t xml:space="preserve">‘</w:t>
      </w:r>
      <w:r>
        <w:t xml:space="preserve">Azumabito un</w:t>
      </w:r>
      <w:r>
        <w:t xml:space="preserve">’</w:t>
      </w:r>
      <w:r>
        <w:t xml:space="preserve"> </w:t>
      </w:r>
      <w:r>
        <w:t xml:space="preserve">ni Tsuite (Ge): Go to shite no Seikaku / Imi no Tankyū</w:t>
      </w:r>
      <w:r>
        <w:t xml:space="preserve">”</w:t>
      </w:r>
      <w:r>
        <w:t xml:space="preserve"> </w:t>
      </w:r>
      <w:r>
        <w:t xml:space="preserve">(On</w:t>
      </w:r>
      <w:r>
        <w:t xml:space="preserve"> </w:t>
      </w:r>
      <w:r>
        <w:t xml:space="preserve">“</w:t>
      </w:r>
      <w:r>
        <w:t xml:space="preserve">Azumabito un</w:t>
      </w:r>
      <w:r>
        <w:t xml:space="preserve">”</w:t>
      </w:r>
      <w:r>
        <w:t xml:space="preserve"> </w:t>
      </w:r>
      <w:r>
        <w:t xml:space="preserve">in the Revised</w:t>
      </w:r>
      <w:r>
        <w:t xml:space="preserve"> </w:t>
      </w:r>
      <w:r>
        <w:rPr>
          <w:iCs/>
          <w:i/>
        </w:rPr>
        <w:t xml:space="preserve">Ruiju Myōgishō</w:t>
      </w:r>
      <w:r>
        <w:t xml:space="preserve">, Part 2: Exploring Its Nature and Meaning as Language). In</w:t>
      </w:r>
      <w:r>
        <w:t xml:space="preserve"> </w:t>
      </w:r>
      <w:r>
        <w:rPr>
          <w:iCs/>
          <w:i/>
        </w:rPr>
        <w:t xml:space="preserve">Kokugo Goishi no Kenkyū 31</w:t>
      </w:r>
      <w:r>
        <w:t xml:space="preserve">, 169–194. Osaka: Izumi Shoin, 2012.</w:t>
      </w:r>
    </w:p>
    <w:p>
      <w:pPr>
        <w:numPr>
          <w:ilvl w:val="0"/>
          <w:numId w:val="1252"/>
        </w:numPr>
        <w:pStyle w:val="Compact"/>
      </w:pPr>
      <w:r>
        <w:t xml:space="preserve">Hirako, Tatsuya.</w:t>
      </w:r>
      <w:r>
        <w:t xml:space="preserve"> </w:t>
      </w:r>
      <w:r>
        <w:t xml:space="preserve">“</w:t>
      </w:r>
      <w:r>
        <w:t xml:space="preserve">Heian Jidai Kyōto Hōgen ni okeru Kakōchō ni kansuru Shiron: Kanchi-in-bon</w:t>
      </w:r>
      <w:r>
        <w:t xml:space="preserve"> </w:t>
      </w:r>
      <w:r>
        <w:rPr>
          <w:iCs/>
          <w:i/>
        </w:rPr>
        <w:t xml:space="preserve">Ruiju Myōgishō</w:t>
      </w:r>
      <w:r>
        <w:t xml:space="preserve"> </w:t>
      </w:r>
      <w:r>
        <w:t xml:space="preserve">ni Mirareru Heishō Keiten no Sozatsu na Utsushi o Tegakari ni shite</w:t>
      </w:r>
      <w:r>
        <w:t xml:space="preserve">”</w:t>
      </w:r>
      <w:r>
        <w:t xml:space="preserve"> </w:t>
      </w:r>
      <w:r>
        <w:t xml:space="preserve">(A Tentative Study on Falling Tone in the Heian-Period Kyoto Dialect: Using Careless Copying of Light-Level-Tone Marks in the Kanchi-in Manuscript</w:t>
      </w:r>
      <w:r>
        <w:t xml:space="preserve"> </w:t>
      </w:r>
      <w:r>
        <w:rPr>
          <w:iCs/>
          <w:i/>
        </w:rPr>
        <w:t xml:space="preserve">Ruiju Myōgishō</w:t>
      </w:r>
      <w:r>
        <w:t xml:space="preserve"> </w:t>
      </w:r>
      <w:r>
        <w:t xml:space="preserve">as a Clue).</w:t>
      </w:r>
      <w:r>
        <w:t xml:space="preserve"> </w:t>
      </w:r>
      <w:r>
        <w:rPr>
          <w:iCs/>
          <w:i/>
        </w:rPr>
        <w:t xml:space="preserve">Nihongo no Kenkyū</w:t>
      </w:r>
      <w:r>
        <w:t xml:space="preserve"> </w:t>
      </w:r>
      <w:r>
        <w:t xml:space="preserve">9, no. 1 (2013): 1–15.</w:t>
      </w:r>
    </w:p>
    <w:p>
      <w:pPr>
        <w:numPr>
          <w:ilvl w:val="0"/>
          <w:numId w:val="1252"/>
        </w:numPr>
        <w:pStyle w:val="Compact"/>
      </w:pPr>
      <w:r>
        <w:t xml:space="preserve">Yamamoto, Hideto.</w:t>
      </w:r>
      <w:r>
        <w:t xml:space="preserve"> </w:t>
      </w:r>
      <w:r>
        <w:t xml:space="preserve">“</w:t>
      </w:r>
      <w:r>
        <w:rPr>
          <w:iCs/>
          <w:i/>
        </w:rPr>
        <w:t xml:space="preserve">Sanbō Ruiji-shū Kōzan-ji-bon</w:t>
      </w:r>
      <w:r>
        <w:t xml:space="preserve"> </w:t>
      </w:r>
      <w:r>
        <w:t xml:space="preserve">Kaidai</w:t>
      </w:r>
      <w:r>
        <w:t xml:space="preserve">”</w:t>
      </w:r>
      <w:r>
        <w:t xml:space="preserve"> </w:t>
      </w:r>
      <w:r>
        <w:t xml:space="preserve">(Bibliographical Introduction to the Kōzan-ji Manuscript of the</w:t>
      </w:r>
      <w:r>
        <w:t xml:space="preserve"> </w:t>
      </w:r>
      <w:r>
        <w:rPr>
          <w:iCs/>
          <w:i/>
        </w:rPr>
        <w:t xml:space="preserve">Sanbō Ruiji-shū</w:t>
      </w:r>
      <w:r>
        <w:t xml:space="preserve">). In</w:t>
      </w:r>
      <w:r>
        <w:t xml:space="preserve"> </w:t>
      </w:r>
      <w:r>
        <w:rPr>
          <w:iCs/>
          <w:i/>
        </w:rPr>
        <w:t xml:space="preserve">Shin Tenri Toshokan Zenpon Sōsho, Dai 8-kan: Sanbō Ruiji-shū, Kōzan-ji-bon</w:t>
      </w:r>
      <w:r>
        <w:t xml:space="preserve">. Tokyo: Yagi Shoten, 2016.</w:t>
      </w:r>
    </w:p>
    <w:p>
      <w:pPr>
        <w:numPr>
          <w:ilvl w:val="0"/>
          <w:numId w:val="1252"/>
        </w:numPr>
        <w:pStyle w:val="Compact"/>
      </w:pPr>
      <w:r>
        <w:t xml:space="preserve">Katō, Kōji.</w:t>
      </w:r>
      <w:r>
        <w:t xml:space="preserve"> </w:t>
      </w:r>
      <w:r>
        <w:t xml:space="preserve">“</w:t>
      </w:r>
      <w:r>
        <w:t xml:space="preserve">Kanchi-in bon</w:t>
      </w:r>
      <w:r>
        <w:t xml:space="preserve"> </w:t>
      </w:r>
      <w:r>
        <w:rPr>
          <w:iCs/>
          <w:i/>
        </w:rPr>
        <w:t xml:space="preserve">Ruiju Myōgishō</w:t>
      </w:r>
      <w:r>
        <w:t xml:space="preserve"> </w:t>
      </w:r>
      <w:r>
        <w:t xml:space="preserve">no Jinji Wakun</w:t>
      </w:r>
      <w:r>
        <w:t xml:space="preserve"> </w:t>
      </w:r>
      <w:r>
        <w:rPr>
          <w:iCs/>
          <w:i/>
        </w:rPr>
        <w:t xml:space="preserve">Ware</w:t>
      </w:r>
      <w:r>
        <w:t xml:space="preserve"> </w:t>
      </w:r>
      <w:r>
        <w:t xml:space="preserve">to Sōji Wakun</w:t>
      </w:r>
      <w:r>
        <w:t xml:space="preserve"> </w:t>
      </w:r>
      <w:r>
        <w:rPr>
          <w:iCs/>
          <w:i/>
        </w:rPr>
        <w:t xml:space="preserve">Yawaragu</w:t>
      </w:r>
      <w:r>
        <w:t xml:space="preserve"> </w:t>
      </w:r>
      <w:r>
        <w:t xml:space="preserve">/</w:t>
      </w:r>
      <w:r>
        <w:t xml:space="preserve"> </w:t>
      </w:r>
      <w:r>
        <w:rPr>
          <w:iCs/>
          <w:i/>
        </w:rPr>
        <w:t xml:space="preserve">Nengoro</w:t>
      </w:r>
      <w:r>
        <w:t xml:space="preserve"> </w:t>
      </w:r>
      <w:r>
        <w:t xml:space="preserve">oyobi Sōji no Seiritsu ni Tsuite</w:t>
      </w:r>
      <w:r>
        <w:t xml:space="preserve">”</w:t>
      </w:r>
      <w:r>
        <w:t xml:space="preserve"> </w:t>
      </w:r>
      <w:r>
        <w:t xml:space="preserve">(On the</w:t>
      </w:r>
      <w:r>
        <w:t xml:space="preserve"> </w:t>
      </w:r>
      <w:r>
        <w:rPr>
          <w:iCs/>
          <w:i/>
        </w:rPr>
        <w:t xml:space="preserve">Wakun</w:t>
      </w:r>
      <w:r>
        <w:t xml:space="preserve"> </w:t>
      </w:r>
      <w:r>
        <w:rPr>
          <w:iCs/>
          <w:i/>
        </w:rPr>
        <w:t xml:space="preserve">Ware</w:t>
      </w:r>
      <w:r>
        <w:t xml:space="preserve"> </w:t>
      </w:r>
      <w:r>
        <w:t xml:space="preserve">for the Character 人, the</w:t>
      </w:r>
      <w:r>
        <w:t xml:space="preserve"> </w:t>
      </w:r>
      <w:r>
        <w:rPr>
          <w:iCs/>
          <w:i/>
        </w:rPr>
        <w:t xml:space="preserve">Wakun</w:t>
      </w:r>
      <w:r>
        <w:t xml:space="preserve"> </w:t>
      </w:r>
      <w:r>
        <w:rPr>
          <w:iCs/>
          <w:i/>
        </w:rPr>
        <w:t xml:space="preserve">Yawaragu</w:t>
      </w:r>
      <w:r>
        <w:t xml:space="preserve"> </w:t>
      </w:r>
      <w:r>
        <w:t xml:space="preserve">/</w:t>
      </w:r>
      <w:r>
        <w:t xml:space="preserve"> </w:t>
      </w:r>
      <w:r>
        <w:rPr>
          <w:iCs/>
          <w:i/>
        </w:rPr>
        <w:t xml:space="preserve">Nengoro</w:t>
      </w:r>
      <w:r>
        <w:t xml:space="preserve"> </w:t>
      </w:r>
      <w:r>
        <w:t xml:space="preserve">for the Character 僧, and the Formation of the Character 僧 in the Kanchi-in Manuscript</w:t>
      </w:r>
      <w:r>
        <w:t xml:space="preserve"> </w:t>
      </w:r>
      <w:r>
        <w:rPr>
          <w:iCs/>
          <w:i/>
        </w:rPr>
        <w:t xml:space="preserve">Ruiju Myōgishō</w:t>
      </w:r>
      <w:r>
        <w:t xml:space="preserve">).</w:t>
      </w:r>
      <w:r>
        <w:t xml:space="preserve"> </w:t>
      </w:r>
      <w:r>
        <w:rPr>
          <w:iCs/>
          <w:i/>
        </w:rPr>
        <w:t xml:space="preserve">Tsuru Bunka Daigaku Kenkyū Kiyō</w:t>
      </w:r>
      <w:r>
        <w:t xml:space="preserve"> </w:t>
      </w:r>
      <w:r>
        <w:t xml:space="preserve">85 (2017): 45–58.</w:t>
      </w:r>
    </w:p>
    <w:p>
      <w:pPr>
        <w:numPr>
          <w:ilvl w:val="0"/>
          <w:numId w:val="1252"/>
        </w:numPr>
        <w:pStyle w:val="Compact"/>
      </w:pPr>
      <w:r>
        <w:t xml:space="preserve">Satō, Eisaku.</w:t>
      </w:r>
      <w:r>
        <w:t xml:space="preserve"> </w:t>
      </w:r>
      <w:r>
        <w:t xml:space="preserve">“</w:t>
      </w:r>
      <w:r>
        <w:t xml:space="preserve">Katakana no Jitai kara Mita Shōten to sono Ichi: Zushoryōbon</w:t>
      </w:r>
      <w:r>
        <w:t xml:space="preserve"> </w:t>
      </w:r>
      <w:r>
        <w:rPr>
          <w:iCs/>
          <w:i/>
        </w:rPr>
        <w:t xml:space="preserve">Ruiju Myōgishō</w:t>
      </w:r>
      <w:r>
        <w:t xml:space="preserve">, Kanchi-in-bon</w:t>
      </w:r>
      <w:r>
        <w:t xml:space="preserve"> </w:t>
      </w:r>
      <w:r>
        <w:rPr>
          <w:iCs/>
          <w:i/>
        </w:rPr>
        <w:t xml:space="preserve">Ruiju Myōgishō</w:t>
      </w:r>
      <w:r>
        <w:t xml:space="preserve"> </w:t>
      </w:r>
      <w:r>
        <w:t xml:space="preserve">no Shosha-sha to Shōten</w:t>
      </w:r>
      <w:r>
        <w:t xml:space="preserve">”</w:t>
      </w:r>
      <w:r>
        <w:t xml:space="preserve"> </w:t>
      </w:r>
      <w:r>
        <w:t xml:space="preserve">(Tone Marks and Their Placement as Seen from Katakana Character Forms: The Scribes and Tone Marks of the Zushoryōbon and Kanchi-in-bon</w:t>
      </w:r>
      <w:r>
        <w:t xml:space="preserve"> </w:t>
      </w:r>
      <w:r>
        <w:rPr>
          <w:iCs/>
          <w:i/>
        </w:rPr>
        <w:t xml:space="preserve">Ruiju Myōgishō</w:t>
      </w:r>
      <w:r>
        <w:t xml:space="preserve">).</w:t>
      </w:r>
      <w:r>
        <w:t xml:space="preserve"> </w:t>
      </w:r>
      <w:r>
        <w:rPr>
          <w:iCs/>
          <w:i/>
        </w:rPr>
        <w:t xml:space="preserve">Ronshū</w:t>
      </w:r>
      <w:r>
        <w:t xml:space="preserve"> </w:t>
      </w:r>
      <w:r>
        <w:t xml:space="preserve">13 (2017): 23–40.</w:t>
      </w:r>
    </w:p>
    <w:p>
      <w:pPr>
        <w:numPr>
          <w:ilvl w:val="0"/>
          <w:numId w:val="1252"/>
        </w:numPr>
        <w:pStyle w:val="Compact"/>
      </w:pPr>
      <w:r>
        <w:t xml:space="preserve">Hagihara, Yoshio.</w:t>
      </w:r>
      <w:r>
        <w:t xml:space="preserve"> </w:t>
      </w:r>
      <w:r>
        <w:t xml:space="preserve">“</w:t>
      </w:r>
      <w:r>
        <w:t xml:space="preserve">Kanchi-in bon</w:t>
      </w:r>
      <w:r>
        <w:t xml:space="preserve"> </w:t>
      </w:r>
      <w:r>
        <w:rPr>
          <w:iCs/>
          <w:i/>
        </w:rPr>
        <w:t xml:space="preserve">Ruiju Myōgishō</w:t>
      </w:r>
      <w:r>
        <w:t xml:space="preserve"> </w:t>
      </w:r>
      <w:r>
        <w:t xml:space="preserve">Wakun Goi kara Kaimamita Kotoba no Unkō</w:t>
      </w:r>
      <w:r>
        <w:t xml:space="preserve">”</w:t>
      </w:r>
      <w:r>
        <w:t xml:space="preserve"> </w:t>
      </w:r>
      <w:r>
        <w:t xml:space="preserve">(Glimpses of Language Use Seen from the</w:t>
      </w:r>
      <w:r>
        <w:t xml:space="preserve"> </w:t>
      </w:r>
      <w:r>
        <w:rPr>
          <w:iCs/>
          <w:i/>
        </w:rPr>
        <w:t xml:space="preserve">Wakun</w:t>
      </w:r>
      <w:r>
        <w:t xml:space="preserve"> </w:t>
      </w:r>
      <w:r>
        <w:t xml:space="preserve">Vocabulary of the Kanchi-in Manuscript</w:t>
      </w:r>
      <w:r>
        <w:t xml:space="preserve"> </w:t>
      </w:r>
      <w:r>
        <w:rPr>
          <w:iCs/>
          <w:i/>
        </w:rPr>
        <w:t xml:space="preserve">Ruiju Myōgishō</w:t>
      </w:r>
      <w:r>
        <w:t xml:space="preserve">).</w:t>
      </w:r>
      <w:r>
        <w:t xml:space="preserve"> </w:t>
      </w:r>
      <w:r>
        <w:rPr>
          <w:iCs/>
          <w:i/>
        </w:rPr>
        <w:t xml:space="preserve">Komazawa Nihon Bunka</w:t>
      </w:r>
      <w:r>
        <w:t xml:space="preserve"> </w:t>
      </w:r>
      <w:r>
        <w:t xml:space="preserve">13 (2019): 1–69.</w:t>
      </w:r>
    </w:p>
    <w:bookmarkEnd w:id="658"/>
    <w:bookmarkEnd w:id="659"/>
    <w:bookmarkStart w:id="662" w:name="X4bc644b186710efbee0e77cfba8f54d6e6b5781"/>
    <w:p>
      <w:pPr>
        <w:pStyle w:val="Heading2"/>
      </w:pPr>
      <w:r>
        <w:rPr>
          <w:rStyle w:val="SectionNumber"/>
        </w:rPr>
        <w:t xml:space="preserve">25.2</w:t>
      </w:r>
      <w:r>
        <w:tab/>
      </w:r>
      <w:r>
        <w:t xml:space="preserve">Identifying</w:t>
      </w:r>
      <w:r>
        <w:t xml:space="preserve"> </w:t>
      </w:r>
      <w:r>
        <w:rPr>
          <w:iCs/>
          <w:i/>
        </w:rPr>
        <w:t xml:space="preserve">Wakun</w:t>
      </w:r>
    </w:p>
    <w:p>
      <w:pPr>
        <w:pStyle w:val="FirstParagraph"/>
      </w:pPr>
      <w:r>
        <w:t xml:space="preserve">On rare occasions, an</w:t>
      </w:r>
      <w:r>
        <w:t xml:space="preserve"> </w:t>
      </w:r>
      <w:r>
        <w:rPr>
          <w:rStyle w:val="VerbatimChar"/>
          <w:bCs/>
          <w:b/>
        </w:rPr>
        <w:t xml:space="preserve">Original Gloss</w:t>
      </w:r>
      <w:r>
        <w:t xml:space="preserve"> </w:t>
      </w:r>
      <w:r>
        <w:t xml:space="preserve">that is not in fact a</w:t>
      </w:r>
      <w:r>
        <w:t xml:space="preserve"> </w:t>
      </w:r>
      <w:r>
        <w:rPr>
          <w:rStyle w:val="VerbatimChar"/>
          <w:bCs/>
          <w:b/>
        </w:rPr>
        <w:t xml:space="preserve">Japanese Native Reading</w:t>
      </w:r>
      <w:r>
        <w:rPr>
          <w:bCs/>
          <w:b/>
        </w:rPr>
        <w:t xml:space="preserve"> </w:t>
      </w:r>
      <w:r>
        <w:rPr>
          <w:bCs/>
          <w:b/>
        </w:rPr>
        <w:t xml:space="preserve">(</w:t>
      </w:r>
      <w:r>
        <w:rPr>
          <w:iCs/>
          <w:i/>
          <w:bCs/>
          <w:b/>
        </w:rPr>
        <w:t xml:space="preserve">wakun</w:t>
      </w:r>
      <w:r>
        <w:rPr>
          <w:bCs/>
          <w:b/>
        </w:rPr>
        <w:t xml:space="preserve">)</w:t>
      </w:r>
      <w:r>
        <w:t xml:space="preserve"> </w:t>
      </w:r>
      <w:r>
        <w:t xml:space="preserve">may mistakenly be treated as one. A few concrete examples are given below to illustrate this. The passage in question in each example is shown in</w:t>
      </w:r>
      <w:r>
        <w:t xml:space="preserve"> </w:t>
      </w:r>
      <w:r>
        <w:rPr>
          <w:bCs/>
          <w:b/>
        </w:rPr>
        <w:t xml:space="preserve">bold</w:t>
      </w:r>
      <w:r>
        <w:t xml:space="preserve">.</w:t>
      </w:r>
    </w:p>
    <w:bookmarkStart w:id="660" w:name="X8013d93ccf5f339ce62d337bd057a97b1a3c855"/>
    <w:p>
      <w:pPr>
        <w:pStyle w:val="Heading3"/>
      </w:pPr>
      <w:r>
        <w:rPr>
          <w:rStyle w:val="SectionNumber"/>
        </w:rPr>
        <w:t xml:space="preserve">25.2.1</w:t>
      </w:r>
      <w:r>
        <w:tab/>
      </w:r>
      <w:r>
        <w:t xml:space="preserve">An Example Where Distinguishing a</w:t>
      </w:r>
      <w:r>
        <w:t xml:space="preserve"> </w:t>
      </w:r>
      <w:r>
        <w:rPr>
          <w:iCs/>
          <w:i/>
        </w:rPr>
        <w:t xml:space="preserve">Wakun</w:t>
      </w:r>
      <w:r>
        <w:t xml:space="preserve"> </w:t>
      </w:r>
      <w:r>
        <w:t xml:space="preserve">from a Kana Phonetic Gloss Is at Issue</w:t>
      </w:r>
    </w:p>
    <w:p>
      <w:pPr>
        <w:numPr>
          <w:ilvl w:val="0"/>
          <w:numId w:val="1253"/>
        </w:numPr>
        <w:pStyle w:val="Compact"/>
      </w:pPr>
      <w:r>
        <w:rPr>
          <w:rStyle w:val="VerbatimChar"/>
        </w:rPr>
        <w:t xml:space="preserve">kazama_location</w:t>
      </w:r>
      <w:r>
        <w:t xml:space="preserve">: K01032610,</w:t>
      </w:r>
      <w:r>
        <w:t xml:space="preserve"> </w:t>
      </w:r>
      <w:r>
        <w:rPr>
          <w:rStyle w:val="VerbatimChar"/>
        </w:rPr>
        <w:t xml:space="preserve">hanzi_entry</w:t>
      </w:r>
      <w:r>
        <w:t xml:space="preserve">: ⿰亻㔾,</w:t>
      </w:r>
      <w:r>
        <w:t xml:space="preserve"> </w:t>
      </w:r>
      <w:r>
        <w:rPr>
          <w:rStyle w:val="VerbatimChar"/>
        </w:rPr>
        <w:t xml:space="preserve">original_entry</w:t>
      </w:r>
      <w:r>
        <w:t xml:space="preserve">: ⿰亻已,</w:t>
      </w:r>
      <w:r>
        <w:t xml:space="preserve"> </w:t>
      </w:r>
      <w:r>
        <w:rPr>
          <w:rStyle w:val="VerbatimChar"/>
        </w:rPr>
        <w:t xml:space="preserve">definition</w:t>
      </w:r>
      <w:r>
        <w:t xml:space="preserve">: 氾音　ハム</w:t>
      </w:r>
    </w:p>
    <w:p>
      <w:pPr>
        <w:pStyle w:val="FirstParagraph"/>
      </w:pPr>
      <w:r>
        <w:rPr>
          <w:bCs/>
          <w:b/>
        </w:rPr>
        <w:t xml:space="preserve">Kusakawa’s Wakun Collection</w:t>
      </w:r>
      <w:r>
        <w:t xml:space="preserve"> </w:t>
      </w:r>
      <w:r>
        <w:t xml:space="preserve">records this as</w:t>
      </w:r>
      <w:r>
        <w:t xml:space="preserve"> </w:t>
      </w:r>
      <w:r>
        <w:t xml:space="preserve">“</w:t>
      </w:r>
      <w:r>
        <w:t xml:space="preserve">ハム</w:t>
      </w:r>
      <w:r>
        <w:t xml:space="preserve">”</w:t>
      </w:r>
      <w:r>
        <w:t xml:space="preserve"> </w:t>
      </w:r>
      <w:r>
        <w:t xml:space="preserve">(</w:t>
      </w:r>
      <w:r>
        <w:rPr>
          <w:iCs/>
          <w:i/>
        </w:rPr>
        <w:t xml:space="preserve">hamu</w:t>
      </w:r>
      <w:r>
        <w:t xml:space="preserve">), treating it as a</w:t>
      </w:r>
      <w:r>
        <w:t xml:space="preserve"> </w:t>
      </w:r>
      <w:r>
        <w:rPr>
          <w:iCs/>
          <w:i/>
        </w:rPr>
        <w:t xml:space="preserve">wakun</w:t>
      </w:r>
      <w:r>
        <w:t xml:space="preserve">, but it is in fact a</w:t>
      </w:r>
      <w:r>
        <w:t xml:space="preserve"> </w:t>
      </w:r>
      <w:r>
        <w:rPr>
          <w:rStyle w:val="VerbatimChar"/>
          <w:bCs/>
          <w:b/>
        </w:rPr>
        <w:t xml:space="preserve">Kana gloss</w:t>
      </w:r>
      <w:r>
        <w:t xml:space="preserve"> </w:t>
      </w:r>
      <w:r>
        <w:t xml:space="preserve">(仮名音注), not a</w:t>
      </w:r>
      <w:r>
        <w:t xml:space="preserve"> </w:t>
      </w:r>
      <w:r>
        <w:rPr>
          <w:iCs/>
          <w:i/>
        </w:rPr>
        <w:t xml:space="preserve">wakun</w:t>
      </w:r>
      <w:r>
        <w:t xml:space="preserve">.</w:t>
      </w:r>
    </w:p>
    <w:p>
      <w:pPr>
        <w:pStyle w:val="BodyText"/>
      </w:pPr>
      <w:r>
        <w:t xml:space="preserve">The</w:t>
      </w:r>
      <w:r>
        <w:t xml:space="preserve"> </w:t>
      </w:r>
      <w:r>
        <w:rPr>
          <w:rStyle w:val="VerbatimChar"/>
          <w:bCs/>
          <w:b/>
        </w:rPr>
        <w:t xml:space="preserve">Headword</w:t>
      </w:r>
      <w:r>
        <w:t xml:space="preserve"> </w:t>
      </w:r>
      <w:r>
        <w:t xml:space="preserve">is written in the original manuscript as</w:t>
      </w:r>
      <w:r>
        <w:t xml:space="preserve"> </w:t>
      </w:r>
      <w:r>
        <w:t xml:space="preserve">“</w:t>
      </w:r>
      <w:r>
        <w:t xml:space="preserve">⿰亻已</w:t>
      </w:r>
      <w:r>
        <w:t xml:space="preserve">”</w:t>
      </w:r>
      <w:r>
        <w:t xml:space="preserve">, with</w:t>
      </w:r>
      <w:r>
        <w:t xml:space="preserve"> </w:t>
      </w:r>
      <w:r>
        <w:t xml:space="preserve">“</w:t>
      </w:r>
      <w:r>
        <w:t xml:space="preserve">已</w:t>
      </w:r>
      <w:r>
        <w:t xml:space="preserve">”</w:t>
      </w:r>
      <w:r>
        <w:t xml:space="preserve"> </w:t>
      </w:r>
      <w:r>
        <w:t xml:space="preserve">as the phonetic component, while the</w:t>
      </w:r>
      <w:r>
        <w:t xml:space="preserve"> </w:t>
      </w:r>
      <w:r>
        <w:rPr>
          <w:rStyle w:val="VerbatimChar"/>
          <w:bCs/>
          <w:b/>
        </w:rPr>
        <w:t xml:space="preserve">Homophone gloss</w:t>
      </w:r>
      <w:r>
        <w:t xml:space="preserve"> </w:t>
      </w:r>
      <w:r>
        <w:t xml:space="preserve">reads</w:t>
      </w:r>
      <w:r>
        <w:t xml:space="preserve"> </w:t>
      </w:r>
      <w:r>
        <w:t xml:space="preserve">“</w:t>
      </w:r>
      <w:r>
        <w:t xml:space="preserve">氾音</w:t>
      </w:r>
      <w:r>
        <w:t xml:space="preserve">”</w:t>
      </w:r>
      <w:r>
        <w:t xml:space="preserve"> </w:t>
      </w:r>
      <w:r>
        <w:t xml:space="preserve">(</w:t>
      </w:r>
      <w:r>
        <w:t xml:space="preserve">“</w:t>
      </w:r>
      <w:r>
        <w:t xml:space="preserve">pronounced as 氾</w:t>
      </w:r>
      <w:r>
        <w:t xml:space="preserve">”</w:t>
      </w:r>
      <w:r>
        <w:t xml:space="preserve">). This character</w:t>
      </w:r>
      <w:r>
        <w:t xml:space="preserve"> </w:t>
      </w:r>
      <w:r>
        <w:t xml:space="preserve">“</w:t>
      </w:r>
      <w:r>
        <w:t xml:space="preserve">氾</w:t>
      </w:r>
      <w:r>
        <w:t xml:space="preserve">”</w:t>
      </w:r>
      <w:r>
        <w:t xml:space="preserve"> </w:t>
      </w:r>
      <w:r>
        <w:t xml:space="preserve">has two readings —</w:t>
      </w:r>
      <w:r>
        <w:t xml:space="preserve"> </w:t>
      </w:r>
      <w:r>
        <w:t xml:space="preserve">“</w:t>
      </w:r>
      <w:r>
        <w:t xml:space="preserve">符咸切</w:t>
      </w:r>
      <w:r>
        <w:t xml:space="preserve">”</w:t>
      </w:r>
      <w:r>
        <w:t xml:space="preserve"> </w:t>
      </w:r>
      <w:r>
        <w:t xml:space="preserve">(Level tone,</w:t>
      </w:r>
      <w:r>
        <w:t xml:space="preserve"> </w:t>
      </w:r>
      <w:r>
        <w:rPr>
          <w:iCs/>
          <w:i/>
        </w:rPr>
        <w:t xml:space="preserve">Xián</w:t>
      </w:r>
      <w:r>
        <w:t xml:space="preserve"> </w:t>
      </w:r>
      <w:r>
        <w:t xml:space="preserve">rhyme,</w:t>
      </w:r>
      <w:r>
        <w:t xml:space="preserve"> </w:t>
      </w:r>
      <w:r>
        <w:rPr>
          <w:iCs/>
          <w:i/>
        </w:rPr>
        <w:t xml:space="preserve">xiaoyun</w:t>
      </w:r>
      <w:r>
        <w:t xml:space="preserve"> </w:t>
      </w:r>
      <w:r>
        <w:t xml:space="preserve">凡) and</w:t>
      </w:r>
      <w:r>
        <w:t xml:space="preserve"> </w:t>
      </w:r>
      <w:r>
        <w:t xml:space="preserve">“</w:t>
      </w:r>
      <w:r>
        <w:t xml:space="preserve">孚梵切</w:t>
      </w:r>
      <w:r>
        <w:t xml:space="preserve">”</w:t>
      </w:r>
      <w:r>
        <w:t xml:space="preserve"> </w:t>
      </w:r>
      <w:r>
        <w:t xml:space="preserve">(Departing tone,</w:t>
      </w:r>
      <w:r>
        <w:t xml:space="preserve"> </w:t>
      </w:r>
      <w:r>
        <w:rPr>
          <w:iCs/>
          <w:i/>
        </w:rPr>
        <w:t xml:space="preserve">Fàn</w:t>
      </w:r>
      <w:r>
        <w:t xml:space="preserve"> </w:t>
      </w:r>
      <w:r>
        <w:t xml:space="preserve">rhyme,</w:t>
      </w:r>
      <w:r>
        <w:t xml:space="preserve"> </w:t>
      </w:r>
      <w:r>
        <w:rPr>
          <w:iCs/>
          <w:i/>
        </w:rPr>
        <w:t xml:space="preserve">xiaoyun</w:t>
      </w:r>
      <w:r>
        <w:t xml:space="preserve"> </w:t>
      </w:r>
      <w:r>
        <w:t xml:space="preserve">汎) — and it is best understood that the</w:t>
      </w:r>
      <w:r>
        <w:t xml:space="preserve"> </w:t>
      </w:r>
      <w:r>
        <w:rPr>
          <w:rStyle w:val="VerbatimChar"/>
          <w:bCs/>
          <w:b/>
        </w:rPr>
        <w:t xml:space="preserve">Kana gloss</w:t>
      </w:r>
      <w:r>
        <w:t xml:space="preserve"> </w:t>
      </w:r>
      <w:r>
        <w:t xml:space="preserve">“</w:t>
      </w:r>
      <w:r>
        <w:t xml:space="preserve">ハム</w:t>
      </w:r>
      <w:r>
        <w:t xml:space="preserve">”</w:t>
      </w:r>
      <w:r>
        <w:t xml:space="preserve"> </w:t>
      </w:r>
      <w:r>
        <w:t xml:space="preserve">was recorded to indicate this pronunciation.</w:t>
      </w:r>
      <w:r>
        <w:t xml:space="preserve"> </w:t>
      </w:r>
      <w:r>
        <w:t xml:space="preserve">If so, the</w:t>
      </w:r>
      <w:r>
        <w:t xml:space="preserve"> </w:t>
      </w:r>
      <w:r>
        <w:rPr>
          <w:rStyle w:val="VerbatimChar"/>
          <w:bCs/>
          <w:b/>
        </w:rPr>
        <w:t xml:space="preserve">Headword</w:t>
      </w:r>
      <w:r>
        <w:t xml:space="preserve"> </w:t>
      </w:r>
      <w:r>
        <w:t xml:space="preserve">“</w:t>
      </w:r>
      <w:r>
        <w:t xml:space="preserve">⿰亻已</w:t>
      </w:r>
      <w:r>
        <w:t xml:space="preserve">”</w:t>
      </w:r>
      <w:r>
        <w:t xml:space="preserve"> </w:t>
      </w:r>
      <w:r>
        <w:t xml:space="preserve">would be expected to read</w:t>
      </w:r>
      <w:r>
        <w:t xml:space="preserve"> </w:t>
      </w:r>
      <w:r>
        <w:t xml:space="preserve">“</w:t>
      </w:r>
      <w:r>
        <w:t xml:space="preserve">⿰亻㔾</w:t>
      </w:r>
      <w:r>
        <w:t xml:space="preserve">”</w:t>
      </w:r>
      <w:r>
        <w:t xml:space="preserve"> </w:t>
      </w:r>
      <w:r>
        <w:t xml:space="preserve">instead. In Unicode,</w:t>
      </w:r>
      <w:r>
        <w:t xml:space="preserve"> </w:t>
      </w:r>
      <w:r>
        <w:t xml:space="preserve">“</w:t>
      </w:r>
      <w:r>
        <w:t xml:space="preserve">⿰亻㔾</w:t>
      </w:r>
      <w:r>
        <w:t xml:space="preserve">”</w:t>
      </w:r>
      <w:r>
        <w:t xml:space="preserve"> </w:t>
      </w:r>
      <w:r>
        <w:t xml:space="preserve">corresponds to U+2CF62 (𬽢), and</w:t>
      </w:r>
      <w:r>
        <w:t xml:space="preserve"> </w:t>
      </w:r>
      <w:r>
        <w:t xml:space="preserve">“</w:t>
      </w:r>
      <w:r>
        <w:t xml:space="preserve">⿰亻巳</w:t>
      </w:r>
      <w:r>
        <w:t xml:space="preserve">”</w:t>
      </w:r>
      <w:r>
        <w:t xml:space="preserve"> </w:t>
      </w:r>
      <w:r>
        <w:t xml:space="preserve">to U+3436 (㐶), but</w:t>
      </w:r>
      <w:r>
        <w:t xml:space="preserve"> </w:t>
      </w:r>
      <w:r>
        <w:t xml:space="preserve">“</w:t>
      </w:r>
      <w:r>
        <w:t xml:space="preserve">⿰亻已</w:t>
      </w:r>
      <w:r>
        <w:t xml:space="preserve">”</w:t>
      </w:r>
      <w:r>
        <w:t xml:space="preserve"> </w:t>
      </w:r>
      <w:r>
        <w:t xml:space="preserve">cannot be confirmed as an assigned character.</w:t>
      </w:r>
    </w:p>
    <w:bookmarkEnd w:id="660"/>
    <w:bookmarkStart w:id="661" w:name="Xead2a6d8b084057f616d9b3413fa1fe702722c6"/>
    <w:p>
      <w:pPr>
        <w:pStyle w:val="Heading3"/>
      </w:pPr>
      <w:r>
        <w:rPr>
          <w:rStyle w:val="SectionNumber"/>
        </w:rPr>
        <w:t xml:space="preserve">25.2.2</w:t>
      </w:r>
      <w:r>
        <w:tab/>
      </w:r>
      <w:r>
        <w:t xml:space="preserve">An Example Where a Scribal Error in a Chinese Character Was Mistaken for Kana</w:t>
      </w:r>
    </w:p>
    <w:p>
      <w:pPr>
        <w:numPr>
          <w:ilvl w:val="0"/>
          <w:numId w:val="1254"/>
        </w:numPr>
        <w:pStyle w:val="Compact"/>
      </w:pPr>
      <w:r>
        <w:rPr>
          <w:rStyle w:val="VerbatimChar"/>
        </w:rPr>
        <w:t xml:space="preserve">kazama_location</w:t>
      </w:r>
      <w:r>
        <w:t xml:space="preserve">: K06011410,</w:t>
      </w:r>
      <w:r>
        <w:t xml:space="preserve"> </w:t>
      </w:r>
      <w:r>
        <w:rPr>
          <w:rStyle w:val="VerbatimChar"/>
        </w:rPr>
        <w:t xml:space="preserve">hanzi_entry</w:t>
      </w:r>
      <w:r>
        <w:t xml:space="preserve">: 砂,</w:t>
      </w:r>
      <w:r>
        <w:t xml:space="preserve"> </w:t>
      </w:r>
      <w:r>
        <w:rPr>
          <w:rStyle w:val="VerbatimChar"/>
        </w:rPr>
        <w:t xml:space="preserve">definition</w:t>
      </w:r>
      <w:r>
        <w:t xml:space="preserve">: 音沙「サ」　イサコ(HH_)　丆(一云)スナコ(LLL)　俗沙</w:t>
      </w:r>
    </w:p>
    <w:p>
      <w:pPr>
        <w:pStyle w:val="FirstParagraph"/>
      </w:pPr>
      <w:r>
        <w:t xml:space="preserve">The passage in question is the part reading</w:t>
      </w:r>
      <w:r>
        <w:t xml:space="preserve"> </w:t>
      </w:r>
      <w:r>
        <w:t xml:space="preserve">“</w:t>
      </w:r>
      <w:r>
        <w:t xml:space="preserve">丆(一云)スナコ(LLL)</w:t>
      </w:r>
      <w:r>
        <w:t xml:space="preserve">”</w:t>
      </w:r>
      <w:r>
        <w:t xml:space="preserve">.</w:t>
      </w:r>
    </w:p>
    <w:p>
      <w:pPr>
        <w:pStyle w:val="BodyText"/>
      </w:pPr>
      <w:r>
        <w:rPr>
          <w:bCs/>
          <w:b/>
        </w:rPr>
        <w:t xml:space="preserve">Masamune’s Index</w:t>
      </w:r>
      <w:r>
        <w:t xml:space="preserve"> </w:t>
      </w:r>
      <w:r>
        <w:t xml:space="preserve">and</w:t>
      </w:r>
      <w:r>
        <w:t xml:space="preserve"> </w:t>
      </w:r>
      <w:r>
        <w:rPr>
          <w:bCs/>
          <w:b/>
        </w:rPr>
        <w:t xml:space="preserve">Kusakawa’s Wakun Collection</w:t>
      </w:r>
      <w:r>
        <w:t xml:space="preserve"> </w:t>
      </w:r>
      <w:r>
        <w:t xml:space="preserve">record this as</w:t>
      </w:r>
      <w:r>
        <w:t xml:space="preserve"> </w:t>
      </w:r>
      <w:r>
        <w:t xml:space="preserve">“</w:t>
      </w:r>
      <w:r>
        <w:t xml:space="preserve">マスナコ</w:t>
      </w:r>
      <w:r>
        <w:t xml:space="preserve">”</w:t>
      </w:r>
      <w:r>
        <w:t xml:space="preserve"> </w:t>
      </w:r>
      <w:r>
        <w:t xml:space="preserve">(</w:t>
      </w:r>
      <w:r>
        <w:rPr>
          <w:iCs/>
          <w:i/>
        </w:rPr>
        <w:t xml:space="preserve">masunako</w:t>
      </w:r>
      <w:r>
        <w:t xml:space="preserve">), whereas</w:t>
      </w:r>
      <w:r>
        <w:t xml:space="preserve"> </w:t>
      </w:r>
      <w:r>
        <w:rPr>
          <w:bCs/>
          <w:b/>
        </w:rPr>
        <w:t xml:space="preserve">Mochizuki’s Wakun Collection</w:t>
      </w:r>
      <w:r>
        <w:t xml:space="preserve"> </w:t>
      </w:r>
      <w:r>
        <w:t xml:space="preserve">records it as</w:t>
      </w:r>
      <w:r>
        <w:t xml:space="preserve"> </w:t>
      </w:r>
      <w:r>
        <w:t xml:space="preserve">“</w:t>
      </w:r>
      <w:r>
        <w:t xml:space="preserve">スナコ</w:t>
      </w:r>
      <w:r>
        <w:t xml:space="preserve">”</w:t>
      </w:r>
      <w:r>
        <w:t xml:space="preserve"> </w:t>
      </w:r>
      <w:r>
        <w:t xml:space="preserve">(</w:t>
      </w:r>
      <w:r>
        <w:rPr>
          <w:iCs/>
          <w:i/>
        </w:rPr>
        <w:t xml:space="preserve">sunako</w:t>
      </w:r>
      <w:r>
        <w:t xml:space="preserve">). Which of these is correct?</w:t>
      </w:r>
    </w:p>
    <w:p>
      <w:pPr>
        <w:pStyle w:val="BodyText"/>
      </w:pPr>
      <w:r>
        <w:t xml:space="preserve">For</w:t>
      </w:r>
      <w:r>
        <w:t xml:space="preserve"> </w:t>
      </w:r>
      <w:r>
        <w:t xml:space="preserve">“</w:t>
      </w:r>
      <w:r>
        <w:t xml:space="preserve">砂</w:t>
      </w:r>
      <w:r>
        <w:t xml:space="preserve">”</w:t>
      </w:r>
      <w:r>
        <w:t xml:space="preserve">, the Zushoryō manuscript gives</w:t>
      </w:r>
      <w:r>
        <w:t xml:space="preserve"> </w:t>
      </w:r>
      <w:r>
        <w:t xml:space="preserve">“</w:t>
      </w:r>
      <w:r>
        <w:t xml:space="preserve">順云和ー以佐古（HHV）一云須奈古（LLV）</w:t>
      </w:r>
      <w:r>
        <w:t xml:space="preserve">”</w:t>
      </w:r>
      <w:r>
        <w:t xml:space="preserve">, citing</w:t>
      </w:r>
      <w:r>
        <w:t xml:space="preserve"> </w:t>
      </w:r>
      <w:r>
        <w:t xml:space="preserve">“</w:t>
      </w:r>
      <w:r>
        <w:t xml:space="preserve">順</w:t>
      </w:r>
      <w:r>
        <w:t xml:space="preserve">”</w:t>
      </w:r>
      <w:r>
        <w:t xml:space="preserve"> </w:t>
      </w:r>
      <w:r>
        <w:t xml:space="preserve">— that is, Minamoto no Shitagō’s</w:t>
      </w:r>
      <w:r>
        <w:t xml:space="preserve"> </w:t>
      </w:r>
      <w:r>
        <w:rPr>
          <w:iCs/>
          <w:i/>
        </w:rPr>
        <w:t xml:space="preserve">Wamyō Ruijushō</w:t>
      </w:r>
      <w:r>
        <w:t xml:space="preserve"> </w:t>
      </w:r>
      <w:r>
        <w:t xml:space="preserve">(和名抄) — as its source. The</w:t>
      </w:r>
      <w:r>
        <w:t xml:space="preserve"> </w:t>
      </w:r>
      <w:r>
        <w:rPr>
          <w:iCs/>
          <w:i/>
        </w:rPr>
        <w:t xml:space="preserve">Senchūbon Wamyōshō</w:t>
      </w:r>
      <w:r>
        <w:t xml:space="preserve"> </w:t>
      </w:r>
      <w:r>
        <w:t xml:space="preserve">(箋注本和名抄, an annotated recension of the</w:t>
      </w:r>
      <w:r>
        <w:t xml:space="preserve"> </w:t>
      </w:r>
      <w:r>
        <w:rPr>
          <w:iCs/>
          <w:i/>
        </w:rPr>
        <w:t xml:space="preserve">Wamyō Ruijushō</w:t>
      </w:r>
      <w:r>
        <w:t xml:space="preserve">) gives, in its</w:t>
      </w:r>
      <w:r>
        <w:t xml:space="preserve"> </w:t>
      </w:r>
      <w:r>
        <w:t xml:space="preserve">“</w:t>
      </w:r>
      <w:r>
        <w:t xml:space="preserve">Heaven and Earth</w:t>
      </w:r>
      <w:r>
        <w:t xml:space="preserve">”</w:t>
      </w:r>
      <w:r>
        <w:t xml:space="preserve"> </w:t>
      </w:r>
      <w:r>
        <w:t xml:space="preserve">section (天地部) of Fascicle 1:</w:t>
      </w:r>
      <w:r>
        <w:t xml:space="preserve"> </w:t>
      </w:r>
      <w:r>
        <w:t xml:space="preserve">“</w:t>
      </w:r>
      <w:r>
        <w:t xml:space="preserve">砂　和名以佐古又須奈古</w:t>
      </w:r>
      <w:r>
        <w:t xml:space="preserve">”</w:t>
      </w:r>
      <w:r>
        <w:t xml:space="preserve">. This being so, the</w:t>
      </w:r>
      <w:r>
        <w:t xml:space="preserve"> </w:t>
      </w:r>
      <w:r>
        <w:t xml:space="preserve">“</w:t>
      </w:r>
      <w:r>
        <w:t xml:space="preserve">丆</w:t>
      </w:r>
      <w:r>
        <w:t xml:space="preserve">”</w:t>
      </w:r>
      <w:r>
        <w:t xml:space="preserve"> </w:t>
      </w:r>
      <w:r>
        <w:t xml:space="preserve">found in the original text of the Kanchi-in manuscript is not the katakana</w:t>
      </w:r>
      <w:r>
        <w:t xml:space="preserve"> </w:t>
      </w:r>
      <w:r>
        <w:t xml:space="preserve">“</w:t>
      </w:r>
      <w:r>
        <w:t xml:space="preserve">マ</w:t>
      </w:r>
      <w:r>
        <w:t xml:space="preserve">”</w:t>
      </w:r>
      <w:r>
        <w:t xml:space="preserve"> </w:t>
      </w:r>
      <w:r>
        <w:t xml:space="preserve">(</w:t>
      </w:r>
      <w:r>
        <w:rPr>
          <w:iCs/>
          <w:i/>
        </w:rPr>
        <w:t xml:space="preserve">ma</w:t>
      </w:r>
      <w:r>
        <w:t xml:space="preserve">), but rather a scribal error for</w:t>
      </w:r>
      <w:r>
        <w:t xml:space="preserve"> </w:t>
      </w:r>
      <w:r>
        <w:t xml:space="preserve">“</w:t>
      </w:r>
      <w:r>
        <w:t xml:space="preserve">一云</w:t>
      </w:r>
      <w:r>
        <w:t xml:space="preserve">”</w:t>
      </w:r>
      <w:r>
        <w:t xml:space="preserve"> </w:t>
      </w:r>
      <w:r>
        <w:t xml:space="preserve">(</w:t>
      </w:r>
      <w:r>
        <w:t xml:space="preserve">“</w:t>
      </w:r>
      <w:r>
        <w:t xml:space="preserve">alternatively called</w:t>
      </w:r>
      <w:r>
        <w:t xml:space="preserve">”</w:t>
      </w:r>
      <w:r>
        <w:t xml:space="preserve">). It is therefore appropriate to record this as</w:t>
      </w:r>
      <w:r>
        <w:t xml:space="preserve"> </w:t>
      </w:r>
      <w:r>
        <w:t xml:space="preserve">“</w:t>
      </w:r>
      <w:r>
        <w:t xml:space="preserve">スナコ</w:t>
      </w:r>
      <w:r>
        <w:t xml:space="preserve">”</w:t>
      </w:r>
      <w:r>
        <w:t xml:space="preserve"> </w:t>
      </w:r>
      <w:r>
        <w:t xml:space="preserve">(</w:t>
      </w:r>
      <w:r>
        <w:rPr>
          <w:iCs/>
          <w:i/>
        </w:rPr>
        <w:t xml:space="preserve">sunako</w:t>
      </w:r>
      <w:r>
        <w:t xml:space="preserve">), as</w:t>
      </w:r>
      <w:r>
        <w:t xml:space="preserve"> </w:t>
      </w:r>
      <w:r>
        <w:rPr>
          <w:bCs/>
          <w:b/>
        </w:rPr>
        <w:t xml:space="preserve">Mochizuki’s Wakun Collection</w:t>
      </w:r>
      <w:r>
        <w:t xml:space="preserve"> </w:t>
      </w:r>
      <w:r>
        <w:t xml:space="preserve">does.</w:t>
      </w:r>
    </w:p>
    <w:p>
      <w:pPr>
        <w:pStyle w:val="BodyText"/>
      </w:pPr>
      <w:r>
        <w:t xml:space="preserve">Let us take up one more example.</w:t>
      </w:r>
    </w:p>
    <w:p>
      <w:pPr>
        <w:numPr>
          <w:ilvl w:val="0"/>
          <w:numId w:val="1255"/>
        </w:numPr>
        <w:pStyle w:val="Compact"/>
      </w:pPr>
      <w:r>
        <w:rPr>
          <w:rStyle w:val="VerbatimChar"/>
        </w:rPr>
        <w:t xml:space="preserve">kazama_location</w:t>
      </w:r>
      <w:r>
        <w:t xml:space="preserve">: K02135520,</w:t>
      </w:r>
      <w:r>
        <w:t xml:space="preserve"> </w:t>
      </w:r>
      <w:r>
        <w:rPr>
          <w:rStyle w:val="VerbatimChar"/>
        </w:rPr>
        <w:t xml:space="preserve">hanzi_entry</w:t>
      </w:r>
      <w:r>
        <w:t xml:space="preserve">: 腊,</w:t>
      </w:r>
      <w:r>
        <w:t xml:space="preserve"> </w:t>
      </w:r>
      <w:r>
        <w:rPr>
          <w:rStyle w:val="VerbatimChar"/>
        </w:rPr>
        <w:t xml:space="preserve">definition</w:t>
      </w:r>
      <w:r>
        <w:t xml:space="preserve">: キタヒ-フ(HHH-_)　久也　キタヒモフ(HHH__) ［音］昔　小牜全干也</w:t>
      </w:r>
    </w:p>
    <w:p>
      <w:pPr>
        <w:pStyle w:val="FirstParagraph"/>
      </w:pPr>
      <w:r>
        <w:rPr>
          <w:bCs/>
          <w:b/>
        </w:rPr>
        <w:t xml:space="preserve">Masamune’s Index</w:t>
      </w:r>
      <w:r>
        <w:t xml:space="preserve"> </w:t>
      </w:r>
      <w:r>
        <w:t xml:space="preserve">and</w:t>
      </w:r>
      <w:r>
        <w:t xml:space="preserve"> </w:t>
      </w:r>
      <w:r>
        <w:rPr>
          <w:bCs/>
          <w:b/>
        </w:rPr>
        <w:t xml:space="preserve">Kusakawa’s Wakun Collection</w:t>
      </w:r>
      <w:r>
        <w:t xml:space="preserve"> </w:t>
      </w:r>
      <w:r>
        <w:t xml:space="preserve">interpret the phrase</w:t>
      </w:r>
      <w:r>
        <w:t xml:space="preserve"> </w:t>
      </w:r>
      <w:r>
        <w:t xml:space="preserve">“</w:t>
      </w:r>
      <w:r>
        <w:t xml:space="preserve">小牜全干也</w:t>
      </w:r>
      <w:r>
        <w:t xml:space="preserve">”</w:t>
      </w:r>
      <w:r>
        <w:t xml:space="preserve"> </w:t>
      </w:r>
      <w:r>
        <w:t xml:space="preserve">at the end of the</w:t>
      </w:r>
      <w:r>
        <w:t xml:space="preserve"> </w:t>
      </w:r>
      <w:r>
        <w:rPr>
          <w:rStyle w:val="VerbatimChar"/>
          <w:bCs/>
          <w:b/>
        </w:rPr>
        <w:t xml:space="preserve">Original Gloss</w:t>
      </w:r>
      <w:r>
        <w:t xml:space="preserve"> </w:t>
      </w:r>
      <w:r>
        <w:t xml:space="preserve">as a</w:t>
      </w:r>
      <w:r>
        <w:t xml:space="preserve"> </w:t>
      </w:r>
      <w:r>
        <w:rPr>
          <w:iCs/>
          <w:i/>
        </w:rPr>
        <w:t xml:space="preserve">wakun</w:t>
      </w:r>
      <w:r>
        <w:t xml:space="preserve">. However, it is better understood as a</w:t>
      </w:r>
      <w:r>
        <w:t xml:space="preserve"> </w:t>
      </w:r>
      <w:r>
        <w:rPr>
          <w:rStyle w:val="VerbatimChar"/>
          <w:bCs/>
          <w:b/>
        </w:rPr>
        <w:t xml:space="preserve">Semantic Gloss in Chinese</w:t>
      </w:r>
      <w:r>
        <w:t xml:space="preserve"> </w:t>
      </w:r>
      <w:r>
        <w:t xml:space="preserve">(漢文義注).</w:t>
      </w:r>
    </w:p>
    <w:p>
      <w:pPr>
        <w:pStyle w:val="BodyText"/>
      </w:pPr>
      <w:r>
        <w:t xml:space="preserve">First, regarding</w:t>
      </w:r>
      <w:r>
        <w:t xml:space="preserve"> </w:t>
      </w:r>
      <w:r>
        <w:t xml:space="preserve">“</w:t>
      </w:r>
      <w:r>
        <w:t xml:space="preserve">小牜</w:t>
      </w:r>
      <w:r>
        <w:t xml:space="preserve">”</w:t>
      </w:r>
      <w:r>
        <w:t xml:space="preserve">:</w:t>
      </w:r>
      <w:r>
        <w:t xml:space="preserve"> </w:t>
      </w:r>
      <w:r>
        <w:rPr>
          <w:bCs/>
          <w:b/>
        </w:rPr>
        <w:t xml:space="preserve">Masamune’s Index</w:t>
      </w:r>
      <w:r>
        <w:t xml:space="preserve"> </w:t>
      </w:r>
      <w:r>
        <w:t xml:space="preserve">reads it as</w:t>
      </w:r>
      <w:r>
        <w:t xml:space="preserve"> </w:t>
      </w:r>
      <w:r>
        <w:t xml:space="preserve">“</w:t>
      </w:r>
      <w:r>
        <w:t xml:space="preserve">小（し）牜</w:t>
      </w:r>
      <w:r>
        <w:t xml:space="preserve">”</w:t>
      </w:r>
      <w:r>
        <w:t xml:space="preserve"> </w:t>
      </w:r>
      <w:r>
        <w:t xml:space="preserve">(with 小 as a variant form of ホ), suggesting that the character シ may have been dropped;</w:t>
      </w:r>
      <w:r>
        <w:t xml:space="preserve"> </w:t>
      </w:r>
      <w:r>
        <w:rPr>
          <w:bCs/>
          <w:b/>
        </w:rPr>
        <w:t xml:space="preserve">Kusakawa’s Wakun Collection</w:t>
      </w:r>
      <w:r>
        <w:t xml:space="preserve"> </w:t>
      </w:r>
      <w:r>
        <w:t xml:space="preserve">enters it as</w:t>
      </w:r>
      <w:r>
        <w:t xml:space="preserve"> </w:t>
      </w:r>
      <w:r>
        <w:t xml:space="preserve">“</w:t>
      </w:r>
      <w:r>
        <w:t xml:space="preserve">ホモノ</w:t>
      </w:r>
      <w:r>
        <w:t xml:space="preserve">”</w:t>
      </w:r>
      <w:r>
        <w:t xml:space="preserve"> </w:t>
      </w:r>
      <w:r>
        <w:t xml:space="preserve">(possibly</w:t>
      </w:r>
      <w:r>
        <w:t xml:space="preserve"> </w:t>
      </w:r>
      <w:r>
        <w:t xml:space="preserve">“</w:t>
      </w:r>
      <w:r>
        <w:t xml:space="preserve">ホシモノ</w:t>
      </w:r>
      <w:r>
        <w:t xml:space="preserve">”</w:t>
      </w:r>
      <w:r>
        <w:t xml:space="preserve">), transliterating it as</w:t>
      </w:r>
      <w:r>
        <w:t xml:space="preserve"> </w:t>
      </w:r>
      <w:r>
        <w:t xml:space="preserve">“</w:t>
      </w:r>
      <w:r>
        <w:t xml:space="preserve">小牜</w:t>
      </w:r>
      <w:r>
        <w:t xml:space="preserve">”</w:t>
      </w:r>
      <w:r>
        <w:t xml:space="preserve">, with</w:t>
      </w:r>
      <w:r>
        <w:t xml:space="preserve"> </w:t>
      </w:r>
      <w:r>
        <w:t xml:space="preserve">“</w:t>
      </w:r>
      <w:r>
        <w:t xml:space="preserve">ヒモノ？</w:t>
      </w:r>
      <w:r>
        <w:t xml:space="preserve">”</w:t>
      </w:r>
      <w:r>
        <w:t xml:space="preserve"> </w:t>
      </w:r>
      <w:r>
        <w:t xml:space="preserve">noted as a remark. In addition,</w:t>
      </w:r>
      <w:r>
        <w:t xml:space="preserve"> </w:t>
      </w:r>
      <w:r>
        <w:rPr>
          <w:bCs/>
          <w:b/>
        </w:rPr>
        <w:t xml:space="preserve">Kusakawa’s Wakun Index</w:t>
      </w:r>
      <w:r>
        <w:t xml:space="preserve"> </w:t>
      </w:r>
      <w:r>
        <w:t xml:space="preserve">marks</w:t>
      </w:r>
      <w:r>
        <w:t xml:space="preserve"> </w:t>
      </w:r>
      <w:r>
        <w:t xml:space="preserve">“</w:t>
      </w:r>
      <w:r>
        <w:t xml:space="preserve">小牜</w:t>
      </w:r>
      <w:r>
        <w:t xml:space="preserve">”</w:t>
      </w:r>
      <w:r>
        <w:t xml:space="preserve"> </w:t>
      </w:r>
      <w:r>
        <w:t xml:space="preserve">as</w:t>
      </w:r>
      <w:r>
        <w:t xml:space="preserve"> </w:t>
      </w:r>
      <w:r>
        <w:rPr>
          <w:iCs/>
          <w:i/>
        </w:rPr>
        <w:t xml:space="preserve">sic</w:t>
      </w:r>
      <w:r>
        <w:t xml:space="preserve"> </w:t>
      </w:r>
      <w:r>
        <w:t xml:space="preserve">(mama) under the entry</w:t>
      </w:r>
      <w:r>
        <w:t xml:space="preserve"> </w:t>
      </w:r>
      <w:r>
        <w:t xml:space="preserve">“</w:t>
      </w:r>
      <w:r>
        <w:t xml:space="preserve">ヒモノ</w:t>
      </w:r>
      <w:r>
        <w:t xml:space="preserve">”</w:t>
      </w:r>
      <w:r>
        <w:t xml:space="preserve">.</w:t>
      </w:r>
    </w:p>
    <w:p>
      <w:pPr>
        <w:pStyle w:val="BodyText"/>
      </w:pPr>
      <w:r>
        <w:t xml:space="preserve">Next, regarding</w:t>
      </w:r>
      <w:r>
        <w:t xml:space="preserve"> </w:t>
      </w:r>
      <w:r>
        <w:t xml:space="preserve">“</w:t>
      </w:r>
      <w:r>
        <w:t xml:space="preserve">全干也</w:t>
      </w:r>
      <w:r>
        <w:t xml:space="preserve">”</w:t>
      </w:r>
      <w:r>
        <w:t xml:space="preserve">:</w:t>
      </w:r>
      <w:r>
        <w:t xml:space="preserve"> </w:t>
      </w:r>
      <w:r>
        <w:rPr>
          <w:bCs/>
          <w:b/>
        </w:rPr>
        <w:t xml:space="preserve">Masamune’s Index</w:t>
      </w:r>
      <w:r>
        <w:t xml:space="preserve"> </w:t>
      </w:r>
      <w:r>
        <w:t xml:space="preserve">and</w:t>
      </w:r>
      <w:r>
        <w:t xml:space="preserve"> </w:t>
      </w:r>
      <w:r>
        <w:rPr>
          <w:bCs/>
          <w:b/>
        </w:rPr>
        <w:t xml:space="preserve">Kusakawa’s Wakun Collection</w:t>
      </w:r>
      <w:r>
        <w:t xml:space="preserve"> </w:t>
      </w:r>
      <w:r>
        <w:t xml:space="preserve">record this as</w:t>
      </w:r>
      <w:r>
        <w:t xml:space="preserve"> </w:t>
      </w:r>
      <w:r>
        <w:t xml:space="preserve">“</w:t>
      </w:r>
      <w:r>
        <w:t xml:space="preserve">人モ</w:t>
      </w:r>
      <w:r>
        <w:t xml:space="preserve">”</w:t>
      </w:r>
      <w:r>
        <w:t xml:space="preserve"> </w:t>
      </w:r>
      <w:r>
        <w:t xml:space="preserve">and</w:t>
      </w:r>
      <w:r>
        <w:t xml:space="preserve"> </w:t>
      </w:r>
      <w:r>
        <w:t xml:space="preserve">“</w:t>
      </w:r>
      <w:r>
        <w:t xml:space="preserve">テヽ</w:t>
      </w:r>
      <w:r>
        <w:t xml:space="preserve">”</w:t>
      </w:r>
      <w:r>
        <w:t xml:space="preserve"> </w:t>
      </w:r>
      <w:r>
        <w:t xml:space="preserve">respectively.</w:t>
      </w:r>
    </w:p>
    <w:p>
      <w:pPr>
        <w:pStyle w:val="BodyText"/>
      </w:pPr>
      <w:r>
        <w:t xml:space="preserve">However,</w:t>
      </w:r>
      <w:r>
        <w:t xml:space="preserve"> </w:t>
      </w:r>
      <w:r>
        <w:t xml:space="preserve">“</w:t>
      </w:r>
      <w:r>
        <w:t xml:space="preserve">小牜全干也</w:t>
      </w:r>
      <w:r>
        <w:t xml:space="preserve">”</w:t>
      </w:r>
      <w:r>
        <w:t xml:space="preserve"> </w:t>
      </w:r>
      <w:r>
        <w:t xml:space="preserve">is not a</w:t>
      </w:r>
      <w:r>
        <w:t xml:space="preserve"> </w:t>
      </w:r>
      <w:r>
        <w:rPr>
          <w:iCs/>
          <w:i/>
        </w:rPr>
        <w:t xml:space="preserve">wakun</w:t>
      </w:r>
      <w:r>
        <w:t xml:space="preserve">, but a</w:t>
      </w:r>
      <w:r>
        <w:t xml:space="preserve"> </w:t>
      </w:r>
      <w:r>
        <w:rPr>
          <w:rStyle w:val="VerbatimChar"/>
          <w:bCs/>
          <w:b/>
        </w:rPr>
        <w:t xml:space="preserve">Semantic Gloss in Chinese</w:t>
      </w:r>
      <w:r>
        <w:t xml:space="preserve">. The commentary on the phrase</w:t>
      </w:r>
      <w:r>
        <w:t xml:space="preserve"> </w:t>
      </w:r>
      <w:r>
        <w:t xml:space="preserve">“</w:t>
      </w:r>
      <w:r>
        <w:t xml:space="preserve">凡田獸之脯腊</w:t>
      </w:r>
      <w:r>
        <w:t xml:space="preserve">”</w:t>
      </w:r>
      <w:r>
        <w:t xml:space="preserve"> </w:t>
      </w:r>
      <w:r>
        <w:t xml:space="preserve">in the</w:t>
      </w:r>
      <w:r>
        <w:t xml:space="preserve"> </w:t>
      </w:r>
      <w:r>
        <w:t xml:space="preserve">“</w:t>
      </w:r>
      <w:r>
        <w:t xml:space="preserve">Offices of Heaven</w:t>
      </w:r>
      <w:r>
        <w:t xml:space="preserve">”</w:t>
      </w:r>
      <w:r>
        <w:t xml:space="preserve"> </w:t>
      </w:r>
      <w:r>
        <w:t xml:space="preserve">(天官) section of the</w:t>
      </w:r>
      <w:r>
        <w:t xml:space="preserve"> </w:t>
      </w:r>
      <w:r>
        <w:rPr>
          <w:iCs/>
          <w:i/>
        </w:rPr>
        <w:t xml:space="preserve">Rites of Zhou</w:t>
      </w:r>
      <w:r>
        <w:t xml:space="preserve"> </w:t>
      </w:r>
      <w:r>
        <w:t xml:space="preserve">(周礼) gives:</w:t>
      </w:r>
      <w:r>
        <w:t xml:space="preserve"> </w:t>
      </w:r>
      <w:r>
        <w:t xml:space="preserve">“</w:t>
      </w:r>
      <w:r>
        <w:t xml:space="preserve">腊、小物全乾者</w:t>
      </w:r>
      <w:r>
        <w:t xml:space="preserve">”</w:t>
      </w:r>
      <w:r>
        <w:t xml:space="preserve"> </w:t>
      </w:r>
      <w:r>
        <w:t xml:space="preserve">(according to the</w:t>
      </w:r>
      <w:r>
        <w:t xml:space="preserve"> </w:t>
      </w:r>
      <w:r>
        <w:rPr>
          <w:iCs/>
          <w:i/>
        </w:rPr>
        <w:t xml:space="preserve">Kangxi Zidian</w:t>
      </w:r>
      <w:r>
        <w:t xml:space="preserve">). The Kanchi-in manuscript’s</w:t>
      </w:r>
      <w:r>
        <w:t xml:space="preserve"> </w:t>
      </w:r>
      <w:r>
        <w:t xml:space="preserve">“</w:t>
      </w:r>
      <w:r>
        <w:t xml:space="preserve">小牜</w:t>
      </w:r>
      <w:r>
        <w:t xml:space="preserve">”</w:t>
      </w:r>
      <w:r>
        <w:t xml:space="preserve"> </w:t>
      </w:r>
      <w:r>
        <w:t xml:space="preserve">poses no problem when read as the Chinese characters</w:t>
      </w:r>
      <w:r>
        <w:t xml:space="preserve"> </w:t>
      </w:r>
      <w:r>
        <w:t xml:space="preserve">“</w:t>
      </w:r>
      <w:r>
        <w:t xml:space="preserve">小物</w:t>
      </w:r>
      <w:r>
        <w:t xml:space="preserve">”</w:t>
      </w:r>
      <w:r>
        <w:t xml:space="preserve">. As for the</w:t>
      </w:r>
      <w:r>
        <w:t xml:space="preserve"> </w:t>
      </w:r>
      <w:r>
        <w:t xml:space="preserve">“</w:t>
      </w:r>
      <w:r>
        <w:t xml:space="preserve">全干也</w:t>
      </w:r>
      <w:r>
        <w:t xml:space="preserve">”</w:t>
      </w:r>
      <w:r>
        <w:t xml:space="preserve"> </w:t>
      </w:r>
      <w:r>
        <w:t xml:space="preserve">portion, if read as Chinese characters, there is a difference between</w:t>
      </w:r>
      <w:r>
        <w:t xml:space="preserve"> </w:t>
      </w:r>
      <w:r>
        <w:t xml:space="preserve">“</w:t>
      </w:r>
      <w:r>
        <w:t xml:space="preserve">干</w:t>
      </w:r>
      <w:r>
        <w:t xml:space="preserve">”</w:t>
      </w:r>
      <w:r>
        <w:t xml:space="preserve"> </w:t>
      </w:r>
      <w:r>
        <w:t xml:space="preserve">and</w:t>
      </w:r>
      <w:r>
        <w:t xml:space="preserve"> </w:t>
      </w:r>
      <w:r>
        <w:t xml:space="preserve">“</w:t>
      </w:r>
      <w:r>
        <w:t xml:space="preserve">乾</w:t>
      </w:r>
      <w:r>
        <w:t xml:space="preserve">”</w:t>
      </w:r>
      <w:r>
        <w:t xml:space="preserve">.</w:t>
      </w:r>
      <w:r>
        <w:t xml:space="preserve"> </w:t>
      </w:r>
      <w:r>
        <w:t xml:space="preserve">“</w:t>
      </w:r>
      <w:r>
        <w:t xml:space="preserve">干</w:t>
      </w:r>
      <w:r>
        <w:t xml:space="preserve">”</w:t>
      </w:r>
      <w:r>
        <w:t xml:space="preserve"> </w:t>
      </w:r>
      <w:r>
        <w:t xml:space="preserve">is given in the</w:t>
      </w:r>
      <w:r>
        <w:t xml:space="preserve"> </w:t>
      </w:r>
      <w:r>
        <w:rPr>
          <w:iCs/>
          <w:i/>
        </w:rPr>
        <w:t xml:space="preserve">Guangyun</w:t>
      </w:r>
      <w:r>
        <w:t xml:space="preserve"> </w:t>
      </w:r>
      <w:r>
        <w:t xml:space="preserve">as</w:t>
      </w:r>
      <w:r>
        <w:t xml:space="preserve"> </w:t>
      </w:r>
      <w:r>
        <w:t xml:space="preserve">“</w:t>
      </w:r>
      <w:r>
        <w:t xml:space="preserve">古寒切</w:t>
      </w:r>
      <w:r>
        <w:t xml:space="preserve">”</w:t>
      </w:r>
      <w:r>
        <w:t xml:space="preserve"> </w:t>
      </w:r>
      <w:r>
        <w:t xml:space="preserve">(Level tone,</w:t>
      </w:r>
      <w:r>
        <w:t xml:space="preserve"> </w:t>
      </w:r>
      <w:r>
        <w:rPr>
          <w:iCs/>
          <w:i/>
        </w:rPr>
        <w:t xml:space="preserve">Hán</w:t>
      </w:r>
      <w:r>
        <w:t xml:space="preserve"> </w:t>
      </w:r>
      <w:r>
        <w:t xml:space="preserve">rhyme); it is homophonous with</w:t>
      </w:r>
      <w:r>
        <w:t xml:space="preserve"> </w:t>
      </w:r>
      <w:r>
        <w:t xml:space="preserve">“</w:t>
      </w:r>
      <w:r>
        <w:t xml:space="preserve">乾</w:t>
      </w:r>
      <w:r>
        <w:t xml:space="preserve">”</w:t>
      </w:r>
      <w:r>
        <w:t xml:space="preserve">, and the two characters are used interchangeably.</w:t>
      </w:r>
    </w:p>
    <w:p>
      <w:pPr>
        <w:pStyle w:val="BodyText"/>
      </w:pPr>
      <w:r>
        <w:t xml:space="preserve">Now, does the Kanchi-in manuscript’s</w:t>
      </w:r>
      <w:r>
        <w:t xml:space="preserve"> </w:t>
      </w:r>
      <w:r>
        <w:t xml:space="preserve">“</w:t>
      </w:r>
      <w:r>
        <w:t xml:space="preserve">小牜全干也</w:t>
      </w:r>
      <w:r>
        <w:t xml:space="preserve">”</w:t>
      </w:r>
      <w:r>
        <w:t xml:space="preserve"> </w:t>
      </w:r>
      <w:r>
        <w:t xml:space="preserve">refer directly to the</w:t>
      </w:r>
      <w:r>
        <w:t xml:space="preserve"> </w:t>
      </w:r>
      <w:r>
        <w:rPr>
          <w:iCs/>
          <w:i/>
        </w:rPr>
        <w:t xml:space="preserve">Rites of Zhou</w:t>
      </w:r>
      <w:r>
        <w:t xml:space="preserve">, or is it an indirect reference? If indirect, one would expect it to derive from Xuanying’s</w:t>
      </w:r>
      <w:r>
        <w:t xml:space="preserve"> </w:t>
      </w:r>
      <w:r>
        <w:rPr>
          <w:iCs/>
          <w:i/>
        </w:rPr>
        <w:t xml:space="preserve">Yiqiejing yinyi</w:t>
      </w:r>
      <w:r>
        <w:t xml:space="preserve"> </w:t>
      </w:r>
      <w:r>
        <w:t xml:space="preserve">or from Gu Yewang’s original</w:t>
      </w:r>
      <w:r>
        <w:t xml:space="preserve"> </w:t>
      </w:r>
      <w:r>
        <w:rPr>
          <w:iCs/>
          <w:i/>
        </w:rPr>
        <w:t xml:space="preserve">Yupian</w:t>
      </w:r>
      <w:r>
        <w:t xml:space="preserve">. Since the surviving fragments and quoted remnants of the original</w:t>
      </w:r>
      <w:r>
        <w:t xml:space="preserve"> </w:t>
      </w:r>
      <w:r>
        <w:rPr>
          <w:iCs/>
          <w:i/>
        </w:rPr>
        <w:t xml:space="preserve">Yupian</w:t>
      </w:r>
      <w:r>
        <w:t xml:space="preserve"> </w:t>
      </w:r>
      <w:r>
        <w:t xml:space="preserve">do not preserve this entry, we instead consult the</w:t>
      </w:r>
      <w:r>
        <w:t xml:space="preserve"> </w:t>
      </w:r>
      <w:r>
        <w:rPr>
          <w:iCs/>
          <w:i/>
        </w:rPr>
        <w:t xml:space="preserve">Tenrei Banshō Meigi</w:t>
      </w:r>
      <w:r>
        <w:t xml:space="preserve"> </w:t>
      </w:r>
      <w:r>
        <w:t xml:space="preserve">and the Song edition of the</w:t>
      </w:r>
      <w:r>
        <w:t xml:space="preserve"> </w:t>
      </w:r>
      <w:r>
        <w:rPr>
          <w:iCs/>
          <w:i/>
        </w:rPr>
        <w:t xml:space="preserve">Yupian</w:t>
      </w:r>
      <w:r>
        <w:t xml:space="preserve">; searching these two works for</w:t>
      </w:r>
      <w:r>
        <w:t xml:space="preserve"> </w:t>
      </w:r>
      <w:r>
        <w:t xml:space="preserve">“</w:t>
      </w:r>
      <w:r>
        <w:t xml:space="preserve">腊</w:t>
      </w:r>
      <w:r>
        <w:t xml:space="preserve">”</w:t>
      </w:r>
      <w:r>
        <w:t xml:space="preserve"> </w:t>
      </w:r>
      <w:r>
        <w:t xml:space="preserve">yields the following. For reference, the text of the</w:t>
      </w:r>
      <w:r>
        <w:t xml:space="preserve"> </w:t>
      </w:r>
      <w:r>
        <w:rPr>
          <w:iCs/>
          <w:i/>
        </w:rPr>
        <w:t xml:space="preserve">Guangyun</w:t>
      </w:r>
      <w:r>
        <w:t xml:space="preserve"> </w:t>
      </w:r>
      <w:r>
        <w:t xml:space="preserve">is also given.</w:t>
      </w:r>
    </w:p>
    <w:p>
      <w:pPr>
        <w:numPr>
          <w:ilvl w:val="0"/>
          <w:numId w:val="1256"/>
        </w:numPr>
        <w:pStyle w:val="Compact"/>
      </w:pPr>
      <w:r>
        <w:t xml:space="preserve">腊 胥亦反。久也、小物全干也。（万象名義、2帖66裏）</w:t>
      </w:r>
    </w:p>
    <w:p>
      <w:pPr>
        <w:numPr>
          <w:ilvl w:val="0"/>
          <w:numId w:val="1256"/>
        </w:numPr>
        <w:pStyle w:val="Compact"/>
      </w:pPr>
      <w:r>
        <w:t xml:space="preserve">腊 思亦切。乾肉也。《周禮》：腊人掌乾肉。（宋本玉篇、上71表）</w:t>
      </w:r>
    </w:p>
    <w:p>
      <w:pPr>
        <w:numPr>
          <w:ilvl w:val="0"/>
          <w:numId w:val="1256"/>
        </w:numPr>
        <w:pStyle w:val="Compact"/>
      </w:pPr>
      <w:r>
        <w:t xml:space="preserve">腊 乾肉見經典（広韻・入声昔韻、昔：思積切）</w:t>
      </w:r>
    </w:p>
    <w:p>
      <w:pPr>
        <w:pStyle w:val="FirstParagraph"/>
      </w:pPr>
      <w:r>
        <w:t xml:space="preserve">Comparing these, the Kanchi-in manuscript’s</w:t>
      </w:r>
      <w:r>
        <w:t xml:space="preserve"> </w:t>
      </w:r>
      <w:r>
        <w:t xml:space="preserve">“</w:t>
      </w:r>
      <w:r>
        <w:t xml:space="preserve">小牜全干也</w:t>
      </w:r>
      <w:r>
        <w:t xml:space="preserve">”</w:t>
      </w:r>
      <w:r>
        <w:t xml:space="preserve"> </w:t>
      </w:r>
      <w:r>
        <w:t xml:space="preserve">agrees with the</w:t>
      </w:r>
      <w:r>
        <w:t xml:space="preserve"> </w:t>
      </w:r>
      <w:r>
        <w:rPr>
          <w:iCs/>
          <w:i/>
        </w:rPr>
        <w:t xml:space="preserve">Tenrei Banshō Meigi</w:t>
      </w:r>
      <w:r>
        <w:t xml:space="preserve">’s</w:t>
      </w:r>
      <w:r>
        <w:t xml:space="preserve"> </w:t>
      </w:r>
      <w:r>
        <w:t xml:space="preserve">“</w:t>
      </w:r>
      <w:r>
        <w:t xml:space="preserve">小物全干也</w:t>
      </w:r>
      <w:r>
        <w:t xml:space="preserve">”</w:t>
      </w:r>
      <w:r>
        <w:t xml:space="preserve">, and it can be concluded with confidence that it derives from the</w:t>
      </w:r>
      <w:r>
        <w:t xml:space="preserve"> </w:t>
      </w:r>
      <w:r>
        <w:rPr>
          <w:iCs/>
          <w:i/>
        </w:rPr>
        <w:t xml:space="preserve">Tenrei Banshō Meigi</w:t>
      </w:r>
      <w:r>
        <w:t xml:space="preserve">. However, it remains unclear whether this citation of the</w:t>
      </w:r>
      <w:r>
        <w:t xml:space="preserve"> </w:t>
      </w:r>
      <w:r>
        <w:rPr>
          <w:iCs/>
          <w:i/>
        </w:rPr>
        <w:t xml:space="preserve">Tenrei Banshō Meigi</w:t>
      </w:r>
      <w:r>
        <w:t xml:space="preserve"> </w:t>
      </w:r>
      <w:r>
        <w:t xml:space="preserve">was already present in the original compilation of the</w:t>
      </w:r>
      <w:r>
        <w:t xml:space="preserve"> </w:t>
      </w:r>
      <w:r>
        <w:rPr>
          <w:iCs/>
          <w:i/>
        </w:rPr>
        <w:t xml:space="preserve">Myōgishō</w:t>
      </w:r>
      <w:r>
        <w:t xml:space="preserve">, or whether it was added as an augmentation in the revised compilation.</w:t>
      </w:r>
    </w:p>
    <w:bookmarkEnd w:id="661"/>
    <w:bookmarkEnd w:id="662"/>
    <w:bookmarkEnd w:id="663"/>
    <w:bookmarkEnd w:id="664"/>
    <w:bookmarkStart w:id="806" w:name="Xce6dfe1540619163e2fdef72e94317667ff2916"/>
    <w:bookmarkStart w:id="805" w:name="X28dc91d0763dc95d728f6d818612646b52b71fb"/>
    <w:p>
      <w:pPr>
        <w:pStyle w:val="Heading1"/>
      </w:pPr>
      <w:r>
        <w:rPr>
          <w:rStyle w:val="SectionNumber"/>
        </w:rPr>
        <w:t xml:space="preserve">26</w:t>
      </w:r>
      <w:r>
        <w:tab/>
      </w:r>
      <w:r>
        <w:t xml:space="preserve">Concrete Examples of Annotation Description</w:t>
      </w:r>
    </w:p>
    <w:bookmarkStart w:id="668" w:name="X252d96972279ba905795a2ab33ff98b885d21bd"/>
    <w:p>
      <w:pPr>
        <w:pStyle w:val="Heading2"/>
      </w:pPr>
      <w:r>
        <w:rPr>
          <w:rStyle w:val="SectionNumber"/>
        </w:rPr>
        <w:t xml:space="preserve">26.1</w:t>
      </w:r>
      <w:r>
        <w:tab/>
      </w:r>
      <w:r>
        <w:t xml:space="preserve">Foreword</w:t>
      </w:r>
    </w:p>
    <w:bookmarkStart w:id="665" w:name="Xd82eff9f405780716b255d1ddd161ed6821319e"/>
    <w:p>
      <w:pPr>
        <w:pStyle w:val="Heading3"/>
      </w:pPr>
      <w:r>
        <w:rPr>
          <w:rStyle w:val="SectionNumber"/>
        </w:rPr>
        <w:t xml:space="preserve">26.1.1</w:t>
      </w:r>
      <w:r>
        <w:tab/>
      </w:r>
      <w:r>
        <w:t xml:space="preserve">A Trial Draft of the Annotations</w:t>
      </w:r>
    </w:p>
    <w:p>
      <w:pPr>
        <w:pStyle w:val="FirstParagraph"/>
      </w:pPr>
      <w:r>
        <w:t xml:space="preserve">How annotations should be created, and further, how the completed annotations should be</w:t>
      </w:r>
      <w:r>
        <w:t xml:space="preserve"> </w:t>
      </w:r>
      <w:r>
        <w:t xml:space="preserve">published, are matters currently under consideration.</w:t>
      </w:r>
    </w:p>
    <w:p>
      <w:pPr>
        <w:pStyle w:val="BodyText"/>
      </w:pPr>
      <w:r>
        <w:t xml:space="preserve">As a trial, some examples of annotations have been created here. Comments and feedback would be</w:t>
      </w:r>
      <w:r>
        <w:t xml:space="preserve"> </w:t>
      </w:r>
      <w:r>
        <w:t xml:space="preserve">most welcome. Note that some items that should be annotated remain blank — for example,</w:t>
      </w:r>
      <w:r>
        <w:t xml:space="preserve"> </w:t>
      </w:r>
      <w:r>
        <w:rPr>
          <w:bCs/>
          <w:b/>
        </w:rPr>
        <w:t xml:space="preserve">K0106261　匜</w:t>
      </w:r>
      <w:r>
        <w:t xml:space="preserve">. These are intended to be filled in and revised in the future.</w:t>
      </w:r>
    </w:p>
    <w:bookmarkEnd w:id="665"/>
    <w:bookmarkStart w:id="666" w:name="X3011de2f4e9afa51028244348aec6ebc47d7e74"/>
    <w:p>
      <w:pPr>
        <w:pStyle w:val="Heading3"/>
      </w:pPr>
      <w:r>
        <w:rPr>
          <w:rStyle w:val="SectionNumber"/>
        </w:rPr>
        <w:t xml:space="preserve">26.1.2</w:t>
      </w:r>
      <w:r>
        <w:tab/>
      </w:r>
      <w:r>
        <w:t xml:space="preserve">Texts Used</w:t>
      </w:r>
    </w:p>
    <w:p>
      <w:pPr>
        <w:pStyle w:val="FirstParagraph"/>
      </w:pPr>
      <w:r>
        <w:t xml:space="preserve">The</w:t>
      </w:r>
      <w:r>
        <w:t xml:space="preserve"> </w:t>
      </w:r>
      <w:r>
        <w:rPr>
          <w:rStyle w:val="VerbatimChar"/>
          <w:bCs/>
          <w:b/>
        </w:rPr>
        <w:t xml:space="preserve">Main Text</w:t>
      </w:r>
      <w:r>
        <w:t xml:space="preserve"> </w:t>
      </w:r>
      <w:r>
        <w:t xml:space="preserve">of the Kanchi-in manuscript of the</w:t>
      </w:r>
      <w:r>
        <w:t xml:space="preserve"> </w:t>
      </w:r>
      <w:r>
        <w:rPr>
          <w:iCs/>
          <w:i/>
        </w:rPr>
        <w:t xml:space="preserve">Ruiju Myōgishō</w:t>
      </w:r>
      <w:r>
        <w:t xml:space="preserve"> </w:t>
      </w:r>
      <w:r>
        <w:t xml:space="preserve">that serves as the subject</w:t>
      </w:r>
      <w:r>
        <w:t xml:space="preserve"> </w:t>
      </w:r>
      <w:r>
        <w:t xml:space="preserve">of annotation here is page 62 of the</w:t>
      </w:r>
      <w:r>
        <w:t xml:space="preserve"> </w:t>
      </w:r>
      <w:r>
        <w:rPr>
          <w:iCs/>
          <w:i/>
        </w:rPr>
        <w:t xml:space="preserve">Butsujō</w:t>
      </w:r>
      <w:r>
        <w:t xml:space="preserve"> </w:t>
      </w:r>
      <w:r>
        <w:t xml:space="preserve">(仏上) volume (the Tenri edition, folio 34 verso).</w:t>
      </w:r>
      <w:r>
        <w:t xml:space="preserve"> </w:t>
      </w:r>
      <w:r>
        <w:t xml:space="preserve">For this passage, a full-size, high-resolution color facsimile sample is published on the Yagi</w:t>
      </w:r>
      <w:r>
        <w:t xml:space="preserve"> </w:t>
      </w:r>
      <w:r>
        <w:t xml:space="preserve">Shoten website, from</w:t>
      </w:r>
      <w:r>
        <w:t xml:space="preserve"> </w:t>
      </w:r>
      <w:r>
        <w:rPr>
          <w:iCs/>
          <w:i/>
        </w:rPr>
        <w:t xml:space="preserve">Ruiju Myōgishō Kanchi-in-bon</w:t>
      </w:r>
      <w:r>
        <w:t xml:space="preserve"> </w:t>
      </w:r>
      <w:r>
        <w:t xml:space="preserve">(類聚名義抄　観智院本;</w:t>
      </w:r>
      <w:r>
        <w:t xml:space="preserve"> </w:t>
      </w:r>
      <w:r>
        <w:rPr>
          <w:iCs/>
          <w:i/>
        </w:rPr>
        <w:t xml:space="preserve">Shin Tenri Toshokan</w:t>
      </w:r>
      <w:r>
        <w:rPr>
          <w:iCs/>
          <w:i/>
        </w:rPr>
        <w:t xml:space="preserve"> </w:t>
      </w:r>
      <w:r>
        <w:rPr>
          <w:iCs/>
          <w:i/>
        </w:rPr>
        <w:t xml:space="preserve">Zenpon Sōsho</w:t>
      </w:r>
      <w:r>
        <w:t xml:space="preserve"> </w:t>
      </w:r>
      <w:r>
        <w:t xml:space="preserve">[New Tenri Library Rare Books Series], vols. 9–11; Yagi Shoten, 2018).</w:t>
      </w:r>
    </w:p>
    <w:p>
      <w:pPr>
        <w:pStyle w:val="BodyText"/>
      </w:pPr>
      <w:r>
        <w:t xml:space="preserve">https://company.books-yagi.co.jp/wp-content/uploads/2018/03/95596.pdf</w:t>
      </w:r>
    </w:p>
    <w:p>
      <w:pPr>
        <w:pStyle w:val="BodyText"/>
      </w:pPr>
      <w:r>
        <w:t xml:space="preserve">A facsimile from the Kichō Tosho Fukuseikai (1937) can be viewed in the National Diet Library</w:t>
      </w:r>
      <w:r>
        <w:t xml:space="preserve"> </w:t>
      </w:r>
      <w:r>
        <w:t xml:space="preserve">Digital Collections. The URL for</w:t>
      </w:r>
      <w:r>
        <w:t xml:space="preserve"> </w:t>
      </w:r>
      <w:r>
        <w:rPr>
          <w:iCs/>
          <w:i/>
        </w:rPr>
        <w:t xml:space="preserve">Butsujō</w:t>
      </w:r>
      <w:r>
        <w:t xml:space="preserve"> </w:t>
      </w:r>
      <w:r>
        <w:t xml:space="preserve">page 62 is as follows.</w:t>
      </w:r>
    </w:p>
    <w:p>
      <w:pPr>
        <w:pStyle w:val="BodyText"/>
      </w:pPr>
      <w:r>
        <w:t xml:space="preserve">https://dl.ndl.go.jp/info:ndljp/pid/2586891/37</w:t>
      </w:r>
    </w:p>
    <w:p>
      <w:pPr>
        <w:pStyle w:val="BodyText"/>
      </w:pPr>
      <w:r>
        <w:t xml:space="preserve">For the Renjō-in manuscript, reference is made to</w:t>
      </w:r>
      <w:r>
        <w:t xml:space="preserve"> </w:t>
      </w:r>
      <w:r>
        <w:rPr>
          <w:iCs/>
          <w:i/>
        </w:rPr>
        <w:t xml:space="preserve">Sanpō Ruiju Myōgishō</w:t>
      </w:r>
      <w:r>
        <w:t xml:space="preserve"> </w:t>
      </w:r>
      <w:r>
        <w:t xml:space="preserve">(鎮国守国神社蔵本三宝類聚名義抄;</w:t>
      </w:r>
      <w:r>
        <w:t xml:space="preserve"> </w:t>
      </w:r>
      <w:r>
        <w:rPr>
          <w:iCs/>
          <w:i/>
        </w:rPr>
        <w:t xml:space="preserve">Sanpō Ruiju Myōgishō</w:t>
      </w:r>
      <w:r>
        <w:t xml:space="preserve">, Held by Chinkoku Shukoku Shrine; Benseisha, 1986).</w:t>
      </w:r>
    </w:p>
    <w:p>
      <w:pPr>
        <w:pStyle w:val="BodyText"/>
      </w:pPr>
      <w:r>
        <w:t xml:space="preserve">In the New Japanese Classical Text Comprehensive Database (新日本古典籍総合データベース) of the</w:t>
      </w:r>
      <w:r>
        <w:t xml:space="preserve"> </w:t>
      </w:r>
      <w:r>
        <w:t xml:space="preserve">National Institute of Japanese Literature, the manuscript held by the Archives and Mausolea</w:t>
      </w:r>
      <w:r>
        <w:t xml:space="preserve"> </w:t>
      </w:r>
      <w:r>
        <w:t xml:space="preserve">Department of the Imperial Household Agency (書陵部) can be viewed. The URL for the passage</w:t>
      </w:r>
      <w:r>
        <w:t xml:space="preserve"> </w:t>
      </w:r>
      <w:r>
        <w:t xml:space="preserve">corresponding to page 62 of the</w:t>
      </w:r>
      <w:r>
        <w:t xml:space="preserve"> </w:t>
      </w:r>
      <w:r>
        <w:rPr>
          <w:iCs/>
          <w:i/>
        </w:rPr>
        <w:t xml:space="preserve">Butsujō</w:t>
      </w:r>
      <w:r>
        <w:t xml:space="preserve"> </w:t>
      </w:r>
      <w:r>
        <w:t xml:space="preserve">volume in the Kanchi-in manuscript is given below.</w:t>
      </w:r>
    </w:p>
    <w:p>
      <w:pPr>
        <w:pStyle w:val="BodyText"/>
      </w:pPr>
      <w:r>
        <w:t xml:space="preserve">https://kotenseki.nijl.ac.jp/biblio/100256105/viewer/75</w:t>
      </w:r>
    </w:p>
    <w:p>
      <w:pPr>
        <w:pStyle w:val="BodyText"/>
      </w:pPr>
      <w:r>
        <w:t xml:space="preserve">For the Kōzan-ji manuscript, reference is made to</w:t>
      </w:r>
      <w:r>
        <w:t xml:space="preserve"> </w:t>
      </w:r>
      <w:r>
        <w:rPr>
          <w:iCs/>
          <w:i/>
        </w:rPr>
        <w:t xml:space="preserve">Sanbō Ruiji-shū Kōzan-ji-bon</w:t>
      </w:r>
      <w:r>
        <w:t xml:space="preserve"> </w:t>
      </w:r>
      <w:r>
        <w:t xml:space="preserve">(三宝類字集　高山寺本;</w:t>
      </w:r>
      <w:r>
        <w:t xml:space="preserve"> </w:t>
      </w:r>
      <w:r>
        <w:rPr>
          <w:iCs/>
          <w:i/>
        </w:rPr>
        <w:t xml:space="preserve">Shin Tenri Toshokan Zenpon Sōsho</w:t>
      </w:r>
      <w:r>
        <w:t xml:space="preserve">, vol. 8; Yagi Shoten, 2016).</w:t>
      </w:r>
    </w:p>
    <w:p>
      <w:pPr>
        <w:pStyle w:val="BodyText"/>
      </w:pPr>
      <w:r>
        <w:t xml:space="preserve">The best-known exemplars of the Sainenji manuscript are those held by Tenri Central Library and</w:t>
      </w:r>
      <w:r>
        <w:t xml:space="preserve"> </w:t>
      </w:r>
      <w:r>
        <w:t xml:space="preserve">Kansai University.</w:t>
      </w:r>
    </w:p>
    <w:p>
      <w:pPr>
        <w:pStyle w:val="BodyText"/>
      </w:pPr>
      <w:r>
        <w:t xml:space="preserve">Since the Tenri Central Library exemplar is unpublished, a facsimile must be obtained by applying</w:t>
      </w:r>
      <w:r>
        <w:t xml:space="preserve"> </w:t>
      </w:r>
      <w:r>
        <w:t xml:space="preserve">directly to the library.</w:t>
      </w:r>
    </w:p>
    <w:p>
      <w:pPr>
        <w:pStyle w:val="BodyText"/>
      </w:pPr>
      <w:r>
        <w:t xml:space="preserve">In the New Japanese Classical Text Comprehensive Database of the National Institute of Japanese</w:t>
      </w:r>
      <w:r>
        <w:t xml:space="preserve"> </w:t>
      </w:r>
      <w:r>
        <w:t xml:space="preserve">Literature, the Kansai University exemplar can be viewed. The URL for the passage corresponding to</w:t>
      </w:r>
      <w:r>
        <w:t xml:space="preserve"> </w:t>
      </w:r>
      <w:r>
        <w:t xml:space="preserve">page 62 of the</w:t>
      </w:r>
      <w:r>
        <w:t xml:space="preserve"> </w:t>
      </w:r>
      <w:r>
        <w:rPr>
          <w:iCs/>
          <w:i/>
        </w:rPr>
        <w:t xml:space="preserve">Butsujō</w:t>
      </w:r>
      <w:r>
        <w:t xml:space="preserve"> </w:t>
      </w:r>
      <w:r>
        <w:t xml:space="preserve">volume in the Kanchi-in manuscript is given below.</w:t>
      </w:r>
    </w:p>
    <w:p>
      <w:pPr>
        <w:pStyle w:val="BodyText"/>
      </w:pPr>
      <w:r>
        <w:t xml:space="preserve">https://kotenseki.nijl.ac.jp/biblio/100302544/viewer/43</w:t>
      </w:r>
    </w:p>
    <w:p>
      <w:pPr>
        <w:pStyle w:val="BodyText"/>
      </w:pPr>
      <w:r>
        <w:t xml:space="preserve">In addition, digitized microfilm images of the Archives and Mausolea Department exemplar can be</w:t>
      </w:r>
      <w:r>
        <w:t xml:space="preserve"> </w:t>
      </w:r>
      <w:r>
        <w:t xml:space="preserve">viewed. The URL for the passage corresponding to page 62 of the</w:t>
      </w:r>
      <w:r>
        <w:t xml:space="preserve"> </w:t>
      </w:r>
      <w:r>
        <w:rPr>
          <w:iCs/>
          <w:i/>
        </w:rPr>
        <w:t xml:space="preserve">Butsujō</w:t>
      </w:r>
      <w:r>
        <w:t xml:space="preserve"> </w:t>
      </w:r>
      <w:r>
        <w:t xml:space="preserve">volume in the Kanchi-in</w:t>
      </w:r>
      <w:r>
        <w:t xml:space="preserve"> </w:t>
      </w:r>
      <w:r>
        <w:t xml:space="preserve">manuscript is given below.</w:t>
      </w:r>
    </w:p>
    <w:p>
      <w:pPr>
        <w:pStyle w:val="BodyText"/>
      </w:pPr>
      <w:r>
        <w:t xml:space="preserve">https://kotenseki.nijl.ac.jp/biblio/100256105/viewer/37</w:t>
      </w:r>
    </w:p>
    <w:p>
      <w:pPr>
        <w:pStyle w:val="BodyText"/>
      </w:pPr>
      <w:r>
        <w:t xml:space="preserve">Comparing the Tenri Central Library, Kansai University, and Archives and Mausolea Department</w:t>
      </w:r>
      <w:r>
        <w:t xml:space="preserve"> </w:t>
      </w:r>
      <w:r>
        <w:t xml:space="preserve">exemplars, the Kansai University exemplar appears to contain a certain number of scribal errors</w:t>
      </w:r>
      <w:r>
        <w:t xml:space="preserve"> </w:t>
      </w:r>
      <w:r>
        <w:t xml:space="preserve">and omissions. For viewing the Sainenji manuscript online, the Archives and Mausolea Department</w:t>
      </w:r>
      <w:r>
        <w:t xml:space="preserve"> </w:t>
      </w:r>
      <w:r>
        <w:t xml:space="preserve">exemplar is likely preferable.</w:t>
      </w:r>
    </w:p>
    <w:bookmarkEnd w:id="666"/>
    <w:bookmarkStart w:id="667" w:name="X24a9822b0dca3f9018744dc8f6c66b96c69d6ec"/>
    <w:p>
      <w:pPr>
        <w:pStyle w:val="Heading3"/>
      </w:pPr>
      <w:r>
        <w:rPr>
          <w:rStyle w:val="SectionNumber"/>
        </w:rPr>
        <w:t xml:space="preserve">26.1.3</w:t>
      </w:r>
      <w:r>
        <w:tab/>
      </w:r>
      <w:r>
        <w:t xml:space="preserve">Conventions</w:t>
      </w:r>
    </w:p>
    <w:p>
      <w:pPr>
        <w:pStyle w:val="FirstParagraph"/>
      </w:pPr>
      <w:r>
        <w:t xml:space="preserve">Locations in the Kanchi-in manuscript are indicated in the form K0106212. This indicates that the</w:t>
      </w:r>
      <w:r>
        <w:t xml:space="preserve"> </w:t>
      </w:r>
      <w:r>
        <w:t xml:space="preserve">corresponding item is found in Fascicle 1, page 62, line 1, column 2 of the Kanchi-in manuscript.</w:t>
      </w:r>
      <w:r>
        <w:t xml:space="preserve"> </w:t>
      </w:r>
      <w:r>
        <w:t xml:space="preserve">The</w:t>
      </w:r>
      <w:r>
        <w:t xml:space="preserve"> </w:t>
      </w:r>
      <w:r>
        <w:rPr>
          <w:rStyle w:val="VerbatimChar"/>
          <w:bCs/>
          <w:b/>
        </w:rPr>
        <w:t xml:space="preserve">Entry</w:t>
      </w:r>
      <w:r>
        <w:t xml:space="preserve"> </w:t>
      </w:r>
      <w:r>
        <w:t xml:space="preserve">published in KRM.tsv is shown in the form</w:t>
      </w:r>
      <w:r>
        <w:t xml:space="preserve"> </w:t>
      </w:r>
      <w:r>
        <w:t xml:space="preserve">“</w:t>
      </w:r>
      <w:r>
        <w:t xml:space="preserve">建／䢖</w:t>
      </w:r>
      <w:r>
        <w:t xml:space="preserve">”</w:t>
      </w:r>
      <w:r>
        <w:t xml:space="preserve">. The</w:t>
      </w:r>
      <w:r>
        <w:t xml:space="preserve"> </w:t>
      </w:r>
      <w:r>
        <w:t xml:space="preserve">“</w:t>
      </w:r>
      <w:r>
        <w:t xml:space="preserve">／</w:t>
      </w:r>
      <w:r>
        <w:t xml:space="preserve">”</w:t>
      </w:r>
      <w:r>
        <w:t xml:space="preserve"> </w:t>
      </w:r>
      <w:r>
        <w:t xml:space="preserve">mark separates multiple</w:t>
      </w:r>
      <w:r>
        <w:t xml:space="preserve"> </w:t>
      </w:r>
      <w:r>
        <w:rPr>
          <w:rStyle w:val="VerbatimChar"/>
          <w:bCs/>
          <w:b/>
        </w:rPr>
        <w:t xml:space="preserve">Headwords</w:t>
      </w:r>
      <w:r>
        <w:t xml:space="preserve"> </w:t>
      </w:r>
      <w:r>
        <w:t xml:space="preserve">when more than one is present.</w:t>
      </w:r>
    </w:p>
    <w:p>
      <w:pPr>
        <w:pStyle w:val="BodyText"/>
      </w:pPr>
      <w:r>
        <w:t xml:space="preserve">Next, the original glyph forms are shown via GlyphWiki, followed by the</w:t>
      </w:r>
      <w:r>
        <w:t xml:space="preserve"> </w:t>
      </w:r>
      <w:r>
        <w:rPr>
          <w:rStyle w:val="VerbatimChar"/>
          <w:bCs/>
          <w:b/>
        </w:rPr>
        <w:t xml:space="preserve">Main Text</w:t>
      </w:r>
      <w:r>
        <w:t xml:space="preserve"> </w:t>
      </w:r>
      <w:r>
        <w:t xml:space="preserve">and then</w:t>
      </w:r>
      <w:r>
        <w:t xml:space="preserve"> </w:t>
      </w:r>
      <w:r>
        <w:t xml:space="preserve">the</w:t>
      </w:r>
      <w:r>
        <w:t xml:space="preserve"> </w:t>
      </w:r>
      <w:r>
        <w:rPr>
          <w:rStyle w:val="VerbatimChar"/>
          <w:bCs/>
          <w:b/>
        </w:rPr>
        <w:t xml:space="preserve">Notes</w:t>
      </w:r>
      <w:r>
        <w:t xml:space="preserve">, in that order. In the notes, the number assigned according to the order of</w:t>
      </w:r>
      <w:r>
        <w:t xml:space="preserve"> </w:t>
      </w:r>
      <w:r>
        <w:t xml:space="preserve">appearance within the</w:t>
      </w:r>
      <w:r>
        <w:t xml:space="preserve"> </w:t>
      </w:r>
      <w:r>
        <w:rPr>
          <w:rStyle w:val="VerbatimChar"/>
          <w:bCs/>
          <w:b/>
        </w:rPr>
        <w:t xml:space="preserve">Original Gloss</w:t>
      </w:r>
      <w:r>
        <w:t xml:space="preserve"> </w:t>
      </w:r>
      <w:r>
        <w:t xml:space="preserve">is given first, clearly identifying the specific</w:t>
      </w:r>
      <w:r>
        <w:t xml:space="preserve"> </w:t>
      </w:r>
      <w:r>
        <w:t xml:space="preserve">passage being annotated.</w:t>
      </w:r>
    </w:p>
    <w:bookmarkEnd w:id="667"/>
    <w:bookmarkEnd w:id="668"/>
    <w:bookmarkStart w:id="804" w:name="X009350f4757b4bb2220ef972c23aa8c5c3b34c2"/>
    <w:p>
      <w:pPr>
        <w:pStyle w:val="Heading2"/>
      </w:pPr>
      <w:r>
        <w:rPr>
          <w:rStyle w:val="SectionNumber"/>
        </w:rPr>
        <w:t xml:space="preserve">26.2</w:t>
      </w:r>
      <w:r>
        <w:tab/>
      </w:r>
      <w:r>
        <w:rPr>
          <w:iCs/>
          <w:i/>
        </w:rPr>
        <w:t xml:space="preserve">Butsujō</w:t>
      </w:r>
    </w:p>
    <w:bookmarkStart w:id="740" w:name="X71a8aa5440a4a0492d440508607cfc749b13075"/>
    <w:p>
      <w:pPr>
        <w:pStyle w:val="Heading3"/>
      </w:pPr>
      <w:r>
        <w:rPr>
          <w:rStyle w:val="SectionNumber"/>
        </w:rPr>
        <w:t xml:space="preserve">26.2.1</w:t>
      </w:r>
      <w:r>
        <w:tab/>
      </w:r>
      <w:r>
        <w:t xml:space="preserve">3辵</w:t>
      </w:r>
    </w:p>
    <w:bookmarkStart w:id="675" w:name="Xe90d071a05490e0b55482cfebcd8495541a5648"/>
    <w:p>
      <w:pPr>
        <w:pStyle w:val="Heading4"/>
      </w:pPr>
      <w:r>
        <w:rPr>
          <w:rStyle w:val="SectionNumber"/>
        </w:rPr>
        <w:t xml:space="preserve">26.2.1.1</w:t>
      </w:r>
      <w:r>
        <w:tab/>
      </w:r>
      <w:r>
        <w:t xml:space="preserve">K0106212 建／䢖</w:t>
      </w:r>
    </w:p>
    <w:p>
      <w:pPr>
        <w:pStyle w:val="FirstParagraph"/>
      </w:pPr>
      <w:r>
        <w:drawing>
          <wp:inline>
            <wp:extent cx="476250" cy="476250"/>
            <wp:effectExtent b="0" l="0" r="0" t="0"/>
            <wp:docPr descr="䢖" title="" id="670" name="Picture"/>
            <a:graphic>
              <a:graphicData uri="http://schemas.openxmlformats.org/drawingml/2006/picture">
                <pic:pic>
                  <pic:nvPicPr>
                    <pic:cNvPr descr="https://glyphwiki.org/glyph/sarashina_hkrm-01062121.50px.png" id="671" name="Picture"/>
                    <pic:cNvPicPr>
                      <a:picLocks noChangeArrowheads="1" noChangeAspect="1"/>
                    </pic:cNvPicPr>
                  </pic:nvPicPr>
                  <pic:blipFill>
                    <a:blip r:embed="rId669"/>
                    <a:stretch>
                      <a:fillRect/>
                    </a:stretch>
                  </pic:blipFill>
                  <pic:spPr bwMode="auto">
                    <a:xfrm>
                      <a:off x="0" y="0"/>
                      <a:ext cx="476250" cy="476250"/>
                    </a:xfrm>
                    <a:prstGeom prst="rect">
                      <a:avLst/>
                    </a:prstGeom>
                    <a:noFill/>
                    <a:ln w="9525">
                      <a:noFill/>
                      <a:headEnd/>
                      <a:tailEnd/>
                    </a:ln>
                  </pic:spPr>
                </pic:pic>
              </a:graphicData>
            </a:graphic>
          </wp:inline>
        </w:drawing>
      </w:r>
      <w:r>
        <w:drawing>
          <wp:inline>
            <wp:extent cx="476250" cy="476250"/>
            <wp:effectExtent b="0" l="0" r="0" t="0"/>
            <wp:docPr descr="䢖" title="" id="673" name="Picture"/>
            <a:graphic>
              <a:graphicData uri="http://schemas.openxmlformats.org/drawingml/2006/picture">
                <pic:pic>
                  <pic:nvPicPr>
                    <pic:cNvPr descr="https://glyphwiki.org/glyph/sarashina_hkrm-01062122.50px.png" id="674" name="Picture"/>
                    <pic:cNvPicPr>
                      <a:picLocks noChangeArrowheads="1" noChangeAspect="1"/>
                    </pic:cNvPicPr>
                  </pic:nvPicPr>
                  <pic:blipFill>
                    <a:blip r:embed="rId672"/>
                    <a:stretch>
                      <a:fillRect/>
                    </a:stretch>
                  </pic:blipFill>
                  <pic:spPr bwMode="auto">
                    <a:xfrm>
                      <a:off x="0" y="0"/>
                      <a:ext cx="476250" cy="476250"/>
                    </a:xfrm>
                    <a:prstGeom prst="rect">
                      <a:avLst/>
                    </a:prstGeom>
                    <a:noFill/>
                    <a:ln w="9525">
                      <a:noFill/>
                      <a:headEnd/>
                      <a:tailEnd/>
                    </a:ln>
                  </pic:spPr>
                </pic:pic>
              </a:graphicData>
            </a:graphic>
          </wp:inline>
        </w:drawing>
      </w:r>
    </w:p>
    <w:p>
      <w:pPr>
        <w:pStyle w:val="BodyText"/>
      </w:pPr>
      <w:r>
        <w:t xml:space="preserve">(Main Text)</w:t>
      </w:r>
      <w:r>
        <w:t xml:space="preserve"> </w:t>
      </w:r>
      <w:r>
        <w:t xml:space="preserve">居彦(RV)反　タツ(LH)　ヲヨフ　サル　イタル　ヨロコフ　コホス　クツカヘル　和コン</w:t>
      </w:r>
    </w:p>
    <w:p>
      <w:pPr>
        <w:pStyle w:val="BodyText"/>
      </w:pPr>
      <w:r>
        <w:t xml:space="preserve">(Notes)</w:t>
      </w:r>
    </w:p>
    <w:p>
      <w:pPr>
        <w:pStyle w:val="BodyText"/>
      </w:pPr>
      <w:r>
        <w:t xml:space="preserve">1 居彦(RV)反</w:t>
      </w:r>
      <w:r>
        <w:br/>
      </w:r>
      <w:r>
        <w:t xml:space="preserve">“</w:t>
      </w:r>
      <w:r>
        <w:t xml:space="preserve">建</w:t>
      </w:r>
      <w:r>
        <w:t xml:space="preserve">”</w:t>
      </w:r>
      <w:r>
        <w:t xml:space="preserve"> </w:t>
      </w:r>
      <w:r>
        <w:t xml:space="preserve">appears in the</w:t>
      </w:r>
      <w:r>
        <w:t xml:space="preserve"> </w:t>
      </w:r>
      <w:r>
        <w:rPr>
          <w:iCs/>
          <w:i/>
        </w:rPr>
        <w:t xml:space="preserve">Guangyun</w:t>
      </w:r>
      <w:r>
        <w:t xml:space="preserve"> </w:t>
      </w:r>
      <w:r>
        <w:t xml:space="preserve">as</w:t>
      </w:r>
      <w:r>
        <w:t xml:space="preserve"> </w:t>
      </w:r>
      <w:r>
        <w:t xml:space="preserve">“</w:t>
      </w:r>
      <w:r>
        <w:t xml:space="preserve">居万切</w:t>
      </w:r>
      <w:r>
        <w:t xml:space="preserve">”</w:t>
      </w:r>
      <w:r>
        <w:t xml:space="preserve"> </w:t>
      </w:r>
      <w:r>
        <w:t xml:space="preserve">(Departing tone, Yuan rhyme (願韻), Jian initial; xiaoyun 建).</w:t>
      </w:r>
      <w:r>
        <w:t xml:space="preserve"> </w:t>
      </w:r>
      <w:r>
        <w:t xml:space="preserve">“</w:t>
      </w:r>
      <w:r>
        <w:t xml:space="preserve">䢖</w:t>
      </w:r>
      <w:r>
        <w:t xml:space="preserve">”</w:t>
      </w:r>
      <w:r>
        <w:t xml:space="preserve"> </w:t>
      </w:r>
      <w:r>
        <w:t xml:space="preserve">appears in the</w:t>
      </w:r>
      <w:r>
        <w:t xml:space="preserve"> </w:t>
      </w:r>
      <w:r>
        <w:rPr>
          <w:iCs/>
          <w:i/>
        </w:rPr>
        <w:t xml:space="preserve">Guangyun</w:t>
      </w:r>
      <w:r>
        <w:t xml:space="preserve"> </w:t>
      </w:r>
      <w:r>
        <w:t xml:space="preserve">as</w:t>
      </w:r>
      <w:r>
        <w:t xml:space="preserve"> </w:t>
      </w:r>
      <w:r>
        <w:t xml:space="preserve">“</w:t>
      </w:r>
      <w:r>
        <w:t xml:space="preserve">餘律切</w:t>
      </w:r>
      <w:r>
        <w:t xml:space="preserve">”</w:t>
      </w:r>
      <w:r>
        <w:t xml:space="preserve"> </w:t>
      </w:r>
      <w:r>
        <w:t xml:space="preserve">(Entering tone, Shu rhyme (術韻),</w:t>
      </w:r>
      <w:r>
        <w:t xml:space="preserve"> </w:t>
      </w:r>
      <w:r>
        <w:rPr>
          <w:iCs/>
          <w:i/>
        </w:rPr>
        <w:t xml:space="preserve">Yu</w:t>
      </w:r>
      <w:r>
        <w:t xml:space="preserve"> </w:t>
      </w:r>
      <w:r>
        <w:t xml:space="preserve">IV initial; xiaoyun 聿).</w:t>
      </w:r>
      <w:r>
        <w:t xml:space="preserve"> </w:t>
      </w:r>
      <w:r>
        <w:t xml:space="preserve">“</w:t>
      </w:r>
      <w:r>
        <w:t xml:space="preserve">彦</w:t>
      </w:r>
      <w:r>
        <w:t xml:space="preserve">”</w:t>
      </w:r>
      <w:r>
        <w:t xml:space="preserve"> </w:t>
      </w:r>
      <w:r>
        <w:t xml:space="preserve">is</w:t>
      </w:r>
      <w:r>
        <w:t xml:space="preserve"> </w:t>
      </w:r>
      <w:r>
        <w:t xml:space="preserve">“</w:t>
      </w:r>
      <w:r>
        <w:t xml:space="preserve">魚變切</w:t>
      </w:r>
      <w:r>
        <w:t xml:space="preserve">”</w:t>
      </w:r>
      <w:r>
        <w:t xml:space="preserve"> </w:t>
      </w:r>
      <w:r>
        <w:t xml:space="preserve">(Departing tone, Xian rhyme (線韻), Yi initial). As for the</w:t>
      </w:r>
      <w:r>
        <w:t xml:space="preserve"> </w:t>
      </w:r>
      <w:r>
        <w:rPr>
          <w:rStyle w:val="VerbatimChar"/>
          <w:bCs/>
          <w:b/>
        </w:rPr>
        <w:t xml:space="preserve">Tone Mark</w:t>
      </w:r>
      <w:r>
        <w:t xml:space="preserve"> </w:t>
      </w:r>
      <w:r>
        <w:t xml:space="preserve">on</w:t>
      </w:r>
      <w:r>
        <w:t xml:space="preserve"> </w:t>
      </w:r>
      <w:r>
        <w:t xml:space="preserve">“</w:t>
      </w:r>
      <w:r>
        <w:t xml:space="preserve">彦</w:t>
      </w:r>
      <w:r>
        <w:t xml:space="preserve">”</w:t>
      </w:r>
      <w:r>
        <w:t xml:space="preserve">: the Kanchi-in manuscript marks it Departing, voiced; the Kōzan-ji manuscript marks it Departing, voiced (in the</w:t>
      </w:r>
      <w:r>
        <w:t xml:space="preserve"> </w:t>
      </w:r>
      <w:r>
        <w:t xml:space="preserve">“</w:t>
      </w:r>
      <w:r>
        <w:t xml:space="preserve">-o</w:t>
      </w:r>
      <w:r>
        <w:t xml:space="preserve">”</w:t>
      </w:r>
      <w:r>
        <w:t xml:space="preserve"> </w:t>
      </w:r>
      <w:r>
        <w:t xml:space="preserve">shape); the Sainenji manuscript marks it Departing; the Renjō-in manuscript has none.</w:t>
      </w:r>
    </w:p>
    <w:p>
      <w:pPr>
        <w:pStyle w:val="BodyText"/>
      </w:pPr>
      <w:r>
        <w:t xml:space="preserve">2 タツ(LH)</w:t>
      </w:r>
      <w:r>
        <w:br/>
      </w:r>
      <w:r>
        <w:t xml:space="preserve">The Kōzan-ji manuscript agrees; the Renjō-in and Sainenji manuscripts have no</w:t>
      </w:r>
      <w:r>
        <w:t xml:space="preserve"> </w:t>
      </w:r>
      <w:r>
        <w:rPr>
          <w:rStyle w:val="VerbatimChar"/>
          <w:bCs/>
          <w:b/>
        </w:rPr>
        <w:t xml:space="preserve">Tone Mark</w:t>
      </w:r>
      <w:r>
        <w:t xml:space="preserve">. The</w:t>
      </w:r>
      <w:r>
        <w:t xml:space="preserve"> </w:t>
      </w:r>
      <w:r>
        <w:rPr>
          <w:iCs/>
          <w:i/>
        </w:rPr>
        <w:t xml:space="preserve">Tenrei Banshō Meigi</w:t>
      </w:r>
      <w:r>
        <w:t xml:space="preserve"> </w:t>
      </w:r>
      <w:r>
        <w:t xml:space="preserve">gives</w:t>
      </w:r>
      <w:r>
        <w:t xml:space="preserve"> </w:t>
      </w:r>
      <w:r>
        <w:t xml:space="preserve">“</w:t>
      </w:r>
      <w:r>
        <w:t xml:space="preserve">立也</w:t>
      </w:r>
      <w:r>
        <w:t xml:space="preserve">”</w:t>
      </w:r>
      <w:r>
        <w:t xml:space="preserve"> </w:t>
      </w:r>
      <w:r>
        <w:t xml:space="preserve">(to stand) and</w:t>
      </w:r>
      <w:r>
        <w:t xml:space="preserve"> </w:t>
      </w:r>
      <w:r>
        <w:t xml:space="preserve">“</w:t>
      </w:r>
      <w:r>
        <w:t xml:space="preserve">樹也</w:t>
      </w:r>
      <w:r>
        <w:t xml:space="preserve">”</w:t>
      </w:r>
      <w:r>
        <w:t xml:space="preserve"> </w:t>
      </w:r>
      <w:r>
        <w:t xml:space="preserve">(to erect). Nakamura’s Monzen, p. 68 (西京), has</w:t>
      </w:r>
      <w:r>
        <w:t xml:space="preserve"> </w:t>
      </w:r>
      <w:r>
        <w:t xml:space="preserve">“</w:t>
      </w:r>
      <w:r>
        <w:t xml:space="preserve">建タテテ</w:t>
      </w:r>
      <w:r>
        <w:t xml:space="preserve">”</w:t>
      </w:r>
      <w:r>
        <w:t xml:space="preserve"> </w:t>
      </w:r>
      <w:r>
        <w:t xml:space="preserve">(</w:t>
      </w:r>
      <w:r>
        <w:t xml:space="preserve">“</w:t>
      </w:r>
      <w:r>
        <w:t xml:space="preserve">erecting</w:t>
      </w:r>
      <w:r>
        <w:t xml:space="preserve">”</w:t>
      </w:r>
      <w:r>
        <w:t xml:space="preserve">).</w:t>
      </w:r>
    </w:p>
    <w:p>
      <w:pPr>
        <w:pStyle w:val="BodyText"/>
      </w:pPr>
      <w:r>
        <w:t xml:space="preserve">3 ヲヨフ</w:t>
      </w:r>
      <w:r>
        <w:br/>
      </w:r>
      <w:r>
        <w:t xml:space="preserve">The Kōzan-ji manuscript has</w:t>
      </w:r>
      <w:r>
        <w:t xml:space="preserve"> </w:t>
      </w:r>
      <w:r>
        <w:t xml:space="preserve">“</w:t>
      </w:r>
      <w:r>
        <w:t xml:space="preserve">オヨフ(HH_)</w:t>
      </w:r>
      <w:r>
        <w:t xml:space="preserve">”</w:t>
      </w:r>
      <w:r>
        <w:t xml:space="preserve">; the Renjō-in and Sainenji manuscripts have</w:t>
      </w:r>
      <w:r>
        <w:t xml:space="preserve"> </w:t>
      </w:r>
      <w:r>
        <w:t xml:space="preserve">“</w:t>
      </w:r>
      <w:r>
        <w:t xml:space="preserve">オヨフ</w:t>
      </w:r>
      <w:r>
        <w:t xml:space="preserve">”</w:t>
      </w:r>
      <w:r>
        <w:t xml:space="preserve">.</w:t>
      </w:r>
    </w:p>
    <w:p>
      <w:pPr>
        <w:pStyle w:val="BodyText"/>
      </w:pPr>
      <w:r>
        <w:t xml:space="preserve">4 サル</w:t>
      </w:r>
      <w:r>
        <w:br/>
      </w:r>
      <w:r>
        <w:t xml:space="preserve">The Kōzan-ji manuscript has</w:t>
      </w:r>
      <w:r>
        <w:t xml:space="preserve"> </w:t>
      </w:r>
      <w:r>
        <w:t xml:space="preserve">“</w:t>
      </w:r>
      <w:r>
        <w:t xml:space="preserve">サ爪(LH)</w:t>
      </w:r>
      <w:r>
        <w:t xml:space="preserve">”</w:t>
      </w:r>
      <w:r>
        <w:t xml:space="preserve">; the Sainenji manuscript has</w:t>
      </w:r>
      <w:r>
        <w:t xml:space="preserve"> </w:t>
      </w:r>
      <w:r>
        <w:t xml:space="preserve">“</w:t>
      </w:r>
      <w:r>
        <w:t xml:space="preserve">サ爪</w:t>
      </w:r>
      <w:r>
        <w:t xml:space="preserve">”</w:t>
      </w:r>
      <w:r>
        <w:t xml:space="preserve">; the Renjō-in manuscript has</w:t>
      </w:r>
      <w:r>
        <w:t xml:space="preserve"> </w:t>
      </w:r>
      <w:r>
        <w:t xml:space="preserve">“</w:t>
      </w:r>
      <w:r>
        <w:t xml:space="preserve">サス</w:t>
      </w:r>
      <w:r>
        <w:t xml:space="preserve">”</w:t>
      </w:r>
      <w:r>
        <w:t xml:space="preserve">. Nishihata,</w:t>
      </w:r>
      <w:r>
        <w:t xml:space="preserve"> </w:t>
      </w:r>
      <w:r>
        <w:rPr>
          <w:iCs/>
          <w:i/>
        </w:rPr>
        <w:t xml:space="preserve">Gosha Shorei</w:t>
      </w:r>
      <w:r>
        <w:t xml:space="preserve"> </w:t>
      </w:r>
      <w:r>
        <w:t xml:space="preserve">(Examples of Scribal Errors), p. 39, item ①, error no. 294. Nakamura’s Monzen, p. 1 (表), has</w:t>
      </w:r>
      <w:r>
        <w:t xml:space="preserve"> </w:t>
      </w:r>
      <w:r>
        <w:t xml:space="preserve">“</w:t>
      </w:r>
      <w:r>
        <w:t xml:space="preserve">建サスコト</w:t>
      </w:r>
      <w:r>
        <w:t xml:space="preserve">”</w:t>
      </w:r>
      <w:r>
        <w:t xml:space="preserve">.</w:t>
      </w:r>
    </w:p>
    <w:p>
      <w:pPr>
        <w:pStyle w:val="BodyText"/>
      </w:pPr>
      <w:r>
        <w:t xml:space="preserve">5 イタル</w:t>
      </w:r>
      <w:r>
        <w:br/>
      </w:r>
      <w:r>
        <w:t xml:space="preserve">The</w:t>
      </w:r>
      <w:r>
        <w:t xml:space="preserve"> </w:t>
      </w:r>
      <w:r>
        <w:rPr>
          <w:iCs/>
          <w:i/>
        </w:rPr>
        <w:t xml:space="preserve">Tenrei Banshō Meigi</w:t>
      </w:r>
      <w:r>
        <w:t xml:space="preserve"> </w:t>
      </w:r>
      <w:r>
        <w:t xml:space="preserve">gives</w:t>
      </w:r>
      <w:r>
        <w:t xml:space="preserve"> </w:t>
      </w:r>
      <w:r>
        <w:t xml:space="preserve">“</w:t>
      </w:r>
      <w:r>
        <w:t xml:space="preserve">至也</w:t>
      </w:r>
      <w:r>
        <w:t xml:space="preserve">”</w:t>
      </w:r>
      <w:r>
        <w:t xml:space="preserve"> </w:t>
      </w:r>
      <w:r>
        <w:t xml:space="preserve">(to arrive).</w:t>
      </w:r>
    </w:p>
    <w:p>
      <w:pPr>
        <w:pStyle w:val="BodyText"/>
      </w:pPr>
      <w:r>
        <w:t xml:space="preserve">6 ヨロコフ</w:t>
      </w:r>
      <w:r>
        <w:br/>
      </w:r>
      <w:r>
        <w:t xml:space="preserve">The Kōzan-ji, Renjō-in, and Sainenji manuscripts all write</w:t>
      </w:r>
      <w:r>
        <w:t xml:space="preserve"> </w:t>
      </w:r>
      <w:r>
        <w:t xml:space="preserve">“</w:t>
      </w:r>
      <w:r>
        <w:t xml:space="preserve">ヨ</w:t>
      </w:r>
      <w:r>
        <w:t xml:space="preserve">”</w:t>
      </w:r>
      <w:r>
        <w:t xml:space="preserve"> </w:t>
      </w:r>
      <w:r>
        <w:t xml:space="preserve">as a</w:t>
      </w:r>
      <w:r>
        <w:t xml:space="preserve"> </w:t>
      </w:r>
      <w:r>
        <w:rPr>
          <w:rStyle w:val="VerbatimChar"/>
          <w:bCs/>
          <w:b/>
        </w:rPr>
        <w:t xml:space="preserve">Variant Character</w:t>
      </w:r>
      <w:r>
        <w:t xml:space="preserve"> </w:t>
      </w:r>
      <w:r>
        <w:t xml:space="preserve">(</w:t>
      </w:r>
      <w:r>
        <w:rPr>
          <w:iCs/>
          <w:i/>
        </w:rPr>
        <w:t xml:space="preserve">itaiji</w:t>
      </w:r>
      <w:r>
        <w:t xml:space="preserve">).</w:t>
      </w:r>
    </w:p>
    <w:p>
      <w:pPr>
        <w:pStyle w:val="BodyText"/>
      </w:pPr>
      <w:r>
        <w:t xml:space="preserve">7 コホス</w:t>
      </w:r>
      <w:r>
        <w:br/>
      </w:r>
      <w:r>
        <w:t xml:space="preserve">The Kōzan-ji manuscript has</w:t>
      </w:r>
      <w:r>
        <w:t xml:space="preserve"> </w:t>
      </w:r>
      <w:r>
        <w:t xml:space="preserve">“</w:t>
      </w:r>
      <w:r>
        <w:t xml:space="preserve">コ小爪(LLVH)</w:t>
      </w:r>
      <w:r>
        <w:t xml:space="preserve">”</w:t>
      </w:r>
      <w:r>
        <w:t xml:space="preserve">. The Sainenji manuscript also has</w:t>
      </w:r>
      <w:r>
        <w:t xml:space="preserve"> </w:t>
      </w:r>
      <w:r>
        <w:t xml:space="preserve">“</w:t>
      </w:r>
      <w:r>
        <w:t xml:space="preserve">コ小爪(LLVH)</w:t>
      </w:r>
      <w:r>
        <w:t xml:space="preserve">”</w:t>
      </w:r>
      <w:r>
        <w:t xml:space="preserve"> </w:t>
      </w:r>
      <w:r>
        <w:t xml:space="preserve">(the</w:t>
      </w:r>
      <w:r>
        <w:t xml:space="preserve"> </w:t>
      </w:r>
      <w:r>
        <w:rPr>
          <w:rStyle w:val="VerbatimChar"/>
          <w:bCs/>
          <w:b/>
        </w:rPr>
        <w:t xml:space="preserve">Tone Mark</w:t>
      </w:r>
      <w:r>
        <w:t xml:space="preserve"> </w:t>
      </w:r>
      <w:r>
        <w:t xml:space="preserve">is uncertain, 存疑). The</w:t>
      </w:r>
      <w:r>
        <w:t xml:space="preserve"> </w:t>
      </w:r>
      <w:r>
        <w:rPr>
          <w:iCs/>
          <w:i/>
        </w:rPr>
        <w:t xml:space="preserve">Kunten Goi Shūsei</w:t>
      </w:r>
      <w:r>
        <w:t xml:space="preserve"> </w:t>
      </w:r>
      <w:r>
        <w:t xml:space="preserve">records the readings</w:t>
      </w:r>
      <w:r>
        <w:t xml:space="preserve"> </w:t>
      </w:r>
      <w:r>
        <w:t xml:space="preserve">“</w:t>
      </w:r>
      <w:r>
        <w:t xml:space="preserve">イタル</w:t>
      </w:r>
      <w:r>
        <w:t xml:space="preserve">”</w:t>
      </w:r>
      <w:r>
        <w:t xml:space="preserve">,</w:t>
      </w:r>
      <w:r>
        <w:t xml:space="preserve"> </w:t>
      </w:r>
      <w:r>
        <w:t xml:space="preserve">“</w:t>
      </w:r>
      <w:r>
        <w:t xml:space="preserve">コボス</w:t>
      </w:r>
      <w:r>
        <w:t xml:space="preserve">”</w:t>
      </w:r>
      <w:r>
        <w:t xml:space="preserve">,</w:t>
      </w:r>
      <w:r>
        <w:t xml:space="preserve"> </w:t>
      </w:r>
      <w:r>
        <w:t xml:space="preserve">“</w:t>
      </w:r>
      <w:r>
        <w:t xml:space="preserve">サス</w:t>
      </w:r>
      <w:r>
        <w:t xml:space="preserve">”</w:t>
      </w:r>
      <w:r>
        <w:t xml:space="preserve">, and</w:t>
      </w:r>
      <w:r>
        <w:t xml:space="preserve"> </w:t>
      </w:r>
      <w:r>
        <w:t xml:space="preserve">“</w:t>
      </w:r>
      <w:r>
        <w:t xml:space="preserve">タツ</w:t>
      </w:r>
      <w:r>
        <w:t xml:space="preserve">”</w:t>
      </w:r>
      <w:r>
        <w:t xml:space="preserve"> </w:t>
      </w:r>
      <w:r>
        <w:t xml:space="preserve">for</w:t>
      </w:r>
      <w:r>
        <w:t xml:space="preserve"> </w:t>
      </w:r>
      <w:r>
        <w:t xml:space="preserve">“</w:t>
      </w:r>
      <w:r>
        <w:t xml:space="preserve">建</w:t>
      </w:r>
      <w:r>
        <w:t xml:space="preserve">”</w:t>
      </w:r>
      <w:r>
        <w:t xml:space="preserve">.</w:t>
      </w:r>
    </w:p>
    <w:p>
      <w:pPr>
        <w:pStyle w:val="BodyText"/>
      </w:pPr>
      <w:r>
        <w:t xml:space="preserve">8 クツカヘル</w:t>
      </w:r>
      <w:r>
        <w:br/>
      </w:r>
      <w:r>
        <w:t xml:space="preserve">The Sainenji manuscript agrees; the Kōzan-ji and Renjō-in manuscripts lack this reading. The</w:t>
      </w:r>
      <w:r>
        <w:t xml:space="preserve"> </w:t>
      </w:r>
      <w:r>
        <w:rPr>
          <w:iCs/>
          <w:i/>
        </w:rPr>
        <w:t xml:space="preserve">Jiyun</w:t>
      </w:r>
      <w:r>
        <w:t xml:space="preserve"> </w:t>
      </w:r>
      <w:r>
        <w:t xml:space="preserve">gives</w:t>
      </w:r>
      <w:r>
        <w:t xml:space="preserve"> </w:t>
      </w:r>
      <w:r>
        <w:t xml:space="preserve">“</w:t>
      </w:r>
      <w:r>
        <w:t xml:space="preserve">建㨴　覆也漢書居高屋之上建瓴水或作㨴</w:t>
      </w:r>
      <w:r>
        <w:t xml:space="preserve">”</w:t>
      </w:r>
      <w:r>
        <w:t xml:space="preserve"> </w:t>
      </w:r>
      <w:r>
        <w:t xml:space="preserve">(Rising tone, Ruan rhyme (阮韻); xiaoyun 湕:</w:t>
      </w:r>
      <w:r>
        <w:t xml:space="preserve"> </w:t>
      </w:r>
      <w:r>
        <w:t xml:space="preserve">“</w:t>
      </w:r>
      <w:r>
        <w:t xml:space="preserve">紀偃切</w:t>
      </w:r>
      <w:r>
        <w:t xml:space="preserve">”</w:t>
      </w:r>
      <w:r>
        <w:t xml:space="preserve">). The</w:t>
      </w:r>
      <w:r>
        <w:t xml:space="preserve"> </w:t>
      </w:r>
      <w:r>
        <w:rPr>
          <w:iCs/>
          <w:i/>
        </w:rPr>
        <w:t xml:space="preserve">Crown Japanese-Chinese Dictionary</w:t>
      </w:r>
      <w:r>
        <w:t xml:space="preserve">, under the idiom</w:t>
      </w:r>
      <w:r>
        <w:t xml:space="preserve"> </w:t>
      </w:r>
      <w:r>
        <w:t xml:space="preserve">“</w:t>
      </w:r>
      <w:r>
        <w:t xml:space="preserve">高屋建瓴</w:t>
      </w:r>
      <w:r>
        <w:t xml:space="preserve">”</w:t>
      </w:r>
      <w:r>
        <w:t xml:space="preserve"> </w:t>
      </w:r>
      <w:r>
        <w:t xml:space="preserve">(</w:t>
      </w:r>
      <w:r>
        <w:t xml:space="preserve">“</w:t>
      </w:r>
      <w:r>
        <w:t xml:space="preserve">gāo wū jiàn líng</w:t>
      </w:r>
      <w:r>
        <w:t xml:space="preserve">”</w:t>
      </w:r>
      <w:r>
        <w:t xml:space="preserve">), gives:</w:t>
      </w:r>
      <w:r>
        <w:t xml:space="preserve"> </w:t>
      </w:r>
      <w:r>
        <w:t xml:space="preserve">“</w:t>
      </w:r>
      <w:r>
        <w:t xml:space="preserve">A set phrase (成語・成句): terrain from which one can look straight down from a high place; also a metaphor for a force whose momentum cannot be stopped. The phrase appears in the</w:t>
      </w:r>
      <w:r>
        <w:t xml:space="preserve"> </w:t>
      </w:r>
      <w:r>
        <w:t xml:space="preserve">‘</w:t>
      </w:r>
      <w:r>
        <w:t xml:space="preserve">Basic Annals of Gaozu</w:t>
      </w:r>
      <w:r>
        <w:t xml:space="preserve">’</w:t>
      </w:r>
      <w:r>
        <w:t xml:space="preserve"> </w:t>
      </w:r>
      <w:r>
        <w:t xml:space="preserve">(高祖本紀) of the</w:t>
      </w:r>
      <w:r>
        <w:t xml:space="preserve"> </w:t>
      </w:r>
      <w:r>
        <w:rPr>
          <w:iCs/>
          <w:i/>
        </w:rPr>
        <w:t xml:space="preserve">Shiji</w:t>
      </w:r>
      <w:r>
        <w:t xml:space="preserve"> </w:t>
      </w:r>
      <w:r>
        <w:t xml:space="preserve">(史記): the terrain is advantageous for launching troops, as though water were being poured from a jar atop a roof — it flows straight down without resistance.</w:t>
      </w:r>
      <w:r>
        <w:t xml:space="preserve">”</w:t>
      </w:r>
      <w:r>
        <w:t xml:space="preserve"> </w:t>
      </w:r>
      <w:r>
        <w:t xml:space="preserve">“</w:t>
      </w:r>
      <w:r>
        <w:t xml:space="preserve">瓴</w:t>
      </w:r>
      <w:r>
        <w:t xml:space="preserve">”</w:t>
      </w:r>
      <w:r>
        <w:t xml:space="preserve"> </w:t>
      </w:r>
      <w:r>
        <w:t xml:space="preserve">means a jar for holding water.</w:t>
      </w:r>
    </w:p>
    <w:p>
      <w:pPr>
        <w:pStyle w:val="BodyText"/>
      </w:pPr>
      <w:r>
        <w:t xml:space="preserve">9 和コン</w:t>
      </w:r>
      <w:r>
        <w:br/>
      </w:r>
      <w:r>
        <w:t xml:space="preserve">The Kanchi-in, Renjō-in, and Sainenji manuscripts have</w:t>
      </w:r>
      <w:r>
        <w:t xml:space="preserve"> </w:t>
      </w:r>
      <w:r>
        <w:t xml:space="preserve">“</w:t>
      </w:r>
      <w:r>
        <w:t xml:space="preserve">禾コン</w:t>
      </w:r>
      <w:r>
        <w:t xml:space="preserve">”</w:t>
      </w:r>
      <w:r>
        <w:t xml:space="preserve">; the Kōzan-ji manuscript has</w:t>
      </w:r>
      <w:r>
        <w:t xml:space="preserve"> </w:t>
      </w:r>
      <w:r>
        <w:t xml:space="preserve">“</w:t>
      </w:r>
      <w:r>
        <w:t xml:space="preserve">音コン</w:t>
      </w:r>
      <w:r>
        <w:t xml:space="preserve">”</w:t>
      </w:r>
      <w:r>
        <w:t xml:space="preserve">.</w:t>
      </w:r>
    </w:p>
    <w:bookmarkEnd w:id="675"/>
    <w:bookmarkStart w:id="679" w:name="X7190ec8d44080e33be85d3de0cd30c00cfb1614"/>
    <w:p>
      <w:pPr>
        <w:pStyle w:val="Heading4"/>
      </w:pPr>
      <w:r>
        <w:rPr>
          <w:rStyle w:val="SectionNumber"/>
        </w:rPr>
        <w:t xml:space="preserve">26.2.1.2</w:t>
      </w:r>
      <w:r>
        <w:tab/>
      </w:r>
      <w:r>
        <w:t xml:space="preserve">K0106214 𨑭</w:t>
      </w:r>
    </w:p>
    <w:p>
      <w:pPr>
        <w:pStyle w:val="CaptionedFigure"/>
      </w:pPr>
      <w:r>
        <w:drawing>
          <wp:inline>
            <wp:extent cx="476250" cy="476250"/>
            <wp:effectExtent b="0" l="0" r="0" t="0"/>
            <wp:docPr descr="𨑭" title="" id="677" name="Picture"/>
            <a:graphic>
              <a:graphicData uri="http://schemas.openxmlformats.org/drawingml/2006/picture">
                <pic:pic>
                  <pic:nvPicPr>
                    <pic:cNvPr descr="https://glyphwiki.org/glyph/sarashina_hkrm-01062140.50px.png" id="678" name="Picture"/>
                    <pic:cNvPicPr>
                      <a:picLocks noChangeArrowheads="1" noChangeAspect="1"/>
                    </pic:cNvPicPr>
                  </pic:nvPicPr>
                  <pic:blipFill>
                    <a:blip r:embed="rId676"/>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𨑭</w:t>
      </w:r>
    </w:p>
    <w:p>
      <w:pPr>
        <w:pStyle w:val="BodyText"/>
      </w:pPr>
      <w:r>
        <w:t xml:space="preserve">(Main Text)</w:t>
      </w:r>
      <w:r>
        <w:t xml:space="preserve"> </w:t>
      </w:r>
      <w:r>
        <w:t xml:space="preserve">丑連反　安行也　トコロ</w:t>
      </w:r>
    </w:p>
    <w:p>
      <w:pPr>
        <w:pStyle w:val="BodyText"/>
      </w:pPr>
      <w:r>
        <w:t xml:space="preserve">(Notes)</w:t>
      </w:r>
    </w:p>
    <w:p>
      <w:pPr>
        <w:pStyle w:val="BodyText"/>
      </w:pPr>
      <w:r>
        <w:t xml:space="preserve">1 丑連反</w:t>
      </w:r>
      <w:r>
        <w:br/>
      </w:r>
      <w:r>
        <w:t xml:space="preserve">Not found in the</w:t>
      </w:r>
      <w:r>
        <w:t xml:space="preserve"> </w:t>
      </w:r>
      <w:r>
        <w:rPr>
          <w:iCs/>
          <w:i/>
        </w:rPr>
        <w:t xml:space="preserve">Guangyun</w:t>
      </w:r>
      <w:r>
        <w:t xml:space="preserve"> </w:t>
      </w:r>
      <w:r>
        <w:t xml:space="preserve">or the</w:t>
      </w:r>
      <w:r>
        <w:t xml:space="preserve"> </w:t>
      </w:r>
      <w:r>
        <w:rPr>
          <w:iCs/>
          <w:i/>
        </w:rPr>
        <w:t xml:space="preserve">Tenrei Banshō Meigi</w:t>
      </w:r>
      <w:r>
        <w:t xml:space="preserve">. The Song edition of the</w:t>
      </w:r>
      <w:r>
        <w:t xml:space="preserve"> </w:t>
      </w:r>
      <w:r>
        <w:rPr>
          <w:iCs/>
          <w:i/>
        </w:rPr>
        <w:t xml:space="preserve">Yupian</w:t>
      </w:r>
      <w:r>
        <w:t xml:space="preserve"> </w:t>
      </w:r>
      <w:r>
        <w:t xml:space="preserve">gives</w:t>
      </w:r>
      <w:r>
        <w:t xml:space="preserve"> </w:t>
      </w:r>
      <w:r>
        <w:t xml:space="preserve">“</w:t>
      </w:r>
      <w:r>
        <w:t xml:space="preserve">斯子切</w:t>
      </w:r>
      <w:r>
        <w:t xml:space="preserve">”</w:t>
      </w:r>
      <w:r>
        <w:t xml:space="preserve">; the</w:t>
      </w:r>
      <w:r>
        <w:t xml:space="preserve"> </w:t>
      </w:r>
      <w:r>
        <w:rPr>
          <w:iCs/>
          <w:i/>
        </w:rPr>
        <w:t xml:space="preserve">Longkan Shoujian/Shoujing</w:t>
      </w:r>
      <w:r>
        <w:t xml:space="preserve"> </w:t>
      </w:r>
      <w:r>
        <w:t xml:space="preserve">gives</w:t>
      </w:r>
      <w:r>
        <w:t xml:space="preserve"> </w:t>
      </w:r>
      <w:r>
        <w:t xml:space="preserve">“</w:t>
      </w:r>
      <w:r>
        <w:t xml:space="preserve">丑連反</w:t>
      </w:r>
      <w:r>
        <w:t xml:space="preserve">”</w:t>
      </w:r>
      <w:r>
        <w:t xml:space="preserve">. In the original text,</w:t>
      </w:r>
      <w:r>
        <w:t xml:space="preserve"> </w:t>
      </w:r>
      <w:r>
        <w:t xml:space="preserve">“</w:t>
      </w:r>
      <w:r>
        <w:t xml:space="preserve">刃</w:t>
      </w:r>
      <w:r>
        <w:t xml:space="preserve">”</w:t>
      </w:r>
      <w:r>
        <w:t xml:space="preserve"> </w:t>
      </w:r>
      <w:r>
        <w:t xml:space="preserve">is a</w:t>
      </w:r>
      <w:r>
        <w:t xml:space="preserve"> </w:t>
      </w:r>
      <w:r>
        <w:rPr>
          <w:rStyle w:val="VerbatimChar"/>
          <w:bCs/>
          <w:b/>
        </w:rPr>
        <w:t xml:space="preserve">Variant Character</w:t>
      </w:r>
      <w:r>
        <w:t xml:space="preserve"> </w:t>
      </w:r>
      <w:r>
        <w:t xml:space="preserve">of</w:t>
      </w:r>
      <w:r>
        <w:t xml:space="preserve"> </w:t>
      </w:r>
      <w:r>
        <w:t xml:space="preserve">“</w:t>
      </w:r>
      <w:r>
        <w:t xml:space="preserve">丑</w:t>
      </w:r>
      <w:r>
        <w:t xml:space="preserve">”</w:t>
      </w:r>
      <w:r>
        <w:t xml:space="preserve">. The Kanchi-in, Renjō-in, and Sainenji manuscripts write</w:t>
      </w:r>
      <w:r>
        <w:t xml:space="preserve"> </w:t>
      </w:r>
      <w:r>
        <w:t xml:space="preserve">“</w:t>
      </w:r>
      <w:r>
        <w:t xml:space="preserve">刃</w:t>
      </w:r>
      <w:r>
        <w:t xml:space="preserve">”</w:t>
      </w:r>
      <w:r>
        <w:t xml:space="preserve">; the Kōzan-ji manuscript writes</w:t>
      </w:r>
      <w:r>
        <w:t xml:space="preserve"> </w:t>
      </w:r>
      <w:r>
        <w:t xml:space="preserve">“</w:t>
      </w:r>
      <w:r>
        <w:t xml:space="preserve">丑</w:t>
      </w:r>
      <w:r>
        <w:t xml:space="preserve">”</w:t>
      </w:r>
      <w:r>
        <w:t xml:space="preserve">. For</w:t>
      </w:r>
      <w:r>
        <w:t xml:space="preserve"> </w:t>
      </w:r>
      <w:r>
        <w:t xml:space="preserve">“</w:t>
      </w:r>
      <w:r>
        <w:t xml:space="preserve">連</w:t>
      </w:r>
      <w:r>
        <w:t xml:space="preserve">”</w:t>
      </w:r>
      <w:r>
        <w:t xml:space="preserve"> </w:t>
      </w:r>
      <w:r>
        <w:t xml:space="preserve">(Level tone, Xian rhyme (仙韻)), the Kōzan-ji and Sainenji manuscripts have a Level</w:t>
      </w:r>
      <w:r>
        <w:t xml:space="preserve"> </w:t>
      </w:r>
      <w:r>
        <w:rPr>
          <w:rStyle w:val="VerbatimChar"/>
          <w:bCs/>
          <w:b/>
        </w:rPr>
        <w:t xml:space="preserve">Tone Mark</w:t>
      </w:r>
      <w:r>
        <w:t xml:space="preserve">.</w:t>
      </w:r>
    </w:p>
    <w:p>
      <w:pPr>
        <w:pStyle w:val="BodyText"/>
      </w:pPr>
      <w:r>
        <w:t xml:space="preserve">2 安行也</w:t>
      </w:r>
      <w:r>
        <w:br/>
      </w:r>
      <w:r>
        <w:t xml:space="preserve">The</w:t>
      </w:r>
      <w:r>
        <w:t xml:space="preserve"> </w:t>
      </w:r>
      <w:r>
        <w:rPr>
          <w:iCs/>
          <w:i/>
        </w:rPr>
        <w:t xml:space="preserve">Longkan Shoujian/Shoujing</w:t>
      </w:r>
      <w:r>
        <w:t xml:space="preserve"> </w:t>
      </w:r>
      <w:r>
        <w:t xml:space="preserve">gives</w:t>
      </w:r>
      <w:r>
        <w:t xml:space="preserve"> </w:t>
      </w:r>
      <w:r>
        <w:t xml:space="preserve">“</w:t>
      </w:r>
      <w:r>
        <w:t xml:space="preserve">緩歩也</w:t>
      </w:r>
      <w:r>
        <w:t xml:space="preserve">”</w:t>
      </w:r>
      <w:r>
        <w:t xml:space="preserve"> </w:t>
      </w:r>
      <w:r>
        <w:t xml:space="preserve">(to walk unhurriedly).</w:t>
      </w:r>
    </w:p>
    <w:p>
      <w:pPr>
        <w:pStyle w:val="BodyText"/>
      </w:pPr>
      <w:r>
        <w:t xml:space="preserve">3 トコロ</w:t>
      </w:r>
      <w:r>
        <w:br/>
      </w:r>
      <w:r>
        <w:t xml:space="preserve">Possibly a misreading arising from the graphically similar character</w:t>
      </w:r>
      <w:r>
        <w:t xml:space="preserve"> </w:t>
      </w:r>
      <w:r>
        <w:t xml:space="preserve">“</w:t>
      </w:r>
      <w:r>
        <w:t xml:space="preserve">処</w:t>
      </w:r>
      <w:r>
        <w:t xml:space="preserve">”</w:t>
      </w:r>
      <w:r>
        <w:t xml:space="preserve">.</w:t>
      </w:r>
    </w:p>
    <w:bookmarkEnd w:id="679"/>
    <w:bookmarkStart w:id="691" w:name="X0f94f870b29c6a9150b14ce256144785ebeb172"/>
    <w:p>
      <w:pPr>
        <w:pStyle w:val="Heading4"/>
      </w:pPr>
      <w:r>
        <w:rPr>
          <w:rStyle w:val="SectionNumber"/>
        </w:rPr>
        <w:t xml:space="preserve">26.2.1.3</w:t>
      </w:r>
      <w:r>
        <w:tab/>
      </w:r>
      <w:r>
        <w:t xml:space="preserve">K0106221 辿</w:t>
      </w:r>
    </w:p>
    <w:p>
      <w:pPr>
        <w:pStyle w:val="CaptionedFigure"/>
      </w:pPr>
      <w:r>
        <w:drawing>
          <wp:inline>
            <wp:extent cx="476250" cy="476250"/>
            <wp:effectExtent b="0" l="0" r="0" t="0"/>
            <wp:docPr descr="辿" title="" id="681" name="Picture"/>
            <a:graphic>
              <a:graphicData uri="http://schemas.openxmlformats.org/drawingml/2006/picture">
                <pic:pic>
                  <pic:nvPicPr>
                    <pic:cNvPr descr="https://glyphwiki.org/glyph/sarashina_hkrm-01062210.50px.png" id="682" name="Picture"/>
                    <pic:cNvPicPr>
                      <a:picLocks noChangeArrowheads="1" noChangeAspect="1"/>
                    </pic:cNvPicPr>
                  </pic:nvPicPr>
                  <pic:blipFill>
                    <a:blip r:embed="rId680"/>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辿</w:t>
      </w:r>
    </w:p>
    <w:p>
      <w:pPr>
        <w:pStyle w:val="BodyText"/>
      </w:pPr>
      <w:r>
        <w:t xml:space="preserve">(Main Text)</w:t>
      </w:r>
      <w:r>
        <w:t xml:space="preserve"> </w:t>
      </w:r>
      <w:r>
        <w:t xml:space="preserve">俗</w:t>
      </w:r>
    </w:p>
    <w:p>
      <w:pPr>
        <w:pStyle w:val="BodyText"/>
      </w:pPr>
      <w:r>
        <w:t xml:space="preserve">(Notes)</w:t>
      </w:r>
    </w:p>
    <w:p>
      <w:pPr>
        <w:pStyle w:val="BodyText"/>
      </w:pPr>
      <w:r>
        <w:t xml:space="preserve">1 俗</w:t>
      </w:r>
      <w:r>
        <w:br/>
      </w:r>
      <w:r>
        <w:t xml:space="preserve">The Kanchi-in, Kōzan-ji, and Renjō-in manuscripts write the</w:t>
      </w:r>
      <w:r>
        <w:t xml:space="preserve"> </w:t>
      </w:r>
      <w:r>
        <w:rPr>
          <w:rStyle w:val="VerbatimChar"/>
          <w:bCs/>
          <w:b/>
        </w:rPr>
        <w:t xml:space="preserve">Headword</w:t>
      </w:r>
      <w:r>
        <w:t xml:space="preserve"> </w:t>
      </w:r>
      <w:r>
        <w:t xml:space="preserve">as</w:t>
      </w:r>
      <w:r>
        <w:t xml:space="preserve"> </w:t>
      </w:r>
      <w:r>
        <w:t xml:space="preserve">“</w:t>
      </w:r>
      <w:r>
        <w:t xml:space="preserve">辿</w:t>
      </w:r>
      <w:r>
        <w:t xml:space="preserve">”</w:t>
      </w:r>
      <w:r>
        <w:t xml:space="preserve">, but the Sainenji manuscript alone writes it as</w:t>
      </w:r>
      <w:r>
        <w:t xml:space="preserve"> </w:t>
      </w:r>
      <w:r>
        <w:t xml:space="preserve">“</w:t>
      </w:r>
      <w:r>
        <w:drawing>
          <wp:inline>
            <wp:extent cx="476250" cy="476250"/>
            <wp:effectExtent b="0" l="0" r="0" t="0"/>
            <wp:docPr descr="𢌚" title="" id="684" name="Picture"/>
            <a:graphic>
              <a:graphicData uri="http://schemas.openxmlformats.org/drawingml/2006/picture">
                <pic:pic>
                  <pic:nvPicPr>
                    <pic:cNvPr descr="https://glyphwiki.org/glyph/u2231a.50px.png" id="685" name="Picture"/>
                    <pic:cNvPicPr>
                      <a:picLocks noChangeArrowheads="1" noChangeAspect="1"/>
                    </pic:cNvPicPr>
                  </pic:nvPicPr>
                  <pic:blipFill>
                    <a:blip r:embed="rId683"/>
                    <a:stretch>
                      <a:fillRect/>
                    </a:stretch>
                  </pic:blipFill>
                  <pic:spPr bwMode="auto">
                    <a:xfrm>
                      <a:off x="0" y="0"/>
                      <a:ext cx="476250" cy="476250"/>
                    </a:xfrm>
                    <a:prstGeom prst="rect">
                      <a:avLst/>
                    </a:prstGeom>
                    <a:noFill/>
                    <a:ln w="9525">
                      <a:noFill/>
                      <a:headEnd/>
                      <a:tailEnd/>
                    </a:ln>
                  </pic:spPr>
                </pic:pic>
              </a:graphicData>
            </a:graphic>
          </wp:inline>
        </w:drawing>
      </w:r>
      <w:r>
        <w:t xml:space="preserve">”</w:t>
      </w:r>
      <w:r>
        <w:t xml:space="preserve">. The</w:t>
      </w:r>
      <w:r>
        <w:t xml:space="preserve"> </w:t>
      </w:r>
      <w:r>
        <w:rPr>
          <w:iCs/>
          <w:i/>
        </w:rPr>
        <w:t xml:space="preserve">Longkan Shoujian/Shoujing</w:t>
      </w:r>
      <w:r>
        <w:t xml:space="preserve"> </w:t>
      </w:r>
      <w:r>
        <w:t xml:space="preserve">labels</w:t>
      </w:r>
      <w:r>
        <w:t xml:space="preserve"> </w:t>
      </w:r>
      <w:r>
        <w:t xml:space="preserve">“</w:t>
      </w:r>
      <w:r>
        <w:drawing>
          <wp:inline>
            <wp:extent cx="476250" cy="476250"/>
            <wp:effectExtent b="0" l="0" r="0" t="0"/>
            <wp:docPr descr="𨑭" title="" id="686" name="Picture"/>
            <a:graphic>
              <a:graphicData uri="http://schemas.openxmlformats.org/drawingml/2006/picture">
                <pic:pic>
                  <pic:nvPicPr>
                    <pic:cNvPr descr="https://glyphwiki.org/glyph/sarashina_hkrm-01062140.50px.png" id="687" name="Picture"/>
                    <pic:cNvPicPr>
                      <a:picLocks noChangeArrowheads="1" noChangeAspect="1"/>
                    </pic:cNvPicPr>
                  </pic:nvPicPr>
                  <pic:blipFill>
                    <a:blip r:embed="rId676"/>
                    <a:stretch>
                      <a:fillRect/>
                    </a:stretch>
                  </pic:blipFill>
                  <pic:spPr bwMode="auto">
                    <a:xfrm>
                      <a:off x="0" y="0"/>
                      <a:ext cx="476250" cy="476250"/>
                    </a:xfrm>
                    <a:prstGeom prst="rect">
                      <a:avLst/>
                    </a:prstGeom>
                    <a:noFill/>
                    <a:ln w="9525">
                      <a:noFill/>
                      <a:headEnd/>
                      <a:tailEnd/>
                    </a:ln>
                  </pic:spPr>
                </pic:pic>
              </a:graphicData>
            </a:graphic>
          </wp:inline>
        </w:drawing>
      </w:r>
      <w:r>
        <w:drawing>
          <wp:inline>
            <wp:extent cx="476250" cy="476250"/>
            <wp:effectExtent b="0" l="0" r="0" t="0"/>
            <wp:docPr descr="辿" title="" id="689" name="Picture"/>
            <a:graphic>
              <a:graphicData uri="http://schemas.openxmlformats.org/drawingml/2006/picture">
                <pic:pic>
                  <pic:nvPicPr>
                    <pic:cNvPr descr="https://glyphwiki.org/glyph/zihai-063232.50px.png" id="690" name="Picture"/>
                    <pic:cNvPicPr>
                      <a:picLocks noChangeArrowheads="1" noChangeAspect="1"/>
                    </pic:cNvPicPr>
                  </pic:nvPicPr>
                  <pic:blipFill>
                    <a:blip r:embed="rId688"/>
                    <a:stretch>
                      <a:fillRect/>
                    </a:stretch>
                  </pic:blipFill>
                  <pic:spPr bwMode="auto">
                    <a:xfrm>
                      <a:off x="0" y="0"/>
                      <a:ext cx="476250" cy="476250"/>
                    </a:xfrm>
                    <a:prstGeom prst="rect">
                      <a:avLst/>
                    </a:prstGeom>
                    <a:noFill/>
                    <a:ln w="9525">
                      <a:noFill/>
                      <a:headEnd/>
                      <a:tailEnd/>
                    </a:ln>
                  </pic:spPr>
                </pic:pic>
              </a:graphicData>
            </a:graphic>
          </wp:inline>
        </w:drawing>
      </w:r>
      <w:r>
        <w:t xml:space="preserve">(𨑭辿)</w:t>
      </w:r>
      <w:r>
        <w:t xml:space="preserve">”</w:t>
      </w:r>
      <w:r>
        <w:t xml:space="preserve"> </w:t>
      </w:r>
      <w:r>
        <w:t xml:space="preserve">with the</w:t>
      </w:r>
      <w:r>
        <w:t xml:space="preserve"> </w:t>
      </w:r>
      <w:r>
        <w:rPr>
          <w:rStyle w:val="VerbatimChar"/>
          <w:bCs/>
          <w:b/>
        </w:rPr>
        <w:t xml:space="preserve">Form Classification Tag</w:t>
      </w:r>
      <w:r>
        <w:t xml:space="preserve"> </w:t>
      </w:r>
      <w:r>
        <w:t xml:space="preserve">“</w:t>
      </w:r>
      <w:r>
        <w:t xml:space="preserve">二同</w:t>
      </w:r>
      <w:r>
        <w:t xml:space="preserve">”</w:t>
      </w:r>
      <w:r>
        <w:t xml:space="preserve"> </w:t>
      </w:r>
      <w:r>
        <w:t xml:space="preserve">(</w:t>
      </w:r>
      <w:r>
        <w:t xml:space="preserve">“</w:t>
      </w:r>
      <w:r>
        <w:t xml:space="preserve">the second is the same</w:t>
      </w:r>
      <w:r>
        <w:t xml:space="preserve">”</w:t>
      </w:r>
      <w:r>
        <w:t xml:space="preserve">).</w:t>
      </w:r>
    </w:p>
    <w:bookmarkEnd w:id="691"/>
    <w:bookmarkStart w:id="695" w:name="X7dd7d57b17601b857ead5483c93d6ac866c5ad3"/>
    <w:p>
      <w:pPr>
        <w:pStyle w:val="Heading4"/>
      </w:pPr>
      <w:r>
        <w:rPr>
          <w:rStyle w:val="SectionNumber"/>
        </w:rPr>
        <w:t xml:space="preserve">26.2.1.4</w:t>
      </w:r>
      <w:r>
        <w:tab/>
      </w:r>
      <w:r>
        <w:t xml:space="preserve">Ta084220 延</w:t>
      </w:r>
    </w:p>
    <w:p>
      <w:pPr>
        <w:pStyle w:val="CaptionedFigure"/>
      </w:pPr>
      <w:r>
        <w:drawing>
          <wp:inline>
            <wp:extent cx="476250" cy="476250"/>
            <wp:effectExtent b="0" l="0" r="0" t="0"/>
            <wp:docPr descr="延" title="" id="693" name="Picture"/>
            <a:graphic>
              <a:graphicData uri="http://schemas.openxmlformats.org/drawingml/2006/picture">
                <pic:pic>
                  <pic:nvPicPr>
                    <pic:cNvPr descr="https://glyphwiki.org/glyph/sarashina_hkrm-01062220.50px.png" id="694" name="Picture"/>
                    <pic:cNvPicPr>
                      <a:picLocks noChangeArrowheads="1" noChangeAspect="1"/>
                    </pic:cNvPicPr>
                  </pic:nvPicPr>
                  <pic:blipFill>
                    <a:blip r:embed="rId692"/>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延</w:t>
      </w:r>
    </w:p>
    <w:p>
      <w:pPr>
        <w:pStyle w:val="BodyText"/>
      </w:pPr>
      <w:r>
        <w:t xml:space="preserve">(Main Text)</w:t>
      </w:r>
      <w:r>
        <w:t xml:space="preserve"> </w:t>
      </w:r>
      <w:r>
        <w:t xml:space="preserve">以然反　ノフ(LH)　ヒク　ヲヨフ　シリソク　ミチヒク　ヒサシ　チカツク　ホヒコル　スヽム　アヒタ　トヲシ　ナカシ　ヒロク(__LV)　和エン</w:t>
      </w:r>
    </w:p>
    <w:p>
      <w:pPr>
        <w:pStyle w:val="BodyText"/>
      </w:pPr>
      <w:r>
        <w:t xml:space="preserve">(Notes)</w:t>
      </w:r>
    </w:p>
    <w:p>
      <w:pPr>
        <w:pStyle w:val="BodyText"/>
      </w:pPr>
      <w:r>
        <w:t xml:space="preserve">1 以然反</w:t>
      </w:r>
      <w:r>
        <w:br/>
      </w:r>
      <w:r>
        <w:t xml:space="preserve">The</w:t>
      </w:r>
      <w:r>
        <w:t xml:space="preserve"> </w:t>
      </w:r>
      <w:r>
        <w:rPr>
          <w:iCs/>
          <w:i/>
        </w:rPr>
        <w:t xml:space="preserve">Guangyun</w:t>
      </w:r>
      <w:r>
        <w:t xml:space="preserve"> </w:t>
      </w:r>
      <w:r>
        <w:t xml:space="preserve">gives</w:t>
      </w:r>
      <w:r>
        <w:t xml:space="preserve"> </w:t>
      </w:r>
      <w:r>
        <w:t xml:space="preserve">“</w:t>
      </w:r>
      <w:r>
        <w:t xml:space="preserve">以然切</w:t>
      </w:r>
      <w:r>
        <w:t xml:space="preserve">”</w:t>
      </w:r>
      <w:r>
        <w:t xml:space="preserve"> </w:t>
      </w:r>
      <w:r>
        <w:t xml:space="preserve">(Level tone, Xian rhyme (仙韻)) and</w:t>
      </w:r>
      <w:r>
        <w:t xml:space="preserve"> </w:t>
      </w:r>
      <w:r>
        <w:t xml:space="preserve">“</w:t>
      </w:r>
      <w:r>
        <w:t xml:space="preserve">于線切</w:t>
      </w:r>
      <w:r>
        <w:t xml:space="preserve">”</w:t>
      </w:r>
      <w:r>
        <w:t xml:space="preserve"> </w:t>
      </w:r>
      <w:r>
        <w:t xml:space="preserve">(Departing tone, Xian rhyme (線韻); xiaoyun 衍); this corresponds to the former. The</w:t>
      </w:r>
      <w:r>
        <w:t xml:space="preserve"> </w:t>
      </w:r>
      <w:r>
        <w:rPr>
          <w:iCs/>
          <w:i/>
        </w:rPr>
        <w:t xml:space="preserve">Tenrei Banshō Meigi</w:t>
      </w:r>
      <w:r>
        <w:t xml:space="preserve"> </w:t>
      </w:r>
      <w:r>
        <w:t xml:space="preserve">gives</w:t>
      </w:r>
      <w:r>
        <w:t xml:space="preserve"> </w:t>
      </w:r>
      <w:r>
        <w:t xml:space="preserve">“</w:t>
      </w:r>
      <w:r>
        <w:t xml:space="preserve">餘旗反</w:t>
      </w:r>
      <w:r>
        <w:t xml:space="preserve">”</w:t>
      </w:r>
      <w:r>
        <w:t xml:space="preserve">; the Song edition of the</w:t>
      </w:r>
      <w:r>
        <w:t xml:space="preserve"> </w:t>
      </w:r>
      <w:r>
        <w:rPr>
          <w:iCs/>
          <w:i/>
        </w:rPr>
        <w:t xml:space="preserve">Yupian</w:t>
      </w:r>
      <w:r>
        <w:t xml:space="preserve"> </w:t>
      </w:r>
      <w:r>
        <w:t xml:space="preserve">gives</w:t>
      </w:r>
      <w:r>
        <w:t xml:space="preserve"> </w:t>
      </w:r>
      <w:r>
        <w:t xml:space="preserve">“</w:t>
      </w:r>
      <w:r>
        <w:t xml:space="preserve">余旃切</w:t>
      </w:r>
      <w:r>
        <w:t xml:space="preserve">”</w:t>
      </w:r>
      <w:r>
        <w:t xml:space="preserve"> </w:t>
      </w:r>
      <w:r>
        <w:t xml:space="preserve">(Level tone, Xian rhyme (仙韻)). In the Kōzan-ji manuscript,</w:t>
      </w:r>
      <w:r>
        <w:t xml:space="preserve"> </w:t>
      </w:r>
      <w:r>
        <w:t xml:space="preserve">“</w:t>
      </w:r>
      <w:r>
        <w:t xml:space="preserve">然</w:t>
      </w:r>
      <w:r>
        <w:t xml:space="preserve">”</w:t>
      </w:r>
      <w:r>
        <w:t xml:space="preserve"> </w:t>
      </w:r>
      <w:r>
        <w:t xml:space="preserve">carries the Level, voiced</w:t>
      </w:r>
      <w:r>
        <w:t xml:space="preserve"> </w:t>
      </w:r>
      <w:r>
        <w:rPr>
          <w:rStyle w:val="VerbatimChar"/>
          <w:bCs/>
          <w:b/>
        </w:rPr>
        <w:t xml:space="preserve">Tone Mark</w:t>
      </w:r>
      <w:r>
        <w:t xml:space="preserve"> </w:t>
      </w:r>
      <w:r>
        <w:t xml:space="preserve">(in the</w:t>
      </w:r>
      <w:r>
        <w:t xml:space="preserve"> </w:t>
      </w:r>
      <w:r>
        <w:t xml:space="preserve">“</w:t>
      </w:r>
      <w:r>
        <w:t xml:space="preserve">-o</w:t>
      </w:r>
      <w:r>
        <w:t xml:space="preserve">”</w:t>
      </w:r>
      <w:r>
        <w:t xml:space="preserve"> </w:t>
      </w:r>
      <w:r>
        <w:t xml:space="preserve">shape); the other manuscripts have no</w:t>
      </w:r>
      <w:r>
        <w:t xml:space="preserve"> </w:t>
      </w:r>
      <w:r>
        <w:rPr>
          <w:rStyle w:val="VerbatimChar"/>
          <w:bCs/>
          <w:b/>
        </w:rPr>
        <w:t xml:space="preserve">Tone Mark</w:t>
      </w:r>
      <w:r>
        <w:t xml:space="preserve">.</w:t>
      </w:r>
    </w:p>
    <w:p>
      <w:pPr>
        <w:pStyle w:val="BodyText"/>
      </w:pPr>
      <w:r>
        <w:t xml:space="preserve">2 ノフ(LH)</w:t>
      </w:r>
      <w:r>
        <w:br/>
      </w:r>
      <w:r>
        <w:t xml:space="preserve">The Kōzan-ji manuscript has</w:t>
      </w:r>
      <w:r>
        <w:t xml:space="preserve"> </w:t>
      </w:r>
      <w:r>
        <w:t xml:space="preserve">“</w:t>
      </w:r>
      <w:r>
        <w:t xml:space="preserve">ノフ(LHV)</w:t>
      </w:r>
      <w:r>
        <w:t xml:space="preserve">”</w:t>
      </w:r>
      <w:r>
        <w:t xml:space="preserve">; the Renjō-in and Sainenji manuscripts have</w:t>
      </w:r>
      <w:r>
        <w:t xml:space="preserve"> </w:t>
      </w:r>
      <w:r>
        <w:t xml:space="preserve">“</w:t>
      </w:r>
      <w:r>
        <w:t xml:space="preserve">ノフ</w:t>
      </w:r>
      <w:r>
        <w:t xml:space="preserve">”</w:t>
      </w:r>
      <w:r>
        <w:t xml:space="preserve">. The</w:t>
      </w:r>
      <w:r>
        <w:t xml:space="preserve"> </w:t>
      </w:r>
      <w:r>
        <w:rPr>
          <w:iCs/>
          <w:i/>
        </w:rPr>
        <w:t xml:space="preserve">Tenrei Banshō Meigi</w:t>
      </w:r>
      <w:r>
        <w:t xml:space="preserve"> </w:t>
      </w:r>
      <w:r>
        <w:t xml:space="preserve">gives</w:t>
      </w:r>
      <w:r>
        <w:t xml:space="preserve"> </w:t>
      </w:r>
      <w:r>
        <w:t xml:space="preserve">“</w:t>
      </w:r>
      <w:r>
        <w:t xml:space="preserve">陳也</w:t>
      </w:r>
      <w:r>
        <w:t xml:space="preserve">”</w:t>
      </w:r>
      <w:r>
        <w:t xml:space="preserve"> </w:t>
      </w:r>
      <w:r>
        <w:t xml:space="preserve">(to lay out). The</w:t>
      </w:r>
      <w:r>
        <w:t xml:space="preserve"> </w:t>
      </w:r>
      <w:r>
        <w:rPr>
          <w:iCs/>
          <w:i/>
        </w:rPr>
        <w:t xml:space="preserve">Kunten Goi Shūsei</w:t>
      </w:r>
      <w:r>
        <w:t xml:space="preserve"> </w:t>
      </w:r>
      <w:r>
        <w:t xml:space="preserve">records the readings</w:t>
      </w:r>
      <w:r>
        <w:t xml:space="preserve"> </w:t>
      </w:r>
      <w:r>
        <w:t xml:space="preserve">“</w:t>
      </w:r>
      <w:r>
        <w:t xml:space="preserve">オヨブ</w:t>
      </w:r>
      <w:r>
        <w:t xml:space="preserve">”</w:t>
      </w:r>
      <w:r>
        <w:t xml:space="preserve">,</w:t>
      </w:r>
      <w:r>
        <w:t xml:space="preserve"> </w:t>
      </w:r>
      <w:r>
        <w:t xml:space="preserve">“</w:t>
      </w:r>
      <w:r>
        <w:t xml:space="preserve">スゴス</w:t>
      </w:r>
      <w:r>
        <w:t xml:space="preserve">”</w:t>
      </w:r>
      <w:r>
        <w:t xml:space="preserve">,</w:t>
      </w:r>
      <w:r>
        <w:t xml:space="preserve"> </w:t>
      </w:r>
      <w:r>
        <w:t xml:space="preserve">“</w:t>
      </w:r>
      <w:r>
        <w:t xml:space="preserve">ススム</w:t>
      </w:r>
      <w:r>
        <w:t xml:space="preserve">”</w:t>
      </w:r>
      <w:r>
        <w:t xml:space="preserve">,</w:t>
      </w:r>
      <w:r>
        <w:t xml:space="preserve"> </w:t>
      </w:r>
      <w:r>
        <w:t xml:space="preserve">“</w:t>
      </w:r>
      <w:r>
        <w:t xml:space="preserve">チカヅク</w:t>
      </w:r>
      <w:r>
        <w:t xml:space="preserve">”</w:t>
      </w:r>
      <w:r>
        <w:t xml:space="preserve">,</w:t>
      </w:r>
      <w:r>
        <w:t xml:space="preserve"> </w:t>
      </w:r>
      <w:r>
        <w:t xml:space="preserve">“</w:t>
      </w:r>
      <w:r>
        <w:t xml:space="preserve">ナガシ</w:t>
      </w:r>
      <w:r>
        <w:t xml:space="preserve">”</w:t>
      </w:r>
      <w:r>
        <w:t xml:space="preserve">,</w:t>
      </w:r>
      <w:r>
        <w:t xml:space="preserve"> </w:t>
      </w:r>
      <w:r>
        <w:t xml:space="preserve">“</w:t>
      </w:r>
      <w:r>
        <w:t xml:space="preserve">ノバフ</w:t>
      </w:r>
      <w:r>
        <w:t xml:space="preserve">”</w:t>
      </w:r>
      <w:r>
        <w:t xml:space="preserve">,</w:t>
      </w:r>
      <w:r>
        <w:t xml:space="preserve"> </w:t>
      </w:r>
      <w:r>
        <w:t xml:space="preserve">“</w:t>
      </w:r>
      <w:r>
        <w:t xml:space="preserve">ノブ</w:t>
      </w:r>
      <w:r>
        <w:t xml:space="preserve">”</w:t>
      </w:r>
      <w:r>
        <w:t xml:space="preserve">,</w:t>
      </w:r>
      <w:r>
        <w:t xml:space="preserve"> </w:t>
      </w:r>
      <w:r>
        <w:t xml:space="preserve">“</w:t>
      </w:r>
      <w:r>
        <w:t xml:space="preserve">ヒク</w:t>
      </w:r>
      <w:r>
        <w:t xml:space="preserve">”</w:t>
      </w:r>
      <w:r>
        <w:t xml:space="preserve">,</w:t>
      </w:r>
      <w:r>
        <w:t xml:space="preserve"> </w:t>
      </w:r>
      <w:r>
        <w:t xml:space="preserve">“</w:t>
      </w:r>
      <w:r>
        <w:t xml:space="preserve">ミチビク</w:t>
      </w:r>
      <w:r>
        <w:t xml:space="preserve">”</w:t>
      </w:r>
      <w:r>
        <w:t xml:space="preserve">, and</w:t>
      </w:r>
      <w:r>
        <w:t xml:space="preserve"> </w:t>
      </w:r>
      <w:r>
        <w:t xml:space="preserve">“</w:t>
      </w:r>
      <w:r>
        <w:t xml:space="preserve">ヰル</w:t>
      </w:r>
      <w:r>
        <w:t xml:space="preserve">”</w:t>
      </w:r>
      <w:r>
        <w:t xml:space="preserve">.</w:t>
      </w:r>
    </w:p>
    <w:p>
      <w:pPr>
        <w:pStyle w:val="BodyText"/>
      </w:pPr>
      <w:r>
        <w:t xml:space="preserve">3 ヒク</w:t>
      </w:r>
      <w:r>
        <w:br/>
      </w:r>
      <w:r>
        <w:t xml:space="preserve">The Renjō-in and Sainenji manuscripts agree; the Kōzan-ji manuscript has</w:t>
      </w:r>
      <w:r>
        <w:t xml:space="preserve"> </w:t>
      </w:r>
      <w:r>
        <w:t xml:space="preserve">“</w:t>
      </w:r>
      <w:r>
        <w:t xml:space="preserve">ヒク(HL)</w:t>
      </w:r>
      <w:r>
        <w:t xml:space="preserve">”</w:t>
      </w:r>
      <w:r>
        <w:t xml:space="preserve">. Nakamura’s Monzen, p. 60 (西京), has</w:t>
      </w:r>
      <w:r>
        <w:t xml:space="preserve"> </w:t>
      </w:r>
      <w:r>
        <w:t xml:space="preserve">“</w:t>
      </w:r>
      <w:r>
        <w:t xml:space="preserve">重閨、幽闥アリテ、轉ウタヽ相踰コエ延ヒケリ</w:t>
      </w:r>
      <w:r>
        <w:t xml:space="preserve">”</w:t>
      </w:r>
      <w:r>
        <w:t xml:space="preserve"> </w:t>
      </w:r>
      <w:r>
        <w:t xml:space="preserve">(重閨 and 幽闥 are small doors within the palace).</w:t>
      </w:r>
    </w:p>
    <w:p>
      <w:pPr>
        <w:pStyle w:val="BodyText"/>
      </w:pPr>
      <w:r>
        <w:t xml:space="preserve">4 ヲヨフ</w:t>
      </w:r>
      <w:r>
        <w:br/>
      </w:r>
      <w:r>
        <w:t xml:space="preserve">The Renjō-in and Sainenji manuscripts have</w:t>
      </w:r>
      <w:r>
        <w:t xml:space="preserve"> </w:t>
      </w:r>
      <w:r>
        <w:t xml:space="preserve">“</w:t>
      </w:r>
      <w:r>
        <w:t xml:space="preserve">オヨフ</w:t>
      </w:r>
      <w:r>
        <w:t xml:space="preserve">”</w:t>
      </w:r>
      <w:r>
        <w:t xml:space="preserve">; the Kōzan-ji manuscript has</w:t>
      </w:r>
      <w:r>
        <w:t xml:space="preserve"> </w:t>
      </w:r>
      <w:r>
        <w:t xml:space="preserve">“</w:t>
      </w:r>
      <w:r>
        <w:t xml:space="preserve">オヨフ(HHLV)</w:t>
      </w:r>
      <w:r>
        <w:t xml:space="preserve">”</w:t>
      </w:r>
      <w:r>
        <w:t xml:space="preserve">. The</w:t>
      </w:r>
      <w:r>
        <w:t xml:space="preserve"> </w:t>
      </w:r>
      <w:r>
        <w:rPr>
          <w:iCs/>
          <w:i/>
        </w:rPr>
        <w:t xml:space="preserve">Tenrei Banshō Meigi</w:t>
      </w:r>
      <w:r>
        <w:t xml:space="preserve"> </w:t>
      </w:r>
      <w:r>
        <w:t xml:space="preserve">gives</w:t>
      </w:r>
      <w:r>
        <w:t xml:space="preserve"> </w:t>
      </w:r>
      <w:r>
        <w:t xml:space="preserve">“</w:t>
      </w:r>
      <w:r>
        <w:t xml:space="preserve">及也</w:t>
      </w:r>
      <w:r>
        <w:t xml:space="preserve">”</w:t>
      </w:r>
      <w:r>
        <w:t xml:space="preserve"> </w:t>
      </w:r>
      <w:r>
        <w:t xml:space="preserve">(to reach). Nakamura’s Monzen, p. 280 (羽), has</w:t>
      </w:r>
      <w:r>
        <w:t xml:space="preserve"> </w:t>
      </w:r>
      <w:r>
        <w:t xml:space="preserve">“</w:t>
      </w:r>
      <w:r>
        <w:t xml:space="preserve">延オヨヒ</w:t>
      </w:r>
      <w:r>
        <w:t xml:space="preserve">”</w:t>
      </w:r>
      <w:r>
        <w:t xml:space="preserve">.</w:t>
      </w:r>
    </w:p>
    <w:p>
      <w:pPr>
        <w:pStyle w:val="BodyText"/>
      </w:pPr>
      <w:r>
        <w:t xml:space="preserve">5 シリソク</w:t>
      </w:r>
      <w:r>
        <w:br/>
      </w:r>
      <w:r>
        <w:t xml:space="preserve">The Renjō-in manuscript agrees; the Kōzan-ji manuscript has “シリソク(LL__)</w:t>
      </w:r>
      <w:r>
        <w:t xml:space="preserve">“</w:t>
      </w:r>
      <w:r>
        <w:t xml:space="preserve">; the Sainenji manuscript has</w:t>
      </w:r>
      <w:r>
        <w:t xml:space="preserve">”</w:t>
      </w:r>
      <w:r>
        <w:t xml:space="preserve">シリツク”. The</w:t>
      </w:r>
      <w:r>
        <w:t xml:space="preserve"> </w:t>
      </w:r>
      <w:r>
        <w:rPr>
          <w:iCs/>
          <w:i/>
        </w:rPr>
        <w:t xml:space="preserve">Tenrei Banshō Meigi</w:t>
      </w:r>
      <w:r>
        <w:t xml:space="preserve"> </w:t>
      </w:r>
      <w:r>
        <w:t xml:space="preserve">gives</w:t>
      </w:r>
      <w:r>
        <w:t xml:space="preserve"> </w:t>
      </w:r>
      <w:r>
        <w:t xml:space="preserve">“</w:t>
      </w:r>
      <w:r>
        <w:t xml:space="preserve">退也</w:t>
      </w:r>
      <w:r>
        <w:t xml:space="preserve">”</w:t>
      </w:r>
      <w:r>
        <w:t xml:space="preserve"> </w:t>
      </w:r>
      <w:r>
        <w:t xml:space="preserve">(to withdraw). Nakamura’s Monzen, p. 73 (西京), has</w:t>
      </w:r>
      <w:r>
        <w:t xml:space="preserve"> </w:t>
      </w:r>
      <w:r>
        <w:t xml:space="preserve">“</w:t>
      </w:r>
      <w:r>
        <w:t xml:space="preserve">遷延(ト)シリソキ「退也」</w:t>
      </w:r>
      <w:r>
        <w:t xml:space="preserve">”</w:t>
      </w:r>
      <w:r>
        <w:t xml:space="preserve">; (上野) has</w:t>
      </w:r>
      <w:r>
        <w:t xml:space="preserve"> </w:t>
      </w:r>
      <w:r>
        <w:t xml:space="preserve">“</w:t>
      </w:r>
      <w:r>
        <w:t xml:space="preserve">(ト)シリソキ「作延遷」</w:t>
      </w:r>
      <w:r>
        <w:t xml:space="preserve">”</w:t>
      </w:r>
      <w:r>
        <w:t xml:space="preserve">.</w:t>
      </w:r>
    </w:p>
    <w:p>
      <w:pPr>
        <w:pStyle w:val="BodyText"/>
      </w:pPr>
      <w:r>
        <w:t xml:space="preserve">6 ミチヒク</w:t>
      </w:r>
      <w:r>
        <w:br/>
      </w:r>
      <w:r>
        <w:t xml:space="preserve">The Renjō-in and Sainenji manuscripts agree; the Kōzan-ji manuscript has “ミチヒク(HH__)</w:t>
      </w:r>
      <w:r>
        <w:t xml:space="preserve">“</w:t>
      </w:r>
      <w:r>
        <w:t xml:space="preserve">. Nakamura’s Monzen, p. 234 (甘), has</w:t>
      </w:r>
      <w:r>
        <w:t xml:space="preserve">”</w:t>
      </w:r>
      <w:r>
        <w:t xml:space="preserve">延ミチヒク”.</w:t>
      </w:r>
    </w:p>
    <w:p>
      <w:pPr>
        <w:pStyle w:val="BodyText"/>
      </w:pPr>
      <w:r>
        <w:t xml:space="preserve">7 ヒサシ</w:t>
      </w:r>
      <w:r>
        <w:br/>
      </w:r>
      <w:r>
        <w:t xml:space="preserve">The Kōzan-ji, Renjō-in, and Sainenji manuscripts agree. The characters</w:t>
      </w:r>
      <w:r>
        <w:t xml:space="preserve"> </w:t>
      </w:r>
      <w:r>
        <w:t xml:space="preserve">“</w:t>
      </w:r>
      <w:r>
        <w:t xml:space="preserve">迥</w:t>
      </w:r>
      <w:r>
        <w:t xml:space="preserve">”</w:t>
      </w:r>
      <w:r>
        <w:t xml:space="preserve"> </w:t>
      </w:r>
      <w:r>
        <w:t xml:space="preserve">and</w:t>
      </w:r>
      <w:r>
        <w:t xml:space="preserve"> </w:t>
      </w:r>
      <w:r>
        <w:t xml:space="preserve">“</w:t>
      </w:r>
      <w:r>
        <w:t xml:space="preserve">遠</w:t>
      </w:r>
      <w:r>
        <w:t xml:space="preserve">”</w:t>
      </w:r>
      <w:r>
        <w:t xml:space="preserve"> </w:t>
      </w:r>
      <w:r>
        <w:t xml:space="preserve">both carry the reading</w:t>
      </w:r>
      <w:r>
        <w:t xml:space="preserve"> </w:t>
      </w:r>
      <w:r>
        <w:t xml:space="preserve">“</w:t>
      </w:r>
      <w:r>
        <w:t xml:space="preserve">ヒサシ</w:t>
      </w:r>
      <w:r>
        <w:t xml:space="preserve">”</w:t>
      </w:r>
      <w:r>
        <w:t xml:space="preserve">; this reading may derive from their cursive forms.</w:t>
      </w:r>
    </w:p>
    <w:p>
      <w:pPr>
        <w:pStyle w:val="BodyText"/>
      </w:pPr>
      <w:r>
        <w:t xml:space="preserve">8 チカツク</w:t>
      </w:r>
      <w:r>
        <w:br/>
      </w:r>
      <w:r>
        <w:t xml:space="preserve">The Kōzan-ji, Renjō-in, and Sainenji manuscripts agree. This reading may arise because the</w:t>
      </w:r>
      <w:r>
        <w:t xml:space="preserve"> </w:t>
      </w:r>
      <w:r>
        <w:rPr>
          <w:rStyle w:val="VerbatimChar"/>
          <w:bCs/>
          <w:b/>
        </w:rPr>
        <w:t xml:space="preserve">Variant Character</w:t>
      </w:r>
      <w:r>
        <w:t xml:space="preserve"> </w:t>
      </w:r>
      <w:r>
        <w:t xml:space="preserve">of</w:t>
      </w:r>
      <w:r>
        <w:t xml:space="preserve"> </w:t>
      </w:r>
      <w:r>
        <w:t xml:space="preserve">“</w:t>
      </w:r>
      <w:r>
        <w:t xml:space="preserve">延</w:t>
      </w:r>
      <w:r>
        <w:t xml:space="preserve">”</w:t>
      </w:r>
      <w:r>
        <w:t xml:space="preserve">,</w:t>
      </w:r>
      <w:r>
        <w:t xml:space="preserve"> </w:t>
      </w:r>
      <w:r>
        <w:t xml:space="preserve">“</w:t>
      </w:r>
      <w:r>
        <w:t xml:space="preserve">𮞅</w:t>
      </w:r>
      <w:r>
        <w:t xml:space="preserve">”</w:t>
      </w:r>
      <w:r>
        <w:t xml:space="preserve">, has a form resembling</w:t>
      </w:r>
      <w:r>
        <w:t xml:space="preserve"> </w:t>
      </w:r>
      <w:r>
        <w:t xml:space="preserve">“</w:t>
      </w:r>
      <w:r>
        <w:t xml:space="preserve">近</w:t>
      </w:r>
      <w:r>
        <w:t xml:space="preserve">”</w:t>
      </w:r>
      <w:r>
        <w:t xml:space="preserve">.</w:t>
      </w:r>
    </w:p>
    <w:p>
      <w:pPr>
        <w:pStyle w:val="BodyText"/>
      </w:pPr>
      <w:r>
        <w:t xml:space="preserve">9 ホヒコル</w:t>
      </w:r>
      <w:r>
        <w:br/>
      </w:r>
      <w:r>
        <w:t xml:space="preserve">The Sainenji manuscript agrees; the Kōzan-ji and Renjō-in manuscripts have</w:t>
      </w:r>
      <w:r>
        <w:t xml:space="preserve"> </w:t>
      </w:r>
      <w:r>
        <w:t xml:space="preserve">“</w:t>
      </w:r>
      <w:r>
        <w:t xml:space="preserve">小ヒコル</w:t>
      </w:r>
      <w:r>
        <w:t xml:space="preserve">”</w:t>
      </w:r>
      <w:r>
        <w:t xml:space="preserve">. The</w:t>
      </w:r>
      <w:r>
        <w:t xml:space="preserve"> </w:t>
      </w:r>
      <w:r>
        <w:rPr>
          <w:iCs/>
          <w:i/>
        </w:rPr>
        <w:t xml:space="preserve">Nikkoku</w:t>
      </w:r>
      <w:r>
        <w:t xml:space="preserve">, under</w:t>
      </w:r>
      <w:r>
        <w:t xml:space="preserve"> </w:t>
      </w:r>
      <w:r>
        <w:t xml:space="preserve">“</w:t>
      </w:r>
      <w:r>
        <w:t xml:space="preserve">ほびこ・る【蔓延】</w:t>
      </w:r>
      <w:r>
        <w:t xml:space="preserve">”</w:t>
      </w:r>
      <w:r>
        <w:t xml:space="preserve">, gives the meaning</w:t>
      </w:r>
      <w:r>
        <w:t xml:space="preserve"> </w:t>
      </w:r>
      <w:r>
        <w:t xml:space="preserve">“</w:t>
      </w:r>
      <w:r>
        <w:t xml:space="preserve">to spread everywhere; to run rampant,</w:t>
      </w:r>
      <w:r>
        <w:t xml:space="preserve">”</w:t>
      </w:r>
      <w:r>
        <w:t xml:space="preserve"> </w:t>
      </w:r>
      <w:r>
        <w:t xml:space="preserve">citing examples from</w:t>
      </w:r>
      <w:r>
        <w:t xml:space="preserve"> </w:t>
      </w:r>
      <w:r>
        <w:rPr>
          <w:iCs/>
          <w:i/>
        </w:rPr>
        <w:t xml:space="preserve">Man’yōshū</w:t>
      </w:r>
      <w:r>
        <w:t xml:space="preserve"> </w:t>
      </w:r>
      <w:r>
        <w:t xml:space="preserve">poem 4123 (雲保妣許里) and the mid-Heian-period glosses on the Ishiyama-dera manuscript of the</w:t>
      </w:r>
      <w:r>
        <w:t xml:space="preserve"> </w:t>
      </w:r>
      <w:r>
        <w:rPr>
          <w:iCs/>
          <w:i/>
        </w:rPr>
        <w:t xml:space="preserve">Hokekyō Genzan</w:t>
      </w:r>
      <w:r>
        <w:t xml:space="preserve"> </w:t>
      </w:r>
      <w:r>
        <w:t xml:space="preserve">(法華経玄賛, on</w:t>
      </w:r>
      <w:r>
        <w:t xml:space="preserve"> </w:t>
      </w:r>
      <w:r>
        <w:t xml:space="preserve">“</w:t>
      </w:r>
      <w:r>
        <w:t xml:space="preserve">蔓</w:t>
      </w:r>
      <w:r>
        <w:t xml:space="preserve">”</w:t>
      </w:r>
      <w:r>
        <w:t xml:space="preserve">).</w:t>
      </w:r>
    </w:p>
    <w:p>
      <w:pPr>
        <w:pStyle w:val="BodyText"/>
      </w:pPr>
      <w:r>
        <w:t xml:space="preserve">10 スヽム</w:t>
      </w:r>
      <w:r>
        <w:br/>
      </w:r>
      <w:r>
        <w:t xml:space="preserve">The Renjō-in and Sainenji manuscripts agree; the Kōzan-ji manuscript has</w:t>
      </w:r>
      <w:r>
        <w:t xml:space="preserve"> </w:t>
      </w:r>
      <w:r>
        <w:t xml:space="preserve">“</w:t>
      </w:r>
      <w:r>
        <w:t xml:space="preserve">爪ヽム</w:t>
      </w:r>
      <w:r>
        <w:t xml:space="preserve">”</w:t>
      </w:r>
      <w:r>
        <w:t xml:space="preserve">. The</w:t>
      </w:r>
      <w:r>
        <w:t xml:space="preserve"> </w:t>
      </w:r>
      <w:r>
        <w:rPr>
          <w:iCs/>
          <w:i/>
        </w:rPr>
        <w:t xml:space="preserve">Tenrei Banshō Meigi</w:t>
      </w:r>
      <w:r>
        <w:t xml:space="preserve"> </w:t>
      </w:r>
      <w:r>
        <w:t xml:space="preserve">gives</w:t>
      </w:r>
      <w:r>
        <w:t xml:space="preserve"> </w:t>
      </w:r>
      <w:r>
        <w:t xml:space="preserve">“</w:t>
      </w:r>
      <w:r>
        <w:t xml:space="preserve">進也</w:t>
      </w:r>
      <w:r>
        <w:t xml:space="preserve">”</w:t>
      </w:r>
      <w:r>
        <w:t xml:space="preserve"> </w:t>
      </w:r>
      <w:r>
        <w:t xml:space="preserve">(to advance). Nakamura’s Monzen, p. 443 (閑), has</w:t>
      </w:r>
      <w:r>
        <w:t xml:space="preserve"> </w:t>
      </w:r>
      <w:r>
        <w:t xml:space="preserve">“</w:t>
      </w:r>
      <w:r>
        <w:t xml:space="preserve">延スヽメ</w:t>
      </w:r>
      <w:r>
        <w:t xml:space="preserve">”</w:t>
      </w:r>
      <w:r>
        <w:t xml:space="preserve">.</w:t>
      </w:r>
    </w:p>
    <w:p>
      <w:pPr>
        <w:pStyle w:val="BodyText"/>
      </w:pPr>
      <w:r>
        <w:t xml:space="preserve">11 アヒタ</w:t>
      </w:r>
      <w:r>
        <w:br/>
      </w:r>
      <w:r>
        <w:t xml:space="preserve">The Kōzan-ji, Renjō-in, and Sainenji manuscripts agree. The</w:t>
      </w:r>
      <w:r>
        <w:t xml:space="preserve"> </w:t>
      </w:r>
      <w:r>
        <w:rPr>
          <w:iCs/>
          <w:i/>
        </w:rPr>
        <w:t xml:space="preserve">Tenrei Banshō Meigi</w:t>
      </w:r>
      <w:r>
        <w:t xml:space="preserve"> </w:t>
      </w:r>
      <w:r>
        <w:t xml:space="preserve">gives</w:t>
      </w:r>
      <w:r>
        <w:t xml:space="preserve"> </w:t>
      </w:r>
      <w:r>
        <w:t xml:space="preserve">“</w:t>
      </w:r>
      <w:r>
        <w:t xml:space="preserve">間也</w:t>
      </w:r>
      <w:r>
        <w:t xml:space="preserve">”</w:t>
      </w:r>
      <w:r>
        <w:t xml:space="preserve"> </w:t>
      </w:r>
      <w:r>
        <w:t xml:space="preserve">(an interval).</w:t>
      </w:r>
    </w:p>
    <w:p>
      <w:pPr>
        <w:pStyle w:val="BodyText"/>
      </w:pPr>
      <w:r>
        <w:t xml:space="preserve">12 トヲシ</w:t>
      </w:r>
      <w:r>
        <w:br/>
      </w:r>
      <w:r>
        <w:t xml:space="preserve">The Kōzan-ji manuscript agrees; the Renjō-in and Sainenji manuscripts have</w:t>
      </w:r>
      <w:r>
        <w:t xml:space="preserve"> </w:t>
      </w:r>
      <w:r>
        <w:t xml:space="preserve">“</w:t>
      </w:r>
      <w:r>
        <w:t xml:space="preserve">トホシ</w:t>
      </w:r>
      <w:r>
        <w:t xml:space="preserve">”</w:t>
      </w:r>
      <w:r>
        <w:t xml:space="preserve">. The</w:t>
      </w:r>
      <w:r>
        <w:t xml:space="preserve"> </w:t>
      </w:r>
      <w:r>
        <w:rPr>
          <w:iCs/>
          <w:i/>
        </w:rPr>
        <w:t xml:space="preserve">Guangyun</w:t>
      </w:r>
      <w:r>
        <w:t xml:space="preserve"> </w:t>
      </w:r>
      <w:r>
        <w:t xml:space="preserve">gives</w:t>
      </w:r>
      <w:r>
        <w:t xml:space="preserve"> </w:t>
      </w:r>
      <w:r>
        <w:t xml:space="preserve">“</w:t>
      </w:r>
      <w:r>
        <w:t xml:space="preserve">遠也</w:t>
      </w:r>
      <w:r>
        <w:t xml:space="preserve">”</w:t>
      </w:r>
      <w:r>
        <w:t xml:space="preserve"> </w:t>
      </w:r>
      <w:r>
        <w:t xml:space="preserve">(far).</w:t>
      </w:r>
    </w:p>
    <w:p>
      <w:pPr>
        <w:pStyle w:val="BodyText"/>
      </w:pPr>
      <w:r>
        <w:t xml:space="preserve">13 ナカシ</w:t>
      </w:r>
      <w:r>
        <w:br/>
      </w:r>
      <w:r>
        <w:t xml:space="preserve">The Renjō-in manuscript agrees; the Kōzan-ji manuscript has</w:t>
      </w:r>
      <w:r>
        <w:t xml:space="preserve"> </w:t>
      </w:r>
      <w:r>
        <w:t xml:space="preserve">“</w:t>
      </w:r>
      <w:r>
        <w:t xml:space="preserve">ナカシ(LLVH)</w:t>
      </w:r>
      <w:r>
        <w:t xml:space="preserve">”</w:t>
      </w:r>
      <w:r>
        <w:t xml:space="preserve">. In the Sainenji manuscript, there is a mark</w:t>
      </w:r>
      <w:r>
        <w:t xml:space="preserve"> </w:t>
      </w:r>
      <w:r>
        <w:t xml:space="preserve">“</w:t>
      </w:r>
      <w:r>
        <w:t xml:space="preserve">ー‥ー</w:t>
      </w:r>
      <w:r>
        <w:t xml:space="preserve">”</w:t>
      </w:r>
      <w:r>
        <w:t xml:space="preserve"> </w:t>
      </w:r>
      <w:r>
        <w:t xml:space="preserve">to the left of</w:t>
      </w:r>
      <w:r>
        <w:t xml:space="preserve"> </w:t>
      </w:r>
      <w:r>
        <w:t xml:space="preserve">“</w:t>
      </w:r>
      <w:r>
        <w:t xml:space="preserve">ナカシ</w:t>
      </w:r>
      <w:r>
        <w:t xml:space="preserve">”</w:t>
      </w:r>
      <w:r>
        <w:t xml:space="preserve">, possibly a</w:t>
      </w:r>
      <w:r>
        <w:t xml:space="preserve"> </w:t>
      </w:r>
      <w:r>
        <w:rPr>
          <w:rStyle w:val="VerbatimChar"/>
          <w:bCs/>
          <w:b/>
        </w:rPr>
        <w:t xml:space="preserve">Tone Mark</w:t>
      </w:r>
      <w:r>
        <w:t xml:space="preserve">. The</w:t>
      </w:r>
      <w:r>
        <w:t xml:space="preserve"> </w:t>
      </w:r>
      <w:r>
        <w:rPr>
          <w:iCs/>
          <w:i/>
        </w:rPr>
        <w:t xml:space="preserve">Tenrei Banshō Meigi</w:t>
      </w:r>
      <w:r>
        <w:t xml:space="preserve"> </w:t>
      </w:r>
      <w:r>
        <w:t xml:space="preserve">gives</w:t>
      </w:r>
      <w:r>
        <w:t xml:space="preserve"> </w:t>
      </w:r>
      <w:r>
        <w:t xml:space="preserve">“</w:t>
      </w:r>
      <w:r>
        <w:t xml:space="preserve">長也</w:t>
      </w:r>
      <w:r>
        <w:t xml:space="preserve">”</w:t>
      </w:r>
      <w:r>
        <w:t xml:space="preserve"> </w:t>
      </w:r>
      <w:r>
        <w:t xml:space="preserve">(long). Nakamura’s Monzen, p. 339 (魯), has</w:t>
      </w:r>
      <w:r>
        <w:t xml:space="preserve"> </w:t>
      </w:r>
      <w:r>
        <w:t xml:space="preserve">“</w:t>
      </w:r>
      <w:r>
        <w:t xml:space="preserve">曼延(ト)[ナカシ]</w:t>
      </w:r>
      <w:r>
        <w:t xml:space="preserve">”</w:t>
      </w:r>
      <w:r>
        <w:t xml:space="preserve"> </w:t>
      </w:r>
      <w:r>
        <w:t xml:space="preserve">/ (寛永 edition)</w:t>
      </w:r>
      <w:r>
        <w:t xml:space="preserve"> </w:t>
      </w:r>
      <w:r>
        <w:t xml:space="preserve">“</w:t>
      </w:r>
      <w:r>
        <w:t xml:space="preserve">ハヒコレリ[ナカシ・ナカクノヘリ]</w:t>
      </w:r>
      <w:r>
        <w:t xml:space="preserve">”</w:t>
      </w:r>
      <w:r>
        <w:t xml:space="preserve">.</w:t>
      </w:r>
    </w:p>
    <w:p>
      <w:pPr>
        <w:pStyle w:val="BodyText"/>
      </w:pPr>
      <w:r>
        <w:t xml:space="preserve">14 ヒロク(__LV)</w:t>
      </w:r>
      <w:r>
        <w:br/>
      </w:r>
      <w:r>
        <w:t xml:space="preserve">The Kōzan-ji manuscript has</w:t>
      </w:r>
      <w:r>
        <w:t xml:space="preserve"> </w:t>
      </w:r>
      <w:r>
        <w:t xml:space="preserve">“</w:t>
      </w:r>
      <w:r>
        <w:t xml:space="preserve">ヒロク(HHLV)</w:t>
      </w:r>
      <w:r>
        <w:t xml:space="preserve">”</w:t>
      </w:r>
      <w:r>
        <w:t xml:space="preserve">; the Renjō-in and Sainenji manuscripts have</w:t>
      </w:r>
      <w:r>
        <w:t xml:space="preserve"> </w:t>
      </w:r>
      <w:r>
        <w:t xml:space="preserve">“</w:t>
      </w:r>
      <w:r>
        <w:t xml:space="preserve">ヒロク</w:t>
      </w:r>
      <w:r>
        <w:t xml:space="preserve">”</w:t>
      </w:r>
      <w:r>
        <w:t xml:space="preserve">.</w:t>
      </w:r>
    </w:p>
    <w:p>
      <w:pPr>
        <w:pStyle w:val="BodyText"/>
      </w:pPr>
      <w:r>
        <w:t xml:space="preserve">15 和エン</w:t>
      </w:r>
      <w:r>
        <w:br/>
      </w:r>
      <w:r>
        <w:t xml:space="preserve">Absent from the Kōzan-ji manuscript. The Kanchi-in and Renjō-in manuscripts have</w:t>
      </w:r>
      <w:r>
        <w:t xml:space="preserve"> </w:t>
      </w:r>
      <w:r>
        <w:t xml:space="preserve">“</w:t>
      </w:r>
      <w:r>
        <w:t xml:space="preserve">禾エン</w:t>
      </w:r>
      <w:r>
        <w:t xml:space="preserve">”</w:t>
      </w:r>
      <w:r>
        <w:t xml:space="preserve">. The Sainenji manuscript has “禾エン(_L)“.</w:t>
      </w:r>
    </w:p>
    <w:bookmarkEnd w:id="695"/>
    <w:bookmarkStart w:id="699" w:name="X9ce7df54848a3f306c574a30e55cb79aa1b4609"/>
    <w:p>
      <w:pPr>
        <w:pStyle w:val="Heading4"/>
      </w:pPr>
      <w:r>
        <w:rPr>
          <w:rStyle w:val="SectionNumber"/>
        </w:rPr>
        <w:t xml:space="preserve">26.2.1.5</w:t>
      </w:r>
      <w:r>
        <w:tab/>
      </w:r>
      <w:r>
        <w:t xml:space="preserve">K0106231 ⿺辶屲</w:t>
      </w:r>
    </w:p>
    <w:p>
      <w:pPr>
        <w:pStyle w:val="CaptionedFigure"/>
      </w:pPr>
      <w:r>
        <w:drawing>
          <wp:inline>
            <wp:extent cx="476250" cy="476250"/>
            <wp:effectExtent b="0" l="0" r="0" t="0"/>
            <wp:docPr descr="⿺辶屲" title="" id="697" name="Picture"/>
            <a:graphic>
              <a:graphicData uri="http://schemas.openxmlformats.org/drawingml/2006/picture">
                <pic:pic>
                  <pic:nvPicPr>
                    <pic:cNvPr descr="https://glyphwiki.org/glyph/sarashina_hkrm-01062310.50px.png" id="698" name="Picture"/>
                    <pic:cNvPicPr>
                      <a:picLocks noChangeArrowheads="1" noChangeAspect="1"/>
                    </pic:cNvPicPr>
                  </pic:nvPicPr>
                  <pic:blipFill>
                    <a:blip r:embed="rId696"/>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⿺辶屲</w:t>
      </w:r>
    </w:p>
    <w:p>
      <w:pPr>
        <w:pStyle w:val="BodyText"/>
      </w:pPr>
      <w:r>
        <w:t xml:space="preserve">(Main Text)</w:t>
      </w:r>
      <w:r>
        <w:t xml:space="preserve"> </w:t>
      </w:r>
      <w:r>
        <w:t xml:space="preserve">或</w:t>
      </w:r>
    </w:p>
    <w:p>
      <w:pPr>
        <w:pStyle w:val="BodyText"/>
      </w:pPr>
      <w:r>
        <w:t xml:space="preserve">(Notes)</w:t>
      </w:r>
    </w:p>
    <w:p>
      <w:pPr>
        <w:pStyle w:val="BodyText"/>
      </w:pPr>
      <w:r>
        <w:t xml:space="preserve">1 或</w:t>
      </w:r>
      <w:r>
        <w:br/>
      </w:r>
      <w:r>
        <w:t xml:space="preserve">The Kanchi-in and Kōzan-ji manuscripts agree; the Sainenji manuscript has</w:t>
      </w:r>
      <w:r>
        <w:t xml:space="preserve"> </w:t>
      </w:r>
      <w:r>
        <w:t xml:space="preserve">“</w:t>
      </w:r>
      <w:r>
        <w:t xml:space="preserve">⿺辶屲</w:t>
      </w:r>
      <w:r>
        <w:t xml:space="preserve">”</w:t>
      </w:r>
      <w:r>
        <w:t xml:space="preserve">.</w:t>
      </w:r>
    </w:p>
    <w:bookmarkEnd w:id="699"/>
    <w:bookmarkStart w:id="709" w:name="X2215b3afabe21b59607c06e17dbc7642bc25918"/>
    <w:p>
      <w:pPr>
        <w:pStyle w:val="Heading4"/>
      </w:pPr>
      <w:r>
        <w:rPr>
          <w:rStyle w:val="SectionNumber"/>
        </w:rPr>
        <w:t xml:space="preserve">26.2.1.6</w:t>
      </w:r>
      <w:r>
        <w:tab/>
      </w:r>
      <w:r>
        <w:t xml:space="preserve">K0106232 ⿺辶&amp;CDP-8C66;𨒌</w:t>
      </w:r>
    </w:p>
    <w:p>
      <w:pPr>
        <w:pStyle w:val="FirstParagraph"/>
      </w:pPr>
      <w:r>
        <w:drawing>
          <wp:inline>
            <wp:extent cx="476250" cy="476250"/>
            <wp:effectExtent b="0" l="0" r="0" t="0"/>
            <wp:docPr descr="⿺辶&amp;CDP-8C66;" title="" id="701" name="Picture"/>
            <a:graphic>
              <a:graphicData uri="http://schemas.openxmlformats.org/drawingml/2006/picture">
                <pic:pic>
                  <pic:nvPicPr>
                    <pic:cNvPr descr="https://glyphwiki.org/glyph/sarashina_hkrm-01062321.50px.png" id="702" name="Picture"/>
                    <pic:cNvPicPr>
                      <a:picLocks noChangeArrowheads="1" noChangeAspect="1"/>
                    </pic:cNvPicPr>
                  </pic:nvPicPr>
                  <pic:blipFill>
                    <a:blip r:embed="rId700"/>
                    <a:stretch>
                      <a:fillRect/>
                    </a:stretch>
                  </pic:blipFill>
                  <pic:spPr bwMode="auto">
                    <a:xfrm>
                      <a:off x="0" y="0"/>
                      <a:ext cx="476250" cy="476250"/>
                    </a:xfrm>
                    <a:prstGeom prst="rect">
                      <a:avLst/>
                    </a:prstGeom>
                    <a:noFill/>
                    <a:ln w="9525">
                      <a:noFill/>
                      <a:headEnd/>
                      <a:tailEnd/>
                    </a:ln>
                  </pic:spPr>
                </pic:pic>
              </a:graphicData>
            </a:graphic>
          </wp:inline>
        </w:drawing>
      </w:r>
      <w:r>
        <w:drawing>
          <wp:inline>
            <wp:extent cx="476250" cy="476250"/>
            <wp:effectExtent b="0" l="0" r="0" t="0"/>
            <wp:docPr descr="𨒌" title="" id="704" name="Picture"/>
            <a:graphic>
              <a:graphicData uri="http://schemas.openxmlformats.org/drawingml/2006/picture">
                <pic:pic>
                  <pic:nvPicPr>
                    <pic:cNvPr descr="https://glyphwiki.org/glyph/sarashina_hkrm-01062322.50px.png" id="705" name="Picture"/>
                    <pic:cNvPicPr>
                      <a:picLocks noChangeArrowheads="1" noChangeAspect="1"/>
                    </pic:cNvPicPr>
                  </pic:nvPicPr>
                  <pic:blipFill>
                    <a:blip r:embed="rId703"/>
                    <a:stretch>
                      <a:fillRect/>
                    </a:stretch>
                  </pic:blipFill>
                  <pic:spPr bwMode="auto">
                    <a:xfrm>
                      <a:off x="0" y="0"/>
                      <a:ext cx="476250" cy="476250"/>
                    </a:xfrm>
                    <a:prstGeom prst="rect">
                      <a:avLst/>
                    </a:prstGeom>
                    <a:noFill/>
                    <a:ln w="9525">
                      <a:noFill/>
                      <a:headEnd/>
                      <a:tailEnd/>
                    </a:ln>
                  </pic:spPr>
                </pic:pic>
              </a:graphicData>
            </a:graphic>
          </wp:inline>
        </w:drawing>
      </w:r>
    </w:p>
    <w:p>
      <w:pPr>
        <w:pStyle w:val="BodyText"/>
      </w:pPr>
      <w:r>
        <w:t xml:space="preserve">(Main Text)</w:t>
      </w:r>
      <w:r>
        <w:t xml:space="preserve"> </w:t>
      </w:r>
      <w:r>
        <w:t xml:space="preserve">俗</w:t>
      </w:r>
    </w:p>
    <w:p>
      <w:pPr>
        <w:pStyle w:val="BodyText"/>
      </w:pPr>
      <w:r>
        <w:t xml:space="preserve">(Notes)</w:t>
      </w:r>
    </w:p>
    <w:p>
      <w:pPr>
        <w:pStyle w:val="BodyText"/>
      </w:pPr>
      <w:r>
        <w:t xml:space="preserve">1 俗</w:t>
      </w:r>
      <w:r>
        <w:br/>
      </w:r>
      <w:r>
        <w:t xml:space="preserve">“</w:t>
      </w:r>
      <w:r>
        <w:t xml:space="preserve">⿺辶&amp;CDP-8C66;</w:t>
      </w:r>
      <w:r>
        <w:t xml:space="preserve">”</w:t>
      </w:r>
      <w:r>
        <w:t xml:space="preserve"> </w:t>
      </w:r>
      <w:r>
        <w:t xml:space="preserve">exists in Unicode (𮞅　u2e785</w:t>
      </w:r>
      <w:r>
        <w:t xml:space="preserve"> </w:t>
      </w:r>
      <w:r>
        <w:drawing>
          <wp:inline>
            <wp:extent cx="476250" cy="476250"/>
            <wp:effectExtent b="0" l="0" r="0" t="0"/>
            <wp:docPr descr="𮞅" title="" id="707" name="Picture"/>
            <a:graphic>
              <a:graphicData uri="http://schemas.openxmlformats.org/drawingml/2006/picture">
                <pic:pic>
                  <pic:nvPicPr>
                    <pic:cNvPr descr="https://glyphwiki.org/glyph/u2e785.50px.png" id="708" name="Picture"/>
                    <pic:cNvPicPr>
                      <a:picLocks noChangeArrowheads="1" noChangeAspect="1"/>
                    </pic:cNvPicPr>
                  </pic:nvPicPr>
                  <pic:blipFill>
                    <a:blip r:embed="rId706"/>
                    <a:stretch>
                      <a:fillRect/>
                    </a:stretch>
                  </pic:blipFill>
                  <pic:spPr bwMode="auto">
                    <a:xfrm>
                      <a:off x="0" y="0"/>
                      <a:ext cx="476250" cy="476250"/>
                    </a:xfrm>
                    <a:prstGeom prst="rect">
                      <a:avLst/>
                    </a:prstGeom>
                    <a:noFill/>
                    <a:ln w="9525">
                      <a:noFill/>
                      <a:headEnd/>
                      <a:tailEnd/>
                    </a:ln>
                  </pic:spPr>
                </pic:pic>
              </a:graphicData>
            </a:graphic>
          </wp:inline>
        </w:drawing>
      </w:r>
      <w:r>
        <w:t xml:space="preserve">).</w:t>
      </w:r>
    </w:p>
    <w:bookmarkEnd w:id="709"/>
    <w:bookmarkStart w:id="713" w:name="Xbeba142b81e3792cc6088dc5fa76fc85f373948"/>
    <w:p>
      <w:pPr>
        <w:pStyle w:val="Heading4"/>
      </w:pPr>
      <w:r>
        <w:rPr>
          <w:rStyle w:val="SectionNumber"/>
        </w:rPr>
        <w:t xml:space="preserve">26.2.1.7</w:t>
      </w:r>
      <w:r>
        <w:tab/>
      </w:r>
      <w:r>
        <w:t xml:space="preserve">K0106233 ⿺辶⿱艹⿱丿止</w:t>
      </w:r>
    </w:p>
    <w:p>
      <w:pPr>
        <w:pStyle w:val="CaptionedFigure"/>
      </w:pPr>
      <w:r>
        <w:drawing>
          <wp:inline>
            <wp:extent cx="476250" cy="476250"/>
            <wp:effectExtent b="0" l="0" r="0" t="0"/>
            <wp:docPr descr="⿺辶⿱艹⿱丿止" title="" id="711" name="Picture"/>
            <a:graphic>
              <a:graphicData uri="http://schemas.openxmlformats.org/drawingml/2006/picture">
                <pic:pic>
                  <pic:nvPicPr>
                    <pic:cNvPr descr="https://glyphwiki.org/glyph/sarashina_hkrm-01062330.50px.png" id="712" name="Picture"/>
                    <pic:cNvPicPr>
                      <a:picLocks noChangeArrowheads="1" noChangeAspect="1"/>
                    </pic:cNvPicPr>
                  </pic:nvPicPr>
                  <pic:blipFill>
                    <a:blip r:embed="rId710"/>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⿺辶⿱艹⿱丿止</w:t>
      </w:r>
    </w:p>
    <w:p>
      <w:pPr>
        <w:pStyle w:val="BodyText"/>
      </w:pPr>
      <w:r>
        <w:t xml:space="preserve">(Main Text)</w:t>
      </w:r>
      <w:r>
        <w:t xml:space="preserve"> </w:t>
      </w:r>
      <w:r>
        <w:t xml:space="preserve">ムシロ　シキ物　ホヒコル</w:t>
      </w:r>
    </w:p>
    <w:p>
      <w:pPr>
        <w:pStyle w:val="BodyText"/>
      </w:pPr>
      <w:r>
        <w:t xml:space="preserve">(Notes)</w:t>
      </w:r>
      <w:r>
        <w:br/>
      </w:r>
      <w:r>
        <w:t xml:space="preserve">1 ムシロ</w:t>
      </w:r>
      <w:r>
        <w:br/>
      </w:r>
      <w:r>
        <w:t xml:space="preserve">The Sainenji manuscript has</w:t>
      </w:r>
      <w:r>
        <w:t xml:space="preserve"> </w:t>
      </w:r>
      <w:r>
        <w:t xml:space="preserve">“</w:t>
      </w:r>
      <w:r>
        <w:t xml:space="preserve">ムシロ</w:t>
      </w:r>
      <w:r>
        <w:t xml:space="preserve">”</w:t>
      </w:r>
      <w:r>
        <w:t xml:space="preserve">, and further has</w:t>
      </w:r>
      <w:r>
        <w:t xml:space="preserve"> </w:t>
      </w:r>
      <w:r>
        <w:t xml:space="preserve">“</w:t>
      </w:r>
      <w:r>
        <w:t xml:space="preserve">音延</w:t>
      </w:r>
      <w:r>
        <w:t xml:space="preserve">”</w:t>
      </w:r>
      <w:r>
        <w:t xml:space="preserve"> </w:t>
      </w:r>
      <w:r>
        <w:t xml:space="preserve">(Okada Mareo,</w:t>
      </w:r>
      <w:r>
        <w:t xml:space="preserve"> </w:t>
      </w:r>
      <w:r>
        <w:rPr>
          <w:iCs/>
          <w:i/>
        </w:rPr>
        <w:t xml:space="preserve">Ruiju Myōgishō no Kenkyū</w:t>
      </w:r>
      <w:r>
        <w:t xml:space="preserve">, p. 252). The Renjō-in and Sainenji manuscripts have</w:t>
      </w:r>
      <w:r>
        <w:t xml:space="preserve"> </w:t>
      </w:r>
      <w:r>
        <w:t xml:space="preserve">“</w:t>
      </w:r>
      <w:r>
        <w:t xml:space="preserve">ムシロ</w:t>
      </w:r>
      <w:r>
        <w:t xml:space="preserve">”</w:t>
      </w:r>
      <w:r>
        <w:t xml:space="preserve">; the Kōzan-ji manuscript lacks it. Only the Sainenji manuscript has</w:t>
      </w:r>
      <w:r>
        <w:t xml:space="preserve"> </w:t>
      </w:r>
      <w:r>
        <w:t xml:space="preserve">“</w:t>
      </w:r>
      <w:r>
        <w:t xml:space="preserve">音延</w:t>
      </w:r>
      <w:r>
        <w:t xml:space="preserve">”</w:t>
      </w:r>
      <w:r>
        <w:t xml:space="preserve"> </w:t>
      </w:r>
      <w:r>
        <w:t xml:space="preserve">at the end of the note (Kusakawa, Noboru,</w:t>
      </w:r>
      <w:r>
        <w:t xml:space="preserve"> </w:t>
      </w:r>
      <w:r>
        <w:t xml:space="preserve">“</w:t>
      </w:r>
      <w:r>
        <w:t xml:space="preserve">Ruiju Myōgishō Wakun Shōkō,</w:t>
      </w:r>
      <w:r>
        <w:t xml:space="preserve">”</w:t>
      </w:r>
      <w:r>
        <w:t xml:space="preserve"> </w:t>
      </w:r>
      <w:r>
        <w:t xml:space="preserve">p. 44, example 29).</w:t>
      </w:r>
      <w:r>
        <w:t xml:space="preserve"> </w:t>
      </w:r>
      <w:r>
        <w:t xml:space="preserve">“</w:t>
      </w:r>
      <w:r>
        <w:t xml:space="preserve">音延</w:t>
      </w:r>
      <w:r>
        <w:t xml:space="preserve">”</w:t>
      </w:r>
      <w:r>
        <w:t xml:space="preserve"> </w:t>
      </w:r>
      <w:r>
        <w:t xml:space="preserve">is an addition in the Sainenji manuscript (Kobayashi Kyōji,</w:t>
      </w:r>
      <w:r>
        <w:t xml:space="preserve"> </w:t>
      </w:r>
      <w:r>
        <w:t xml:space="preserve">“</w:t>
      </w:r>
      <w:r>
        <w:t xml:space="preserve">Kanchi-in-bon ni Nai Kanji Chūki (2),</w:t>
      </w:r>
      <w:r>
        <w:t xml:space="preserve">”</w:t>
      </w:r>
      <w:r>
        <w:t xml:space="preserve"> </w:t>
      </w:r>
      <w:r>
        <w:t xml:space="preserve">example 32). Ikeda’s note: the</w:t>
      </w:r>
      <w:r>
        <w:t xml:space="preserve"> </w:t>
      </w:r>
      <w:r>
        <w:rPr>
          <w:rStyle w:val="VerbatimChar"/>
          <w:bCs/>
          <w:b/>
        </w:rPr>
        <w:t xml:space="preserve">Headword</w:t>
      </w:r>
      <w:r>
        <w:t xml:space="preserve"> </w:t>
      </w:r>
      <w:r>
        <w:t xml:space="preserve">is the same in the Kanchi-in, Kōzan-ji, and Renjō-in manuscripts. The Sainenji manuscript writes it as</w:t>
      </w:r>
      <w:r>
        <w:t xml:space="preserve"> </w:t>
      </w:r>
      <w:r>
        <w:t xml:space="preserve">“</w:t>
      </w:r>
      <w:r>
        <w:t xml:space="preserve">莚</w:t>
      </w:r>
      <w:r>
        <w:t xml:space="preserve">”</w:t>
      </w:r>
      <w:r>
        <w:t xml:space="preserve">.</w:t>
      </w:r>
      <w:r>
        <w:t xml:space="preserve"> </w:t>
      </w:r>
      <w:r>
        <w:t xml:space="preserve">“</w:t>
      </w:r>
      <w:r>
        <w:t xml:space="preserve">莚</w:t>
      </w:r>
      <w:r>
        <w:t xml:space="preserve">”</w:t>
      </w:r>
      <w:r>
        <w:t xml:space="preserve"> </w:t>
      </w:r>
      <w:r>
        <w:t xml:space="preserve">appears in the</w:t>
      </w:r>
      <w:r>
        <w:t xml:space="preserve"> </w:t>
      </w:r>
      <w:r>
        <w:rPr>
          <w:iCs/>
          <w:i/>
        </w:rPr>
        <w:t xml:space="preserve">Guangyun</w:t>
      </w:r>
      <w:r>
        <w:t xml:space="preserve"> </w:t>
      </w:r>
      <w:r>
        <w:t xml:space="preserve">as</w:t>
      </w:r>
      <w:r>
        <w:t xml:space="preserve"> </w:t>
      </w:r>
      <w:r>
        <w:t xml:space="preserve">“</w:t>
      </w:r>
      <w:r>
        <w:t xml:space="preserve">草名</w:t>
      </w:r>
      <w:r>
        <w:t xml:space="preserve">”</w:t>
      </w:r>
      <w:r>
        <w:t xml:space="preserve"> </w:t>
      </w:r>
      <w:r>
        <w:t xml:space="preserve">(name of a plant; Level tone, Xian rhyme (仙韻); xiaoyun 延:</w:t>
      </w:r>
      <w:r>
        <w:t xml:space="preserve"> </w:t>
      </w:r>
      <w:r>
        <w:t xml:space="preserve">“</w:t>
      </w:r>
      <w:r>
        <w:t xml:space="preserve">以然切</w:t>
      </w:r>
      <w:r>
        <w:t xml:space="preserve">”</w:t>
      </w:r>
      <w:r>
        <w:t xml:space="preserve">) and as</w:t>
      </w:r>
      <w:r>
        <w:t xml:space="preserve"> </w:t>
      </w:r>
      <w:r>
        <w:t xml:space="preserve">“</w:t>
      </w:r>
      <w:r>
        <w:t xml:space="preserve">蔓莚不斷</w:t>
      </w:r>
      <w:r>
        <w:t xml:space="preserve">”</w:t>
      </w:r>
      <w:r>
        <w:t xml:space="preserve"> </w:t>
      </w:r>
      <w:r>
        <w:t xml:space="preserve">(Departing tone, Xian rhyme (線韻); xiaoyun 衍:</w:t>
      </w:r>
      <w:r>
        <w:t xml:space="preserve"> </w:t>
      </w:r>
      <w:r>
        <w:t xml:space="preserve">“</w:t>
      </w:r>
      <w:r>
        <w:t xml:space="preserve">于線切</w:t>
      </w:r>
      <w:r>
        <w:t xml:space="preserve">”</w:t>
      </w:r>
      <w:r>
        <w:t xml:space="preserve">). The Sainenji manuscript’s</w:t>
      </w:r>
      <w:r>
        <w:t xml:space="preserve"> </w:t>
      </w:r>
      <w:r>
        <w:rPr>
          <w:rStyle w:val="VerbatimChar"/>
          <w:bCs/>
          <w:b/>
        </w:rPr>
        <w:t xml:space="preserve">Phonetic Gloss</w:t>
      </w:r>
      <w:r>
        <w:t xml:space="preserve"> </w:t>
      </w:r>
      <w:r>
        <w:t xml:space="preserve">is</w:t>
      </w:r>
      <w:r>
        <w:t xml:space="preserve"> </w:t>
      </w:r>
      <w:r>
        <w:t xml:space="preserve">“</w:t>
      </w:r>
      <w:r>
        <w:t xml:space="preserve">亠延(L)</w:t>
      </w:r>
      <w:r>
        <w:t xml:space="preserve">”</w:t>
      </w:r>
      <w:r>
        <w:t xml:space="preserve">, with a Level</w:t>
      </w:r>
      <w:r>
        <w:t xml:space="preserve"> </w:t>
      </w:r>
      <w:r>
        <w:rPr>
          <w:rStyle w:val="VerbatimChar"/>
          <w:bCs/>
          <w:b/>
        </w:rPr>
        <w:t xml:space="preserve">Tone Mark</w:t>
      </w:r>
      <w:r>
        <w:t xml:space="preserve">.</w:t>
      </w:r>
    </w:p>
    <w:p>
      <w:pPr>
        <w:pStyle w:val="BodyText"/>
      </w:pPr>
      <w:r>
        <w:t xml:space="preserve">2 シキ物</w:t>
      </w:r>
      <w:r>
        <w:br/>
      </w:r>
      <w:r>
        <w:t xml:space="preserve">The original text has</w:t>
      </w:r>
      <w:r>
        <w:t xml:space="preserve"> </w:t>
      </w:r>
      <w:r>
        <w:t xml:space="preserve">“</w:t>
      </w:r>
      <w:r>
        <w:t xml:space="preserve">シキ牜</w:t>
      </w:r>
      <w:r>
        <w:t xml:space="preserve">”</w:t>
      </w:r>
      <w:r>
        <w:t xml:space="preserve">. The Kōzan-ji and Renjō-in manuscripts have</w:t>
      </w:r>
      <w:r>
        <w:t xml:space="preserve"> </w:t>
      </w:r>
      <w:r>
        <w:t xml:space="preserve">“</w:t>
      </w:r>
      <w:r>
        <w:t xml:space="preserve">シ＼牜</w:t>
      </w:r>
      <w:r>
        <w:t xml:space="preserve">”</w:t>
      </w:r>
      <w:r>
        <w:t xml:space="preserve">; the Kanchi-in and Sainenji manuscripts have</w:t>
      </w:r>
      <w:r>
        <w:t xml:space="preserve"> </w:t>
      </w:r>
      <w:r>
        <w:t xml:space="preserve">“</w:t>
      </w:r>
      <w:r>
        <w:t xml:space="preserve">シキ牜</w:t>
      </w:r>
      <w:r>
        <w:t xml:space="preserve">”</w:t>
      </w:r>
      <w:r>
        <w:t xml:space="preserve">.</w:t>
      </w:r>
    </w:p>
    <w:p>
      <w:pPr>
        <w:pStyle w:val="BodyText"/>
      </w:pPr>
      <w:r>
        <w:t xml:space="preserve">3 ホヒコル</w:t>
      </w:r>
    </w:p>
    <w:bookmarkEnd w:id="713"/>
    <w:bookmarkStart w:id="720" w:name="X129ca57ab8d97bf711f59ba282348aa2165bd28"/>
    <w:p>
      <w:pPr>
        <w:pStyle w:val="Heading4"/>
      </w:pPr>
      <w:r>
        <w:rPr>
          <w:rStyle w:val="SectionNumber"/>
        </w:rPr>
        <w:t xml:space="preserve">26.2.1.8</w:t>
      </w:r>
      <w:r>
        <w:tab/>
      </w:r>
      <w:r>
        <w:t xml:space="preserve">K0106234 蔓／莚</w:t>
      </w:r>
    </w:p>
    <w:p>
      <w:pPr>
        <w:pStyle w:val="FirstParagraph"/>
      </w:pPr>
      <w:r>
        <w:drawing>
          <wp:inline>
            <wp:extent cx="476250" cy="476250"/>
            <wp:effectExtent b="0" l="0" r="0" t="0"/>
            <wp:docPr descr="蔓" title="" id="715" name="Picture"/>
            <a:graphic>
              <a:graphicData uri="http://schemas.openxmlformats.org/drawingml/2006/picture">
                <pic:pic>
                  <pic:nvPicPr>
                    <pic:cNvPr descr="https://glyphwiki.org/glyph/sarashina_hkrm-01062341.50px.png" id="716" name="Picture"/>
                    <pic:cNvPicPr>
                      <a:picLocks noChangeArrowheads="1" noChangeAspect="1"/>
                    </pic:cNvPicPr>
                  </pic:nvPicPr>
                  <pic:blipFill>
                    <a:blip r:embed="rId714"/>
                    <a:stretch>
                      <a:fillRect/>
                    </a:stretch>
                  </pic:blipFill>
                  <pic:spPr bwMode="auto">
                    <a:xfrm>
                      <a:off x="0" y="0"/>
                      <a:ext cx="476250" cy="476250"/>
                    </a:xfrm>
                    <a:prstGeom prst="rect">
                      <a:avLst/>
                    </a:prstGeom>
                    <a:noFill/>
                    <a:ln w="9525">
                      <a:noFill/>
                      <a:headEnd/>
                      <a:tailEnd/>
                    </a:ln>
                  </pic:spPr>
                </pic:pic>
              </a:graphicData>
            </a:graphic>
          </wp:inline>
        </w:drawing>
      </w:r>
      <w:r>
        <w:drawing>
          <wp:inline>
            <wp:extent cx="476250" cy="476250"/>
            <wp:effectExtent b="0" l="0" r="0" t="0"/>
            <wp:docPr descr="莚" title="" id="718" name="Picture"/>
            <a:graphic>
              <a:graphicData uri="http://schemas.openxmlformats.org/drawingml/2006/picture">
                <pic:pic>
                  <pic:nvPicPr>
                    <pic:cNvPr descr="https://glyphwiki.org/glyph/sarashina_hkrm-01062342.50px.png" id="719" name="Picture"/>
                    <pic:cNvPicPr>
                      <a:picLocks noChangeArrowheads="1" noChangeAspect="1"/>
                    </pic:cNvPicPr>
                  </pic:nvPicPr>
                  <pic:blipFill>
                    <a:blip r:embed="rId717"/>
                    <a:stretch>
                      <a:fillRect/>
                    </a:stretch>
                  </pic:blipFill>
                  <pic:spPr bwMode="auto">
                    <a:xfrm>
                      <a:off x="0" y="0"/>
                      <a:ext cx="476250" cy="476250"/>
                    </a:xfrm>
                    <a:prstGeom prst="rect">
                      <a:avLst/>
                    </a:prstGeom>
                    <a:noFill/>
                    <a:ln w="9525">
                      <a:noFill/>
                      <a:headEnd/>
                      <a:tailEnd/>
                    </a:ln>
                  </pic:spPr>
                </pic:pic>
              </a:graphicData>
            </a:graphic>
          </wp:inline>
        </w:drawing>
      </w:r>
    </w:p>
    <w:p>
      <w:pPr>
        <w:pStyle w:val="BodyText"/>
      </w:pPr>
      <w:r>
        <w:t xml:space="preserve">(Main Text)</w:t>
      </w:r>
      <w:r>
        <w:t xml:space="preserve"> </w:t>
      </w:r>
      <w:r>
        <w:t xml:space="preserve">ハヒコル</w:t>
      </w:r>
    </w:p>
    <w:p>
      <w:pPr>
        <w:pStyle w:val="BodyText"/>
      </w:pPr>
      <w:r>
        <w:t xml:space="preserve">(Notes)</w:t>
      </w:r>
      <w:r>
        <w:br/>
      </w:r>
      <w:r>
        <w:t xml:space="preserve">1 ハヒコル</w:t>
      </w:r>
      <w:r>
        <w:br/>
      </w:r>
      <w:r>
        <w:t xml:space="preserve">The Kōzan-ji and Sainenji manuscripts agree; the Renjō-in manuscript has</w:t>
      </w:r>
      <w:r>
        <w:t xml:space="preserve"> </w:t>
      </w:r>
      <w:r>
        <w:t xml:space="preserve">“</w:t>
      </w:r>
      <w:r>
        <w:t xml:space="preserve">小ヒコル</w:t>
      </w:r>
      <w:r>
        <w:t xml:space="preserve">”</w:t>
      </w:r>
      <w:r>
        <w:t xml:space="preserve">. Nakamura’s Monzen, p. 138 (蜀), has</w:t>
      </w:r>
      <w:r>
        <w:t xml:space="preserve"> </w:t>
      </w:r>
      <w:r>
        <w:t xml:space="preserve">“</w:t>
      </w:r>
      <w:r>
        <w:t xml:space="preserve">風連莚蔓トハヒコレリ於蘭臯</w:t>
      </w:r>
      <w:r>
        <w:t xml:space="preserve">”</w:t>
      </w:r>
      <w:r>
        <w:t xml:space="preserve">.</w:t>
      </w:r>
    </w:p>
    <w:bookmarkEnd w:id="720"/>
    <w:bookmarkStart w:id="726" w:name="X696989fd6e24ac5d43766285244f3977886c452"/>
    <w:p>
      <w:pPr>
        <w:pStyle w:val="Heading4"/>
      </w:pPr>
      <w:r>
        <w:rPr>
          <w:rStyle w:val="SectionNumber"/>
        </w:rPr>
        <w:t xml:space="preserve">26.2.1.9</w:t>
      </w:r>
      <w:r>
        <w:tab/>
      </w:r>
      <w:r>
        <w:t xml:space="preserve">K0106241 ー（莚）／䝯</w:t>
      </w:r>
    </w:p>
    <w:p>
      <w:pPr>
        <w:pStyle w:val="FirstParagraph"/>
      </w:pPr>
      <w:r>
        <w:drawing>
          <wp:inline>
            <wp:extent cx="476250" cy="476250"/>
            <wp:effectExtent b="0" l="0" r="0" t="0"/>
            <wp:docPr descr="莚" title="" id="721" name="Picture"/>
            <a:graphic>
              <a:graphicData uri="http://schemas.openxmlformats.org/drawingml/2006/picture">
                <pic:pic>
                  <pic:nvPicPr>
                    <pic:cNvPr descr="https://glyphwiki.org/glyph/sarashina_hkrm-01062342.50px.png" id="722" name="Picture"/>
                    <pic:cNvPicPr>
                      <a:picLocks noChangeArrowheads="1" noChangeAspect="1"/>
                    </pic:cNvPicPr>
                  </pic:nvPicPr>
                  <pic:blipFill>
                    <a:blip r:embed="rId717"/>
                    <a:stretch>
                      <a:fillRect/>
                    </a:stretch>
                  </pic:blipFill>
                  <pic:spPr bwMode="auto">
                    <a:xfrm>
                      <a:off x="0" y="0"/>
                      <a:ext cx="476250" cy="476250"/>
                    </a:xfrm>
                    <a:prstGeom prst="rect">
                      <a:avLst/>
                    </a:prstGeom>
                    <a:noFill/>
                    <a:ln w="9525">
                      <a:noFill/>
                      <a:headEnd/>
                      <a:tailEnd/>
                    </a:ln>
                  </pic:spPr>
                </pic:pic>
              </a:graphicData>
            </a:graphic>
          </wp:inline>
        </w:drawing>
      </w:r>
      <w:r>
        <w:drawing>
          <wp:inline>
            <wp:extent cx="476250" cy="476250"/>
            <wp:effectExtent b="0" l="0" r="0" t="0"/>
            <wp:docPr descr="䝯" title="" id="724" name="Picture"/>
            <a:graphic>
              <a:graphicData uri="http://schemas.openxmlformats.org/drawingml/2006/picture">
                <pic:pic>
                  <pic:nvPicPr>
                    <pic:cNvPr descr="https://glyphwiki.org/glyph/sarashina_hkrm-01062412.50px.png" id="725" name="Picture"/>
                    <pic:cNvPicPr>
                      <a:picLocks noChangeArrowheads="1" noChangeAspect="1"/>
                    </pic:cNvPicPr>
                  </pic:nvPicPr>
                  <pic:blipFill>
                    <a:blip r:embed="rId723"/>
                    <a:stretch>
                      <a:fillRect/>
                    </a:stretch>
                  </pic:blipFill>
                  <pic:spPr bwMode="auto">
                    <a:xfrm>
                      <a:off x="0" y="0"/>
                      <a:ext cx="476250" cy="476250"/>
                    </a:xfrm>
                    <a:prstGeom prst="rect">
                      <a:avLst/>
                    </a:prstGeom>
                    <a:noFill/>
                    <a:ln w="9525">
                      <a:noFill/>
                      <a:headEnd/>
                      <a:tailEnd/>
                    </a:ln>
                  </pic:spPr>
                </pic:pic>
              </a:graphicData>
            </a:graphic>
          </wp:inline>
        </w:drawing>
      </w:r>
    </w:p>
    <w:p>
      <w:pPr>
        <w:pStyle w:val="BodyText"/>
      </w:pPr>
      <w:r>
        <w:t xml:space="preserve">(Main Text)</w:t>
      </w:r>
      <w:r>
        <w:t xml:space="preserve"> </w:t>
      </w:r>
      <w:r>
        <w:t xml:space="preserve">同</w:t>
      </w:r>
    </w:p>
    <w:p>
      <w:pPr>
        <w:pStyle w:val="BodyText"/>
      </w:pPr>
      <w:r>
        <w:t xml:space="preserve">(Notes)</w:t>
      </w:r>
      <w:r>
        <w:br/>
      </w:r>
      <w:r>
        <w:t xml:space="preserve">1 同</w:t>
      </w:r>
      <w:r>
        <w:br/>
      </w:r>
      <w:r>
        <w:t xml:space="preserve">Nakamura’s Monzen, p. 264 (上), has</w:t>
      </w:r>
      <w:r>
        <w:t xml:space="preserve"> </w:t>
      </w:r>
      <w:r>
        <w:t xml:space="preserve">“</w:t>
      </w:r>
      <w:r>
        <w:t xml:space="preserve">䝯丘陵ハヒコリ「連也又延也」／(寛文 edition) ハヒコレリ・ソヒテ</w:t>
      </w:r>
      <w:r>
        <w:t xml:space="preserve">”</w:t>
      </w:r>
      <w:r>
        <w:t xml:space="preserve">.</w:t>
      </w:r>
    </w:p>
    <w:bookmarkEnd w:id="726"/>
    <w:bookmarkStart w:id="730" w:name="Xed80ade8bbc78623d88da3c6a5f5f4219e8b5e2"/>
    <w:p>
      <w:pPr>
        <w:pStyle w:val="Heading4"/>
      </w:pPr>
      <w:r>
        <w:rPr>
          <w:rStyle w:val="SectionNumber"/>
        </w:rPr>
        <w:t xml:space="preserve">26.2.1.10</w:t>
      </w:r>
      <w:r>
        <w:tab/>
      </w:r>
      <w:r>
        <w:t xml:space="preserve">K0106242　筵</w:t>
      </w:r>
    </w:p>
    <w:p>
      <w:pPr>
        <w:pStyle w:val="CaptionedFigure"/>
      </w:pPr>
      <w:r>
        <w:drawing>
          <wp:inline>
            <wp:extent cx="476250" cy="476250"/>
            <wp:effectExtent b="0" l="0" r="0" t="0"/>
            <wp:docPr descr="筵" title="" id="728" name="Picture"/>
            <a:graphic>
              <a:graphicData uri="http://schemas.openxmlformats.org/drawingml/2006/picture">
                <pic:pic>
                  <pic:nvPicPr>
                    <pic:cNvPr descr="https://glyphwiki.org/glyph/sarashina_hkrm-01062420.50px.png" id="729" name="Picture"/>
                    <pic:cNvPicPr>
                      <a:picLocks noChangeArrowheads="1" noChangeAspect="1"/>
                    </pic:cNvPicPr>
                  </pic:nvPicPr>
                  <pic:blipFill>
                    <a:blip r:embed="rId727"/>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筵</w:t>
      </w:r>
    </w:p>
    <w:p>
      <w:pPr>
        <w:pStyle w:val="BodyText"/>
      </w:pPr>
      <w:r>
        <w:t xml:space="preserve">(Main Text)</w:t>
      </w:r>
      <w:r>
        <w:t xml:space="preserve"> </w:t>
      </w:r>
      <w:r>
        <w:t xml:space="preserve">ナカムシロ</w:t>
      </w:r>
    </w:p>
    <w:p>
      <w:pPr>
        <w:pStyle w:val="BodyText"/>
      </w:pPr>
      <w:r>
        <w:t xml:space="preserve">(Notes)</w:t>
      </w:r>
      <w:r>
        <w:br/>
      </w:r>
      <w:r>
        <w:t xml:space="preserve">1 ナカムシロ</w:t>
      </w:r>
      <w:r>
        <w:br/>
      </w:r>
      <w:r>
        <w:t xml:space="preserve">The Kanchi-in, Kōzan-ji, and Renjō-in manuscripts write the</w:t>
      </w:r>
      <w:r>
        <w:t xml:space="preserve"> </w:t>
      </w:r>
      <w:r>
        <w:rPr>
          <w:rStyle w:val="VerbatimChar"/>
          <w:bCs/>
          <w:b/>
        </w:rPr>
        <w:t xml:space="preserve">Headword</w:t>
      </w:r>
      <w:r>
        <w:t xml:space="preserve"> </w:t>
      </w:r>
      <w:r>
        <w:t xml:space="preserve">as</w:t>
      </w:r>
      <w:r>
        <w:t xml:space="preserve"> </w:t>
      </w:r>
      <w:r>
        <w:t xml:space="preserve">“</w:t>
      </w:r>
      <w:r>
        <w:t xml:space="preserve">⿱竹𨒌</w:t>
      </w:r>
      <w:r>
        <w:t xml:space="preserve">”</w:t>
      </w:r>
      <w:r>
        <w:t xml:space="preserve">; the Sainenji manuscript writes it as</w:t>
      </w:r>
      <w:r>
        <w:t xml:space="preserve"> </w:t>
      </w:r>
      <w:r>
        <w:t xml:space="preserve">“</w:t>
      </w:r>
      <w:r>
        <w:t xml:space="preserve">筵</w:t>
      </w:r>
      <w:r>
        <w:t xml:space="preserve">”</w:t>
      </w:r>
      <w:r>
        <w:t xml:space="preserve">. The</w:t>
      </w:r>
      <w:r>
        <w:t xml:space="preserve"> </w:t>
      </w:r>
      <w:r>
        <w:rPr>
          <w:iCs/>
          <w:i/>
        </w:rPr>
        <w:t xml:space="preserve">Nikkoku</w:t>
      </w:r>
      <w:r>
        <w:t xml:space="preserve">, under</w:t>
      </w:r>
      <w:r>
        <w:t xml:space="preserve"> </w:t>
      </w:r>
      <w:r>
        <w:t xml:space="preserve">“</w:t>
      </w:r>
      <w:r>
        <w:t xml:space="preserve">なが‐むしろ【長筵】</w:t>
      </w:r>
      <w:r>
        <w:t xml:space="preserve">”</w:t>
      </w:r>
      <w:r>
        <w:t xml:space="preserve">, gives the meaning:</w:t>
      </w:r>
      <w:r>
        <w:t xml:space="preserve"> </w:t>
      </w:r>
      <w:r>
        <w:t xml:space="preserve">“</w:t>
      </w:r>
      <w:r>
        <w:t xml:space="preserve">A long straw mat. A mat spread along the path when the Emperor walks on foot, or when a deity is conveyed in procession during a religious rite. Also, the surface covering of a tatami mat.</w:t>
      </w:r>
      <w:r>
        <w:t xml:space="preserve">”</w:t>
      </w:r>
      <w:r>
        <w:t xml:space="preserve"> </w:t>
      </w:r>
      <w:r>
        <w:t xml:space="preserve">It cites examples from the</w:t>
      </w:r>
      <w:r>
        <w:t xml:space="preserve"> </w:t>
      </w:r>
      <w:r>
        <w:rPr>
          <w:iCs/>
          <w:i/>
        </w:rPr>
        <w:t xml:space="preserve">Engishiki</w:t>
      </w:r>
      <w:r>
        <w:t xml:space="preserve"> </w:t>
      </w:r>
      <w:r>
        <w:t xml:space="preserve">(</w:t>
      </w:r>
      <w:r>
        <w:t xml:space="preserve">“</w:t>
      </w:r>
      <w:r>
        <w:t xml:space="preserve">長席</w:t>
      </w:r>
      <w:r>
        <w:t xml:space="preserve">”</w:t>
      </w:r>
      <w:r>
        <w:t xml:space="preserve">), the</w:t>
      </w:r>
      <w:r>
        <w:t xml:space="preserve"> </w:t>
      </w:r>
      <w:r>
        <w:rPr>
          <w:iCs/>
          <w:i/>
        </w:rPr>
        <w:t xml:space="preserve">Shingishiki</w:t>
      </w:r>
      <w:r>
        <w:t xml:space="preserve"> </w:t>
      </w:r>
      <w:r>
        <w:t xml:space="preserve">(</w:t>
      </w:r>
      <w:r>
        <w:t xml:space="preserve">“</w:t>
      </w:r>
      <w:r>
        <w:t xml:space="preserve">長筵</w:t>
      </w:r>
      <w:r>
        <w:t xml:space="preserve">”</w:t>
      </w:r>
      <w:r>
        <w:t xml:space="preserve">), and the</w:t>
      </w:r>
      <w:r>
        <w:t xml:space="preserve"> </w:t>
      </w:r>
      <w:r>
        <w:rPr>
          <w:iCs/>
          <w:i/>
        </w:rPr>
        <w:t xml:space="preserve">Tsutsumi Chūnagon Monogatari</w:t>
      </w:r>
      <w:r>
        <w:t xml:space="preserve">.</w:t>
      </w:r>
    </w:p>
    <w:bookmarkEnd w:id="730"/>
    <w:bookmarkStart w:id="739" w:name="X9c7c0a791c9c199727d242f662901a982fad0e9"/>
    <w:p>
      <w:pPr>
        <w:pStyle w:val="Heading4"/>
      </w:pPr>
      <w:r>
        <w:rPr>
          <w:rStyle w:val="SectionNumber"/>
        </w:rPr>
        <w:t xml:space="preserve">26.2.1.11</w:t>
      </w:r>
      <w:r>
        <w:tab/>
      </w:r>
      <w:r>
        <w:t xml:space="preserve">K0106243　𨒌</w:t>
      </w:r>
    </w:p>
    <w:p>
      <w:pPr>
        <w:pStyle w:val="CaptionedFigure"/>
      </w:pPr>
      <w:r>
        <w:drawing>
          <wp:inline>
            <wp:extent cx="635000" cy="635000"/>
            <wp:effectExtent b="0" l="0" r="0" t="0"/>
            <wp:docPr descr="𨒌" title="" id="732" name="Picture"/>
            <a:graphic>
              <a:graphicData uri="http://schemas.openxmlformats.org/drawingml/2006/picture">
                <pic:pic>
                  <pic:nvPicPr>
                    <pic:cNvPr descr="https://glyphwiki.org/glyph/sarashina_hkrm-01062430.50px.png" id="733" name="Picture"/>
                    <pic:cNvPicPr>
                      <a:picLocks noChangeArrowheads="1" noChangeAspect="1"/>
                    </pic:cNvPicPr>
                  </pic:nvPicPr>
                  <pic:blipFill>
                    <a:blip r:embed="rId731"/>
                    <a:stretch>
                      <a:fillRect/>
                    </a:stretch>
                  </pic:blipFill>
                  <pic:spPr bwMode="auto">
                    <a:xfrm>
                      <a:off x="0" y="0"/>
                      <a:ext cx="635000" cy="635000"/>
                    </a:xfrm>
                    <a:prstGeom prst="rect">
                      <a:avLst/>
                    </a:prstGeom>
                    <a:noFill/>
                    <a:ln w="9525">
                      <a:noFill/>
                      <a:headEnd/>
                      <a:tailEnd/>
                    </a:ln>
                  </pic:spPr>
                </pic:pic>
              </a:graphicData>
            </a:graphic>
          </wp:inline>
        </w:drawing>
      </w:r>
    </w:p>
    <w:p>
      <w:pPr>
        <w:pStyle w:val="ImageCaption"/>
      </w:pPr>
      <w:r>
        <w:t xml:space="preserve">𨒌</w:t>
      </w:r>
    </w:p>
    <w:p>
      <w:pPr>
        <w:pStyle w:val="BodyText"/>
      </w:pPr>
      <w:r>
        <w:t xml:space="preserve">(Main Text)</w:t>
      </w:r>
      <w:r>
        <w:t xml:space="preserve"> </w:t>
      </w:r>
      <w:r>
        <w:t xml:space="preserve">𨒌並征字</w:t>
      </w:r>
    </w:p>
    <w:p>
      <w:pPr>
        <w:pStyle w:val="BodyText"/>
      </w:pPr>
      <w:r>
        <w:t xml:space="preserve">(Notes)</w:t>
      </w:r>
      <w:r>
        <w:br/>
      </w:r>
      <w:r>
        <w:t xml:space="preserve">1 𨒌並征字</w:t>
      </w:r>
      <w:r>
        <w:br/>
      </w:r>
      <w:r>
        <w:t xml:space="preserve">The Kanchi-in and Kōzan-ji manuscripts agree. The Renjō-in manuscript has the</w:t>
      </w:r>
      <w:r>
        <w:t xml:space="preserve"> </w:t>
      </w:r>
      <w:r>
        <w:rPr>
          <w:rStyle w:val="VerbatimChar"/>
          <w:bCs/>
          <w:b/>
        </w:rPr>
        <w:t xml:space="preserve">Headword</w:t>
      </w:r>
      <w:r>
        <w:t xml:space="preserve"> </w:t>
      </w:r>
      <w:r>
        <w:t xml:space="preserve">“</w:t>
      </w:r>
      <w:r>
        <w:t xml:space="preserve">𨒌𨒌</w:t>
      </w:r>
      <w:r>
        <w:t xml:space="preserve">”</w:t>
      </w:r>
      <w:r>
        <w:t xml:space="preserve"> </w:t>
      </w:r>
      <w:r>
        <w:t xml:space="preserve">with the</w:t>
      </w:r>
      <w:r>
        <w:t xml:space="preserve"> </w:t>
      </w:r>
      <w:r>
        <w:rPr>
          <w:rStyle w:val="VerbatimChar"/>
          <w:bCs/>
          <w:b/>
        </w:rPr>
        <w:t xml:space="preserve">Original Gloss</w:t>
      </w:r>
      <w:r>
        <w:t xml:space="preserve"> </w:t>
      </w:r>
      <w:r>
        <w:t xml:space="preserve">“</w:t>
      </w:r>
      <w:r>
        <w:t xml:space="preserve">並征字</w:t>
      </w:r>
      <w:r>
        <w:t xml:space="preserve">”</w:t>
      </w:r>
      <w:r>
        <w:t xml:space="preserve">.</w:t>
      </w:r>
      <w:r>
        <w:br/>
      </w:r>
      <w:r>
        <w:t xml:space="preserve">The</w:t>
      </w:r>
      <w:r>
        <w:t xml:space="preserve"> </w:t>
      </w:r>
      <w:r>
        <w:t xml:space="preserve">“</w:t>
      </w:r>
      <w:r>
        <w:t xml:space="preserve">𨒌</w:t>
      </w:r>
      <w:r>
        <w:t xml:space="preserve">”</w:t>
      </w:r>
      <w:r>
        <w:t xml:space="preserve"> </w:t>
      </w:r>
      <w:r>
        <w:t xml:space="preserve">in the</w:t>
      </w:r>
      <w:r>
        <w:t xml:space="preserve"> </w:t>
      </w:r>
      <w:r>
        <w:rPr>
          <w:rStyle w:val="VerbatimChar"/>
          <w:bCs/>
          <w:b/>
        </w:rPr>
        <w:t xml:space="preserve">Original Glosses</w:t>
      </w:r>
      <w:r>
        <w:t xml:space="preserve"> </w:t>
      </w:r>
      <w:r>
        <w:t xml:space="preserve">of the Kanchi-in and Sainenji manuscripts is the same as</w:t>
      </w:r>
      <w:r>
        <w:t xml:space="preserve"> </w:t>
      </w:r>
      <w:r>
        <w:drawing>
          <wp:inline>
            <wp:extent cx="635000" cy="635000"/>
            <wp:effectExtent b="0" l="0" r="0" t="0"/>
            <wp:docPr descr="𨒌" title="" id="734" name="Picture"/>
            <a:graphic>
              <a:graphicData uri="http://schemas.openxmlformats.org/drawingml/2006/picture">
                <pic:pic>
                  <pic:nvPicPr>
                    <pic:cNvPr descr="https://glyphwiki.org/glyph/sarashina_hkrm-01062430.50px.png" id="735" name="Picture"/>
                    <pic:cNvPicPr>
                      <a:picLocks noChangeArrowheads="1" noChangeAspect="1"/>
                    </pic:cNvPicPr>
                  </pic:nvPicPr>
                  <pic:blipFill>
                    <a:blip r:embed="rId731"/>
                    <a:stretch>
                      <a:fillRect/>
                    </a:stretch>
                  </pic:blipFill>
                  <pic:spPr bwMode="auto">
                    <a:xfrm>
                      <a:off x="0" y="0"/>
                      <a:ext cx="635000" cy="635000"/>
                    </a:xfrm>
                    <a:prstGeom prst="rect">
                      <a:avLst/>
                    </a:prstGeom>
                    <a:noFill/>
                    <a:ln w="9525">
                      <a:noFill/>
                      <a:headEnd/>
                      <a:tailEnd/>
                    </a:ln>
                  </pic:spPr>
                </pic:pic>
              </a:graphicData>
            </a:graphic>
          </wp:inline>
        </w:drawing>
      </w:r>
      <w:r>
        <w:t xml:space="preserve">. The Renjō-in manuscript writes this same</w:t>
      </w:r>
      <w:r>
        <w:t xml:space="preserve"> </w:t>
      </w:r>
      <w:r>
        <w:rPr>
          <w:rStyle w:val="VerbatimChar"/>
          <w:bCs/>
          <w:b/>
        </w:rPr>
        <w:t xml:space="preserve">Headword</w:t>
      </w:r>
      <w:r>
        <w:t xml:space="preserve"> </w:t>
      </w:r>
      <w:r>
        <w:t xml:space="preserve">twice, side by side.</w:t>
      </w:r>
      <w:r>
        <w:br/>
      </w:r>
      <w:r>
        <w:t xml:space="preserve">In the Sainenji manuscript, the</w:t>
      </w:r>
      <w:r>
        <w:t xml:space="preserve"> </w:t>
      </w:r>
      <w:r>
        <w:rPr>
          <w:rStyle w:val="VerbatimChar"/>
          <w:bCs/>
          <w:b/>
        </w:rPr>
        <w:t xml:space="preserve">Headword</w:t>
      </w:r>
      <w:r>
        <w:t xml:space="preserve"> </w:t>
      </w:r>
      <w:r>
        <w:t xml:space="preserve">“</w:t>
      </w:r>
      <w:r>
        <w:t xml:space="preserve">延</w:t>
      </w:r>
      <w:r>
        <w:t xml:space="preserve">”</w:t>
      </w:r>
      <w:r>
        <w:t xml:space="preserve"> </w:t>
      </w:r>
      <w:r>
        <w:t xml:space="preserve">differs from the Kanchi-in manuscript, but the</w:t>
      </w:r>
      <w:r>
        <w:t xml:space="preserve"> </w:t>
      </w:r>
      <w:r>
        <w:rPr>
          <w:rStyle w:val="VerbatimChar"/>
          <w:bCs/>
          <w:b/>
        </w:rPr>
        <w:t xml:space="preserve">Original Gloss</w:t>
      </w:r>
      <w:r>
        <w:t xml:space="preserve"> </w:t>
      </w:r>
      <w:r>
        <w:t xml:space="preserve">“</w:t>
      </w:r>
      <w:r>
        <w:t xml:space="preserve">𨒌並征字</w:t>
      </w:r>
      <w:r>
        <w:t xml:space="preserve">”</w:t>
      </w:r>
      <w:r>
        <w:t xml:space="preserve"> </w:t>
      </w:r>
      <w:r>
        <w:t xml:space="preserve">matches the Kanchi-in manuscript. The Sainenji manuscript’s</w:t>
      </w:r>
      <w:r>
        <w:t xml:space="preserve"> </w:t>
      </w:r>
      <w:r>
        <w:rPr>
          <w:rStyle w:val="VerbatimChar"/>
          <w:bCs/>
          <w:b/>
        </w:rPr>
        <w:t xml:space="preserve">Main Text</w:t>
      </w:r>
      <w:r>
        <w:t xml:space="preserve"> </w:t>
      </w:r>
      <w:r>
        <w:t xml:space="preserve">makes better sense.</w:t>
      </w:r>
      <w:r>
        <w:t xml:space="preserve"> </w:t>
      </w:r>
      <w:r>
        <w:t xml:space="preserve">The Sainenji manuscript further records the</w:t>
      </w:r>
      <w:r>
        <w:t xml:space="preserve"> </w:t>
      </w:r>
      <w:r>
        <w:rPr>
          <w:rStyle w:val="VerbatimChar"/>
          <w:bCs/>
          <w:b/>
        </w:rPr>
        <w:t xml:space="preserve">Headword</w:t>
      </w:r>
      <w:r>
        <w:t xml:space="preserve"> </w:t>
      </w:r>
      <w:r>
        <w:t xml:space="preserve">“</w:t>
      </w:r>
      <w:r>
        <w:t xml:space="preserve">𨒙</w:t>
      </w:r>
      <w:r>
        <w:t xml:space="preserve">”</w:t>
      </w:r>
      <w:r>
        <w:t xml:space="preserve"> </w:t>
      </w:r>
      <w:r>
        <w:t xml:space="preserve">(𨒙　u28499　</w:t>
      </w:r>
      <w:r>
        <w:drawing>
          <wp:inline>
            <wp:extent cx="476250" cy="476250"/>
            <wp:effectExtent b="0" l="0" r="0" t="0"/>
            <wp:docPr descr="𨒙" title="" id="737" name="Picture"/>
            <a:graphic>
              <a:graphicData uri="http://schemas.openxmlformats.org/drawingml/2006/picture">
                <pic:pic>
                  <pic:nvPicPr>
                    <pic:cNvPr descr="https://glyphwiki.org/glyph/sarashina_hkrm-01049340.50px.png" id="738" name="Picture"/>
                    <pic:cNvPicPr>
                      <a:picLocks noChangeArrowheads="1" noChangeAspect="1"/>
                    </pic:cNvPicPr>
                  </pic:nvPicPr>
                  <pic:blipFill>
                    <a:blip r:embed="rId736"/>
                    <a:stretch>
                      <a:fillRect/>
                    </a:stretch>
                  </pic:blipFill>
                  <pic:spPr bwMode="auto">
                    <a:xfrm>
                      <a:off x="0" y="0"/>
                      <a:ext cx="476250" cy="476250"/>
                    </a:xfrm>
                    <a:prstGeom prst="rect">
                      <a:avLst/>
                    </a:prstGeom>
                    <a:noFill/>
                    <a:ln w="9525">
                      <a:noFill/>
                      <a:headEnd/>
                      <a:tailEnd/>
                    </a:ln>
                  </pic:spPr>
                </pic:pic>
              </a:graphicData>
            </a:graphic>
          </wp:inline>
        </w:drawing>
      </w:r>
      <w:r>
        <w:t xml:space="preserve">) with the</w:t>
      </w:r>
      <w:r>
        <w:t xml:space="preserve"> </w:t>
      </w:r>
      <w:r>
        <w:rPr>
          <w:rStyle w:val="VerbatimChar"/>
          <w:bCs/>
          <w:b/>
        </w:rPr>
        <w:t xml:space="preserve">Original Gloss</w:t>
      </w:r>
      <w:r>
        <w:t xml:space="preserve"> </w:t>
      </w:r>
      <w:r>
        <w:t xml:space="preserve">“</w:t>
      </w:r>
      <w:r>
        <w:t xml:space="preserve">亠石</w:t>
      </w:r>
      <w:r>
        <w:t xml:space="preserve">”</w:t>
      </w:r>
      <w:r>
        <w:t xml:space="preserve">.</w:t>
      </w:r>
    </w:p>
    <w:p>
      <w:r>
        <w:pict>
          <v:rect style="width:0;height:1.5pt" o:hralign="center" o:hrstd="t" o:hr="t"/>
        </w:pict>
      </w:r>
    </w:p>
    <w:bookmarkEnd w:id="739"/>
    <w:bookmarkEnd w:id="740"/>
    <w:bookmarkStart w:id="803" w:name="Xb4a9725dd221ec9dfdd0c14020450948b699709"/>
    <w:p>
      <w:pPr>
        <w:pStyle w:val="Heading3"/>
      </w:pPr>
      <w:r>
        <w:rPr>
          <w:rStyle w:val="SectionNumber"/>
        </w:rPr>
        <w:t xml:space="preserve">26.2.2</w:t>
      </w:r>
      <w:r>
        <w:tab/>
      </w:r>
      <w:r>
        <w:t xml:space="preserve">4匚</w:t>
      </w:r>
    </w:p>
    <w:bookmarkStart w:id="744" w:name="X9bb9c39fe747361cf4359345f602d578a49de13"/>
    <w:p>
      <w:pPr>
        <w:pStyle w:val="Heading4"/>
      </w:pPr>
      <w:r>
        <w:rPr>
          <w:rStyle w:val="SectionNumber"/>
        </w:rPr>
        <w:t xml:space="preserve">26.2.2.1</w:t>
      </w:r>
      <w:r>
        <w:tab/>
      </w:r>
      <w:r>
        <w:t xml:space="preserve">K0106251 匚</w:t>
      </w:r>
    </w:p>
    <w:p>
      <w:pPr>
        <w:pStyle w:val="CaptionedFigure"/>
      </w:pPr>
      <w:r>
        <w:drawing>
          <wp:inline>
            <wp:extent cx="476250" cy="476250"/>
            <wp:effectExtent b="0" l="0" r="0" t="0"/>
            <wp:docPr descr="匚" title="" id="742" name="Picture"/>
            <a:graphic>
              <a:graphicData uri="http://schemas.openxmlformats.org/drawingml/2006/picture">
                <pic:pic>
                  <pic:nvPicPr>
                    <pic:cNvPr descr="https://glyphwiki.org/glyph/hdic-tanki01_hkrm-01062510.50px.png" id="743" name="Picture"/>
                    <pic:cNvPicPr>
                      <a:picLocks noChangeArrowheads="1" noChangeAspect="1"/>
                    </pic:cNvPicPr>
                  </pic:nvPicPr>
                  <pic:blipFill>
                    <a:blip r:embed="rId741"/>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匚</w:t>
      </w:r>
    </w:p>
    <w:p>
      <w:pPr>
        <w:pStyle w:val="BodyText"/>
      </w:pPr>
      <w:r>
        <w:t xml:space="preserve">(Main Text)</w:t>
      </w:r>
      <w:r>
        <w:t xml:space="preserve"> </w:t>
      </w:r>
      <w:r>
        <w:t xml:space="preserve">方音　受物之器　《玉ー》云甫玉切</w:t>
      </w:r>
    </w:p>
    <w:p>
      <w:pPr>
        <w:pStyle w:val="BodyText"/>
      </w:pPr>
      <w:r>
        <w:t xml:space="preserve">(Notes)</w:t>
      </w:r>
      <w:r>
        <w:br/>
      </w:r>
      <w:r>
        <w:t xml:space="preserve">1 方音</w:t>
      </w:r>
      <w:r>
        <w:br/>
      </w:r>
      <w:r>
        <w:t xml:space="preserve">The</w:t>
      </w:r>
      <w:r>
        <w:t xml:space="preserve"> </w:t>
      </w:r>
      <w:r>
        <w:rPr>
          <w:iCs/>
          <w:i/>
        </w:rPr>
        <w:t xml:space="preserve">Guangyun</w:t>
      </w:r>
      <w:r>
        <w:t xml:space="preserve"> </w:t>
      </w:r>
      <w:r>
        <w:t xml:space="preserve">gives</w:t>
      </w:r>
      <w:r>
        <w:t xml:space="preserve"> </w:t>
      </w:r>
      <w:r>
        <w:t xml:space="preserve">“</w:t>
      </w:r>
      <w:r>
        <w:t xml:space="preserve">府良切</w:t>
      </w:r>
      <w:r>
        <w:t xml:space="preserve">”</w:t>
      </w:r>
      <w:r>
        <w:t xml:space="preserve"> </w:t>
      </w:r>
      <w:r>
        <w:t xml:space="preserve">(Level tone, Yang rhyme (陽韻); xiaoyun 方). The Kanchi-in manuscript has a vermilion</w:t>
      </w:r>
      <w:r>
        <w:t xml:space="preserve"> </w:t>
      </w:r>
      <w:r>
        <w:rPr>
          <w:iCs/>
          <w:i/>
        </w:rPr>
        <w:t xml:space="preserve">iori-ten</w:t>
      </w:r>
      <w:r>
        <w:t xml:space="preserve"> </w:t>
      </w:r>
      <w:r>
        <w:t xml:space="preserve">mark (〽) on the</w:t>
      </w:r>
      <w:r>
        <w:t xml:space="preserve"> </w:t>
      </w:r>
      <w:r>
        <w:rPr>
          <w:rStyle w:val="VerbatimChar"/>
          <w:bCs/>
          <w:b/>
        </w:rPr>
        <w:t xml:space="preserve">Headword</w:t>
      </w:r>
      <w:r>
        <w:t xml:space="preserve">; the Kōzan-ji, Renjō-in, and Sainenji manuscripts have no such mark. The Kōzan-ji manuscript has</w:t>
      </w:r>
      <w:r>
        <w:t xml:space="preserve"> </w:t>
      </w:r>
      <w:r>
        <w:t xml:space="preserve">“</w:t>
      </w:r>
      <w:r>
        <w:t xml:space="preserve">第四匚篇</w:t>
      </w:r>
      <w:r>
        <w:t xml:space="preserve">”</w:t>
      </w:r>
      <w:r>
        <w:t xml:space="preserve"> </w:t>
      </w:r>
      <w:r>
        <w:t xml:space="preserve">on the preceding line. The Kanchi-in manuscript has</w:t>
      </w:r>
      <w:r>
        <w:t xml:space="preserve"> </w:t>
      </w:r>
      <w:r>
        <w:t xml:space="preserve">“</w:t>
      </w:r>
      <w:r>
        <w:t xml:space="preserve">四</w:t>
      </w:r>
      <w:r>
        <w:t xml:space="preserve">”</w:t>
      </w:r>
      <w:r>
        <w:t xml:space="preserve"> </w:t>
      </w:r>
      <w:r>
        <w:t xml:space="preserve">in vermilion; the Renjō-in manuscript has a small</w:t>
      </w:r>
      <w:r>
        <w:t xml:space="preserve"> </w:t>
      </w:r>
      <w:r>
        <w:t xml:space="preserve">“</w:t>
      </w:r>
      <w:r>
        <w:t xml:space="preserve">四</w:t>
      </w:r>
      <w:r>
        <w:t xml:space="preserve">”</w:t>
      </w:r>
      <w:r>
        <w:t xml:space="preserve"> </w:t>
      </w:r>
      <w:r>
        <w:t xml:space="preserve">set to the right; the Sainenji manuscript has</w:t>
      </w:r>
      <w:r>
        <w:t xml:space="preserve"> </w:t>
      </w:r>
      <w:r>
        <w:t xml:space="preserve">“</w:t>
      </w:r>
      <w:r>
        <w:t xml:space="preserve">四</w:t>
      </w:r>
      <w:r>
        <w:t xml:space="preserve">”</w:t>
      </w:r>
      <w:r>
        <w:t xml:space="preserve">. The Kanchi-in, Renjō-in, and Sainenji manuscripts have</w:t>
      </w:r>
      <w:r>
        <w:t xml:space="preserve"> </w:t>
      </w:r>
      <w:r>
        <w:t xml:space="preserve">“</w:t>
      </w:r>
      <w:r>
        <w:t xml:space="preserve">方亠</w:t>
      </w:r>
      <w:r>
        <w:t xml:space="preserve">”</w:t>
      </w:r>
      <w:r>
        <w:t xml:space="preserve">; the Kōzan-ji manuscript has</w:t>
      </w:r>
      <w:r>
        <w:t xml:space="preserve"> </w:t>
      </w:r>
      <w:r>
        <w:t xml:space="preserve">“</w:t>
      </w:r>
      <w:r>
        <w:t xml:space="preserve">方(L)音</w:t>
      </w:r>
      <w:r>
        <w:t xml:space="preserve">”</w:t>
      </w:r>
      <w:r>
        <w:t xml:space="preserve">.</w:t>
      </w:r>
    </w:p>
    <w:p>
      <w:pPr>
        <w:pStyle w:val="BodyText"/>
      </w:pPr>
      <w:r>
        <w:t xml:space="preserve">2 受物之器</w:t>
      </w:r>
      <w:r>
        <w:br/>
      </w:r>
      <w:r>
        <w:t xml:space="preserve">The</w:t>
      </w:r>
      <w:r>
        <w:t xml:space="preserve"> </w:t>
      </w:r>
      <w:r>
        <w:rPr>
          <w:iCs/>
          <w:i/>
        </w:rPr>
        <w:t xml:space="preserve">Shuowen Jiezi</w:t>
      </w:r>
      <w:r>
        <w:t xml:space="preserve"> </w:t>
      </w:r>
      <w:r>
        <w:t xml:space="preserve">gives</w:t>
      </w:r>
      <w:r>
        <w:t xml:space="preserve"> </w:t>
      </w:r>
      <w:r>
        <w:t xml:space="preserve">“</w:t>
      </w:r>
      <w:r>
        <w:t xml:space="preserve">受物之器</w:t>
      </w:r>
      <w:r>
        <w:t xml:space="preserve">”</w:t>
      </w:r>
      <w:r>
        <w:t xml:space="preserve"> </w:t>
      </w:r>
      <w:r>
        <w:t xml:space="preserve">(a vessel for holding things).</w:t>
      </w:r>
    </w:p>
    <w:p>
      <w:pPr>
        <w:pStyle w:val="BodyText"/>
      </w:pPr>
      <w:r>
        <w:t xml:space="preserve">3 《玉ー》云甫玉切</w:t>
      </w:r>
      <w:r>
        <w:br/>
      </w:r>
      <w:r>
        <w:t xml:space="preserve">The Kanchi-in manuscript has</w:t>
      </w:r>
      <w:r>
        <w:t xml:space="preserve"> </w:t>
      </w:r>
      <w:r>
        <w:t xml:space="preserve">“</w:t>
      </w:r>
      <w:r>
        <w:t xml:space="preserve">《玉ー》云甫玉切</w:t>
      </w:r>
      <w:r>
        <w:t xml:space="preserve">”</w:t>
      </w:r>
      <w:r>
        <w:t xml:space="preserve">; the Renjō-in, Kōzan-ji, and Sainenji manuscripts lack it. This is an addition in the Kanchi-in manuscript. The Song edition of the</w:t>
      </w:r>
      <w:r>
        <w:t xml:space="preserve"> </w:t>
      </w:r>
      <w:r>
        <w:rPr>
          <w:iCs/>
          <w:i/>
        </w:rPr>
        <w:t xml:space="preserve">Yupian</w:t>
      </w:r>
      <w:r>
        <w:t xml:space="preserve"> </w:t>
      </w:r>
      <w:r>
        <w:t xml:space="preserve">gives</w:t>
      </w:r>
      <w:r>
        <w:t xml:space="preserve"> </w:t>
      </w:r>
      <w:r>
        <w:t xml:space="preserve">“</w:t>
      </w:r>
      <w:r>
        <w:t xml:space="preserve">甫王切</w:t>
      </w:r>
      <w:r>
        <w:t xml:space="preserve">”</w:t>
      </w:r>
      <w:r>
        <w:t xml:space="preserve">;</w:t>
      </w:r>
      <w:r>
        <w:t xml:space="preserve"> </w:t>
      </w:r>
      <w:r>
        <w:t xml:space="preserve">“</w:t>
      </w:r>
      <w:r>
        <w:t xml:space="preserve">玉</w:t>
      </w:r>
      <w:r>
        <w:t xml:space="preserve">”</w:t>
      </w:r>
      <w:r>
        <w:t xml:space="preserve"> </w:t>
      </w:r>
      <w:r>
        <w:t xml:space="preserve">is a scribal error for</w:t>
      </w:r>
      <w:r>
        <w:t xml:space="preserve"> </w:t>
      </w:r>
      <w:r>
        <w:t xml:space="preserve">“</w:t>
      </w:r>
      <w:r>
        <w:t xml:space="preserve">王</w:t>
      </w:r>
      <w:r>
        <w:t xml:space="preserve">”</w:t>
      </w:r>
      <w:r>
        <w:t xml:space="preserve"> </w:t>
      </w:r>
      <w:r>
        <w:t xml:space="preserve">(Kobayashi Kyōji,</w:t>
      </w:r>
      <w:r>
        <w:t xml:space="preserve"> </w:t>
      </w:r>
      <w:r>
        <w:t xml:space="preserve">“</w:t>
      </w:r>
      <w:r>
        <w:t xml:space="preserve">Sainenji-bon ni Mienai Kanji Chūki</w:t>
      </w:r>
      <w:r>
        <w:t xml:space="preserve">”</w:t>
      </w:r>
      <w:r>
        <w:t xml:space="preserve"> </w:t>
      </w:r>
      <w:r>
        <w:t xml:space="preserve">[Character-Form Annotations Not Visible in the Sainenji Manuscript], example 17).</w:t>
      </w:r>
    </w:p>
    <w:bookmarkEnd w:id="744"/>
    <w:bookmarkStart w:id="748" w:name="X25326d52ceef75715c0ea00c632a2edcda1b13f"/>
    <w:p>
      <w:pPr>
        <w:pStyle w:val="Heading4"/>
      </w:pPr>
      <w:r>
        <w:rPr>
          <w:rStyle w:val="SectionNumber"/>
        </w:rPr>
        <w:t xml:space="preserve">26.2.2.2</w:t>
      </w:r>
      <w:r>
        <w:tab/>
      </w:r>
      <w:r>
        <w:t xml:space="preserve">K0106252 匠</w:t>
      </w:r>
    </w:p>
    <w:p>
      <w:pPr>
        <w:pStyle w:val="CaptionedFigure"/>
      </w:pPr>
      <w:r>
        <w:drawing>
          <wp:inline>
            <wp:extent cx="476250" cy="476250"/>
            <wp:effectExtent b="0" l="0" r="0" t="0"/>
            <wp:docPr descr="匠" title="" id="746" name="Picture"/>
            <a:graphic>
              <a:graphicData uri="http://schemas.openxmlformats.org/drawingml/2006/picture">
                <pic:pic>
                  <pic:nvPicPr>
                    <pic:cNvPr descr="https://glyphwiki.org/glyph/hdic-tanki01_hkrm-01062520.50px.png" id="747" name="Picture"/>
                    <pic:cNvPicPr>
                      <a:picLocks noChangeArrowheads="1" noChangeAspect="1"/>
                    </pic:cNvPicPr>
                  </pic:nvPicPr>
                  <pic:blipFill>
                    <a:blip r:embed="rId745"/>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匠</w:t>
      </w:r>
    </w:p>
    <w:p>
      <w:pPr>
        <w:pStyle w:val="BodyText"/>
      </w:pPr>
      <w:r>
        <w:t xml:space="preserve">(Main Text)</w:t>
      </w:r>
      <w:r>
        <w:t xml:space="preserve"> </w:t>
      </w:r>
      <w:r>
        <w:t xml:space="preserve">音上　呉音昌(R)　⿺辶⿱一斤俗　ツヒニ〈是歟〉　タクミ(LLL)</w:t>
      </w:r>
    </w:p>
    <w:p>
      <w:pPr>
        <w:pStyle w:val="BodyText"/>
      </w:pPr>
      <w:r>
        <w:t xml:space="preserve">(Notes)</w:t>
      </w:r>
      <w:r>
        <w:br/>
      </w:r>
      <w:r>
        <w:t xml:space="preserve">1 音上</w:t>
      </w:r>
      <w:r>
        <w:br/>
      </w:r>
      <w:r>
        <w:t xml:space="preserve">The</w:t>
      </w:r>
      <w:r>
        <w:t xml:space="preserve"> </w:t>
      </w:r>
      <w:r>
        <w:rPr>
          <w:iCs/>
          <w:i/>
        </w:rPr>
        <w:t xml:space="preserve">Guangyun</w:t>
      </w:r>
      <w:r>
        <w:t xml:space="preserve"> </w:t>
      </w:r>
      <w:r>
        <w:t xml:space="preserve">gives</w:t>
      </w:r>
      <w:r>
        <w:t xml:space="preserve"> </w:t>
      </w:r>
      <w:r>
        <w:t xml:space="preserve">“</w:t>
      </w:r>
      <w:r>
        <w:t xml:space="preserve">疾亮切</w:t>
      </w:r>
      <w:r>
        <w:t xml:space="preserve">”</w:t>
      </w:r>
      <w:r>
        <w:t xml:space="preserve"> </w:t>
      </w:r>
      <w:r>
        <w:t xml:space="preserve">(Departing tone, Yang rhyme (漾韻)).</w:t>
      </w:r>
      <w:r>
        <w:t xml:space="preserve"> </w:t>
      </w:r>
      <w:r>
        <w:t xml:space="preserve">“</w:t>
      </w:r>
      <w:r>
        <w:t xml:space="preserve">上</w:t>
      </w:r>
      <w:r>
        <w:t xml:space="preserve">”</w:t>
      </w:r>
      <w:r>
        <w:t xml:space="preserve"> </w:t>
      </w:r>
      <w:r>
        <w:t xml:space="preserve">is</w:t>
      </w:r>
      <w:r>
        <w:t xml:space="preserve"> </w:t>
      </w:r>
      <w:r>
        <w:t xml:space="preserve">“</w:t>
      </w:r>
      <w:r>
        <w:t xml:space="preserve">時掌切</w:t>
      </w:r>
      <w:r>
        <w:t xml:space="preserve">”</w:t>
      </w:r>
      <w:r>
        <w:t xml:space="preserve"> </w:t>
      </w:r>
      <w:r>
        <w:t xml:space="preserve">(Rising tone, Yang rhyme (養韻)) and</w:t>
      </w:r>
      <w:r>
        <w:t xml:space="preserve"> </w:t>
      </w:r>
      <w:r>
        <w:t xml:space="preserve">“</w:t>
      </w:r>
      <w:r>
        <w:t xml:space="preserve">時亮切</w:t>
      </w:r>
      <w:r>
        <w:t xml:space="preserve">”</w:t>
      </w:r>
      <w:r>
        <w:t xml:space="preserve"> </w:t>
      </w:r>
      <w:r>
        <w:t xml:space="preserve">(Departing tone, Yang rhyme (漾韻); xiaoyun 尚). The Kanchi-in, Renjō-in, and Sainenji manuscripts have</w:t>
      </w:r>
      <w:r>
        <w:t xml:space="preserve"> </w:t>
      </w:r>
      <w:r>
        <w:t xml:space="preserve">“</w:t>
      </w:r>
      <w:r>
        <w:t xml:space="preserve">亠上</w:t>
      </w:r>
      <w:r>
        <w:t xml:space="preserve">”</w:t>
      </w:r>
      <w:r>
        <w:t xml:space="preserve">; the Kōzan-ji manuscript has</w:t>
      </w:r>
      <w:r>
        <w:t xml:space="preserve"> </w:t>
      </w:r>
      <w:r>
        <w:t xml:space="preserve">“</w:t>
      </w:r>
      <w:r>
        <w:t xml:space="preserve">音上(R)</w:t>
      </w:r>
      <w:r>
        <w:t xml:space="preserve">”</w:t>
      </w:r>
      <w:r>
        <w:t xml:space="preserve">.</w:t>
      </w:r>
    </w:p>
    <w:p>
      <w:pPr>
        <w:pStyle w:val="BodyText"/>
      </w:pPr>
      <w:r>
        <w:t xml:space="preserve">2 呉音昌(R)</w:t>
      </w:r>
      <w:r>
        <w:br/>
      </w:r>
      <w:r>
        <w:t xml:space="preserve">The Kōzan-ji manuscript has</w:t>
      </w:r>
      <w:r>
        <w:t xml:space="preserve"> </w:t>
      </w:r>
      <w:r>
        <w:t xml:space="preserve">“</w:t>
      </w:r>
      <w:r>
        <w:t xml:space="preserve">呉ー唱(R)</w:t>
      </w:r>
      <w:r>
        <w:t xml:space="preserve">”</w:t>
      </w:r>
      <w:r>
        <w:t xml:space="preserve">; the Renjō-in and Sainenji manuscripts have</w:t>
      </w:r>
      <w:r>
        <w:t xml:space="preserve"> </w:t>
      </w:r>
      <w:r>
        <w:t xml:space="preserve">“</w:t>
      </w:r>
      <w:r>
        <w:t xml:space="preserve">呉ー唱</w:t>
      </w:r>
      <w:r>
        <w:t xml:space="preserve">”</w:t>
      </w:r>
      <w:r>
        <w:t xml:space="preserve">. In the Ishiyama-dera manuscript of the</w:t>
      </w:r>
      <w:r>
        <w:t xml:space="preserve"> </w:t>
      </w:r>
      <w:r>
        <w:rPr>
          <w:iCs/>
          <w:i/>
        </w:rPr>
        <w:t xml:space="preserve">Dai-Hannya-kyō Jishō</w:t>
      </w:r>
      <w:r>
        <w:t xml:space="preserve">, the entry for</w:t>
      </w:r>
      <w:r>
        <w:t xml:space="preserve"> </w:t>
      </w:r>
      <w:r>
        <w:t xml:space="preserve">“</w:t>
      </w:r>
      <w:r>
        <w:t xml:space="preserve">匠</w:t>
      </w:r>
      <w:r>
        <w:t xml:space="preserve">”</w:t>
      </w:r>
      <w:r>
        <w:t xml:space="preserve"> </w:t>
      </w:r>
      <w:r>
        <w:t xml:space="preserve">(⿺辶⿱一斤) has</w:t>
      </w:r>
      <w:r>
        <w:t xml:space="preserve"> </w:t>
      </w:r>
      <w:r>
        <w:t xml:space="preserve">“</w:t>
      </w:r>
      <w:r>
        <w:t xml:space="preserve">音唱</w:t>
      </w:r>
      <w:r>
        <w:t xml:space="preserve">”</w:t>
      </w:r>
      <w:r>
        <w:t xml:space="preserve"> </w:t>
      </w:r>
      <w:r>
        <w:t xml:space="preserve">and</w:t>
      </w:r>
      <w:r>
        <w:t xml:space="preserve"> </w:t>
      </w:r>
      <w:r>
        <w:t xml:space="preserve">“</w:t>
      </w:r>
      <w:r>
        <w:t xml:space="preserve">タクミ</w:t>
      </w:r>
      <w:r>
        <w:t xml:space="preserve">”</w:t>
      </w:r>
      <w:r>
        <w:t xml:space="preserve"> </w:t>
      </w:r>
      <w:r>
        <w:t xml:space="preserve">(fol. 9r), and</w:t>
      </w:r>
      <w:r>
        <w:t xml:space="preserve"> </w:t>
      </w:r>
      <w:r>
        <w:t xml:space="preserve">“</w:t>
      </w:r>
      <w:r>
        <w:t xml:space="preserve">音唱</w:t>
      </w:r>
      <w:r>
        <w:t xml:space="preserve">”</w:t>
      </w:r>
      <w:r>
        <w:t xml:space="preserve"> </w:t>
      </w:r>
      <w:r>
        <w:t xml:space="preserve">(fol. 21r).</w:t>
      </w:r>
    </w:p>
    <w:p>
      <w:pPr>
        <w:pStyle w:val="BodyText"/>
      </w:pPr>
      <w:r>
        <w:t xml:space="preserve">3 ⿺辶⿱一斤俗</w:t>
      </w:r>
      <w:r>
        <w:br/>
      </w:r>
      <w:r>
        <w:t xml:space="preserve">“</w:t>
      </w:r>
      <w:r>
        <w:t xml:space="preserve">⿺辶⿱一斤</w:t>
      </w:r>
      <w:r>
        <w:t xml:space="preserve">”</w:t>
      </w:r>
      <w:r>
        <w:t xml:space="preserve"> </w:t>
      </w:r>
      <w:r>
        <w:t xml:space="preserve">is 𮞆 (U+2E786). The</w:t>
      </w:r>
      <w:r>
        <w:t xml:space="preserve"> </w:t>
      </w:r>
      <w:r>
        <w:rPr>
          <w:iCs/>
          <w:i/>
        </w:rPr>
        <w:t xml:space="preserve">Ganlu Zishu</w:t>
      </w:r>
      <w:r>
        <w:t xml:space="preserve"> </w:t>
      </w:r>
      <w:r>
        <w:t xml:space="preserve">gives</w:t>
      </w:r>
      <w:r>
        <w:t xml:space="preserve"> </w:t>
      </w:r>
      <w:r>
        <w:t xml:space="preserve">“</w:t>
      </w:r>
      <w:r>
        <w:t xml:space="preserve">⿺辶⿱一斤匠　上俗下正</w:t>
      </w:r>
      <w:r>
        <w:t xml:space="preserve">”</w:t>
      </w:r>
      <w:r>
        <w:t xml:space="preserve"> </w:t>
      </w:r>
      <w:r>
        <w:t xml:space="preserve">(of the two, the upper is the vulgar/popular form and the lower is the standard form).</w:t>
      </w:r>
    </w:p>
    <w:p>
      <w:pPr>
        <w:pStyle w:val="BodyText"/>
      </w:pPr>
      <w:r>
        <w:t xml:space="preserve">4 ツヒニ〈是歟〉</w:t>
      </w:r>
      <w:r>
        <w:br/>
      </w:r>
      <w:r>
        <w:t xml:space="preserve">The Kanchi-in manuscript writes</w:t>
      </w:r>
      <w:r>
        <w:t xml:space="preserve"> </w:t>
      </w:r>
      <w:r>
        <w:t xml:space="preserve">“</w:t>
      </w:r>
      <w:r>
        <w:t xml:space="preserve">是歟</w:t>
      </w:r>
      <w:r>
        <w:t xml:space="preserve">”</w:t>
      </w:r>
      <w:r>
        <w:t xml:space="preserve"> </w:t>
      </w:r>
      <w:r>
        <w:t xml:space="preserve">in a slightly smaller size. This reading may derive from the cursive form of</w:t>
      </w:r>
      <w:r>
        <w:t xml:space="preserve"> </w:t>
      </w:r>
      <w:r>
        <w:t xml:space="preserve">“</w:t>
      </w:r>
      <w:r>
        <w:t xml:space="preserve">遂</w:t>
      </w:r>
      <w:r>
        <w:t xml:space="preserve">”</w:t>
      </w:r>
      <w:r>
        <w:t xml:space="preserve">, though this remains uncertain.</w:t>
      </w:r>
    </w:p>
    <w:p>
      <w:pPr>
        <w:pStyle w:val="BodyText"/>
      </w:pPr>
      <w:r>
        <w:t xml:space="preserve">5 タクミ(LLL)</w:t>
      </w:r>
      <w:r>
        <w:br/>
      </w:r>
      <w:r>
        <w:t xml:space="preserve">The Dōen-bon manuscript of the</w:t>
      </w:r>
      <w:r>
        <w:t xml:space="preserve"> </w:t>
      </w:r>
      <w:r>
        <w:rPr>
          <w:iCs/>
          <w:i/>
        </w:rPr>
        <w:t xml:space="preserve">Wamyō Ruijushō</w:t>
      </w:r>
      <w:r>
        <w:t xml:space="preserve"> </w:t>
      </w:r>
      <w:r>
        <w:t xml:space="preserve">gives</w:t>
      </w:r>
      <w:r>
        <w:t xml:space="preserve"> </w:t>
      </w:r>
      <w:r>
        <w:t xml:space="preserve">“</w:t>
      </w:r>
      <w:r>
        <w:t xml:space="preserve">工匠　四声字苑云工［功反和名太久美］匠［上反］巧人也</w:t>
      </w:r>
      <w:r>
        <w:t xml:space="preserve">”</w:t>
      </w:r>
      <w:r>
        <w:t xml:space="preserve"> </w:t>
      </w:r>
      <w:r>
        <w:t xml:space="preserve">(Vol. 2, Jinrin [Human Relations] Section). The</w:t>
      </w:r>
      <w:r>
        <w:t xml:space="preserve"> </w:t>
      </w:r>
      <w:r>
        <w:rPr>
          <w:iCs/>
          <w:i/>
        </w:rPr>
        <w:t xml:space="preserve">Dai-Hannya-kyō Jishō</w:t>
      </w:r>
      <w:r>
        <w:t xml:space="preserve"> </w:t>
      </w:r>
      <w:r>
        <w:t xml:space="preserve">has</w:t>
      </w:r>
      <w:r>
        <w:t xml:space="preserve"> </w:t>
      </w:r>
      <w:r>
        <w:t xml:space="preserve">“</w:t>
      </w:r>
      <w:r>
        <w:t xml:space="preserve">タクミ</w:t>
      </w:r>
      <w:r>
        <w:t xml:space="preserve">”</w:t>
      </w:r>
      <w:r>
        <w:t xml:space="preserve"> </w:t>
      </w:r>
      <w:r>
        <w:t xml:space="preserve">for</w:t>
      </w:r>
      <w:r>
        <w:t xml:space="preserve"> </w:t>
      </w:r>
      <w:r>
        <w:t xml:space="preserve">“</w:t>
      </w:r>
      <w:r>
        <w:t xml:space="preserve">匠</w:t>
      </w:r>
      <w:r>
        <w:t xml:space="preserve">”</w:t>
      </w:r>
      <w:r>
        <w:t xml:space="preserve"> </w:t>
      </w:r>
      <w:r>
        <w:t xml:space="preserve">(fol. 9r). The Kanchi-in and Kōzan-ji manuscripts have</w:t>
      </w:r>
      <w:r>
        <w:t xml:space="preserve"> </w:t>
      </w:r>
      <w:r>
        <w:t xml:space="preserve">“</w:t>
      </w:r>
      <w:r>
        <w:t xml:space="preserve">タクミ(LLL)</w:t>
      </w:r>
      <w:r>
        <w:t xml:space="preserve">”</w:t>
      </w:r>
      <w:r>
        <w:t xml:space="preserve">; the Renjō-in manuscript has</w:t>
      </w:r>
      <w:r>
        <w:t xml:space="preserve"> </w:t>
      </w:r>
      <w:r>
        <w:t xml:space="preserve">“</w:t>
      </w:r>
      <w:r>
        <w:t xml:space="preserve">タクミ</w:t>
      </w:r>
      <w:r>
        <w:t xml:space="preserve">”</w:t>
      </w:r>
      <w:r>
        <w:t xml:space="preserve">; the Sainenji manuscript has</w:t>
      </w:r>
      <w:r>
        <w:t xml:space="preserve"> </w:t>
      </w:r>
      <w:r>
        <w:t xml:space="preserve">“</w:t>
      </w:r>
      <w:r>
        <w:t xml:space="preserve">タクミ(LLL)</w:t>
      </w:r>
      <w:r>
        <w:t xml:space="preserve">”</w:t>
      </w:r>
      <w:r>
        <w:t xml:space="preserve"> </w:t>
      </w:r>
      <w:r>
        <w:t xml:space="preserve">(uncertain, 存疑).</w:t>
      </w:r>
    </w:p>
    <w:bookmarkEnd w:id="748"/>
    <w:bookmarkStart w:id="752" w:name="Xcb2a4d6d150948945b6c08de64c2136b6a87695"/>
    <w:p>
      <w:pPr>
        <w:pStyle w:val="Heading4"/>
      </w:pPr>
      <w:r>
        <w:rPr>
          <w:rStyle w:val="SectionNumber"/>
        </w:rPr>
        <w:t xml:space="preserve">26.2.2.3</w:t>
      </w:r>
      <w:r>
        <w:tab/>
      </w:r>
      <w:r>
        <w:t xml:space="preserve">K0106253 匧</w:t>
      </w:r>
    </w:p>
    <w:p>
      <w:pPr>
        <w:pStyle w:val="CaptionedFigure"/>
      </w:pPr>
      <w:r>
        <w:drawing>
          <wp:inline>
            <wp:extent cx="635000" cy="635000"/>
            <wp:effectExtent b="0" l="0" r="0" t="0"/>
            <wp:docPr descr="匧" title="" id="750" name="Picture"/>
            <a:graphic>
              <a:graphicData uri="http://schemas.openxmlformats.org/drawingml/2006/picture">
                <pic:pic>
                  <pic:nvPicPr>
                    <pic:cNvPr descr="https://glyphwiki.org/glyph/hdic-tanki01_hkrm-01062530.50px.png" id="751" name="Picture"/>
                    <pic:cNvPicPr>
                      <a:picLocks noChangeArrowheads="1" noChangeAspect="1"/>
                    </pic:cNvPicPr>
                  </pic:nvPicPr>
                  <pic:blipFill>
                    <a:blip r:embed="rId749"/>
                    <a:stretch>
                      <a:fillRect/>
                    </a:stretch>
                  </pic:blipFill>
                  <pic:spPr bwMode="auto">
                    <a:xfrm>
                      <a:off x="0" y="0"/>
                      <a:ext cx="635000" cy="635000"/>
                    </a:xfrm>
                    <a:prstGeom prst="rect">
                      <a:avLst/>
                    </a:prstGeom>
                    <a:noFill/>
                    <a:ln w="9525">
                      <a:noFill/>
                      <a:headEnd/>
                      <a:tailEnd/>
                    </a:ln>
                  </pic:spPr>
                </pic:pic>
              </a:graphicData>
            </a:graphic>
          </wp:inline>
        </w:drawing>
      </w:r>
    </w:p>
    <w:p>
      <w:pPr>
        <w:pStyle w:val="ImageCaption"/>
      </w:pPr>
      <w:r>
        <w:t xml:space="preserve">匧</w:t>
      </w:r>
    </w:p>
    <w:p>
      <w:pPr>
        <w:pStyle w:val="BodyText"/>
      </w:pPr>
      <w:r>
        <w:t xml:space="preserve">(Main Text)</w:t>
      </w:r>
      <w:r>
        <w:t xml:space="preserve"> </w:t>
      </w:r>
      <w:r>
        <w:t xml:space="preserve">苦俠(S)反　篋俗</w:t>
      </w:r>
    </w:p>
    <w:p>
      <w:pPr>
        <w:pStyle w:val="BodyText"/>
      </w:pPr>
      <w:r>
        <w:t xml:space="preserve">(Notes)</w:t>
      </w:r>
      <w:r>
        <w:br/>
      </w:r>
      <w:r>
        <w:t xml:space="preserve">1 苦俠(S)反</w:t>
      </w:r>
      <w:r>
        <w:br/>
      </w:r>
      <w:r>
        <w:t xml:space="preserve">The</w:t>
      </w:r>
      <w:r>
        <w:t xml:space="preserve"> </w:t>
      </w:r>
      <w:r>
        <w:rPr>
          <w:iCs/>
          <w:i/>
        </w:rPr>
        <w:t xml:space="preserve">Guangyun</w:t>
      </w:r>
      <w:r>
        <w:t xml:space="preserve"> </w:t>
      </w:r>
      <w:r>
        <w:t xml:space="preserve">gives</w:t>
      </w:r>
      <w:r>
        <w:t xml:space="preserve"> </w:t>
      </w:r>
      <w:r>
        <w:t xml:space="preserve">“</w:t>
      </w:r>
      <w:r>
        <w:t xml:space="preserve">苦協切</w:t>
      </w:r>
      <w:r>
        <w:t xml:space="preserve">”</w:t>
      </w:r>
      <w:r>
        <w:t xml:space="preserve"> </w:t>
      </w:r>
      <w:r>
        <w:t xml:space="preserve">(Entering tone, Tie rhyme (怗韻); xiaoyun 愜). In the Kanchi-in and Kōzan-ji manuscripts,</w:t>
      </w:r>
      <w:r>
        <w:t xml:space="preserve"> </w:t>
      </w:r>
      <w:r>
        <w:t xml:space="preserve">“</w:t>
      </w:r>
      <w:r>
        <w:t xml:space="preserve">俠</w:t>
      </w:r>
      <w:r>
        <w:t xml:space="preserve">”</w:t>
      </w:r>
      <w:r>
        <w:t xml:space="preserve"> </w:t>
      </w:r>
      <w:r>
        <w:t xml:space="preserve">carries an Entering</w:t>
      </w:r>
      <w:r>
        <w:t xml:space="preserve"> </w:t>
      </w:r>
      <w:r>
        <w:rPr>
          <w:rStyle w:val="VerbatimChar"/>
          <w:bCs/>
          <w:b/>
        </w:rPr>
        <w:t xml:space="preserve">Tone Mark</w:t>
      </w:r>
      <w:r>
        <w:t xml:space="preserve">; the Renjō-in and Sainenji manuscripts have no</w:t>
      </w:r>
      <w:r>
        <w:t xml:space="preserve"> </w:t>
      </w:r>
      <w:r>
        <w:rPr>
          <w:rStyle w:val="VerbatimChar"/>
          <w:bCs/>
          <w:b/>
        </w:rPr>
        <w:t xml:space="preserve">Tone Mark</w:t>
      </w:r>
      <w:r>
        <w:t xml:space="preserve">.</w:t>
      </w:r>
    </w:p>
    <w:p>
      <w:pPr>
        <w:pStyle w:val="BodyText"/>
      </w:pPr>
      <w:r>
        <w:t xml:space="preserve">2 篋俗</w:t>
      </w:r>
      <w:r>
        <w:br/>
      </w:r>
      <w:r>
        <w:t xml:space="preserve">The Renjō-in manuscript writes</w:t>
      </w:r>
      <w:r>
        <w:t xml:space="preserve"> </w:t>
      </w:r>
      <w:r>
        <w:t xml:space="preserve">“</w:t>
      </w:r>
      <w:r>
        <w:t xml:space="preserve">「」</w:t>
      </w:r>
      <w:r>
        <w:t xml:space="preserve">”</w:t>
      </w:r>
      <w:r>
        <w:t xml:space="preserve"> </w:t>
      </w:r>
      <w:r>
        <w:t xml:space="preserve">in the same size as the</w:t>
      </w:r>
      <w:r>
        <w:t xml:space="preserve"> </w:t>
      </w:r>
      <w:r>
        <w:rPr>
          <w:rStyle w:val="VerbatimChar"/>
          <w:bCs/>
          <w:b/>
        </w:rPr>
        <w:t xml:space="preserve">Headword</w:t>
      </w:r>
      <w:r>
        <w:t xml:space="preserve">. The Song edition of the</w:t>
      </w:r>
      <w:r>
        <w:t xml:space="preserve"> </w:t>
      </w:r>
      <w:r>
        <w:rPr>
          <w:iCs/>
          <w:i/>
        </w:rPr>
        <w:t xml:space="preserve">Yupian</w:t>
      </w:r>
      <w:r>
        <w:t xml:space="preserve"> </w:t>
      </w:r>
      <w:r>
        <w:t xml:space="preserve">gives</w:t>
      </w:r>
      <w:r>
        <w:t xml:space="preserve"> </w:t>
      </w:r>
      <w:r>
        <w:t xml:space="preserve">“</w:t>
      </w:r>
      <w:r>
        <w:t xml:space="preserve">匧　或作篋</w:t>
      </w:r>
      <w:r>
        <w:t xml:space="preserve">”</w:t>
      </w:r>
      <w:r>
        <w:t xml:space="preserve"> </w:t>
      </w:r>
      <w:r>
        <w:t xml:space="preserve">(匧 is also written as 篋). The</w:t>
      </w:r>
      <w:r>
        <w:t xml:space="preserve"> </w:t>
      </w:r>
      <w:r>
        <w:rPr>
          <w:iCs/>
          <w:i/>
        </w:rPr>
        <w:t xml:space="preserve">Shinsen Jikyō</w:t>
      </w:r>
      <w:r>
        <w:t xml:space="preserve"> </w:t>
      </w:r>
      <w:r>
        <w:t xml:space="preserve">gives</w:t>
      </w:r>
      <w:r>
        <w:t xml:space="preserve"> </w:t>
      </w:r>
      <w:r>
        <w:t xml:space="preserve">“</w:t>
      </w:r>
      <w:r>
        <w:t xml:space="preserve">匧　篋字</w:t>
      </w:r>
      <w:r>
        <w:t xml:space="preserve">”</w:t>
      </w:r>
      <w:r>
        <w:t xml:space="preserve"> </w:t>
      </w:r>
      <w:r>
        <w:t xml:space="preserve">(匧 is the character 篋); the</w:t>
      </w:r>
      <w:r>
        <w:t xml:space="preserve"> </w:t>
      </w:r>
      <w:r>
        <w:rPr>
          <w:iCs/>
          <w:i/>
        </w:rPr>
        <w:t xml:space="preserve">Longkan Shoujian/Shoujing</w:t>
      </w:r>
      <w:r>
        <w:t xml:space="preserve">, Fascicle 1,</w:t>
      </w:r>
      <w:r>
        <w:t xml:space="preserve"> </w:t>
      </w:r>
      <w:r>
        <w:t xml:space="preserve">“</w:t>
      </w:r>
      <w:r>
        <w:t xml:space="preserve">匚</w:t>
      </w:r>
      <w:r>
        <w:t xml:space="preserve">”</w:t>
      </w:r>
      <w:r>
        <w:t xml:space="preserve"> </w:t>
      </w:r>
      <w:r>
        <w:t xml:space="preserve">radical section, gives</w:t>
      </w:r>
      <w:r>
        <w:t xml:space="preserve"> </w:t>
      </w:r>
      <w:r>
        <w:t xml:space="preserve">“</w:t>
      </w:r>
      <w:r>
        <w:t xml:space="preserve">⿷匚夹　俗通；匧　正。苦叶反。函ー也。二。</w:t>
      </w:r>
      <w:r>
        <w:t xml:space="preserve">”</w:t>
      </w:r>
    </w:p>
    <w:bookmarkEnd w:id="752"/>
    <w:bookmarkStart w:id="756" w:name="Xd68dd342f495e3901b16b28d49ae72aac6ef8c5"/>
    <w:p>
      <w:pPr>
        <w:pStyle w:val="Heading4"/>
      </w:pPr>
      <w:r>
        <w:rPr>
          <w:rStyle w:val="SectionNumber"/>
        </w:rPr>
        <w:t xml:space="preserve">26.2.2.4</w:t>
      </w:r>
      <w:r>
        <w:tab/>
      </w:r>
      <w:r>
        <w:t xml:space="preserve">K0106254 匧</w:t>
      </w:r>
    </w:p>
    <w:p>
      <w:pPr>
        <w:pStyle w:val="CaptionedFigure"/>
      </w:pPr>
      <w:r>
        <w:drawing>
          <wp:inline>
            <wp:extent cx="476250" cy="476250"/>
            <wp:effectExtent b="0" l="0" r="0" t="0"/>
            <wp:docPr descr="匧" title="" id="754" name="Picture"/>
            <a:graphic>
              <a:graphicData uri="http://schemas.openxmlformats.org/drawingml/2006/picture">
                <pic:pic>
                  <pic:nvPicPr>
                    <pic:cNvPr descr="https://glyphwiki.org/glyph/hdic-tanki01_hkrm-01062540.50px.png" id="755" name="Picture"/>
                    <pic:cNvPicPr>
                      <a:picLocks noChangeArrowheads="1" noChangeAspect="1"/>
                    </pic:cNvPicPr>
                  </pic:nvPicPr>
                  <pic:blipFill>
                    <a:blip r:embed="rId753"/>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匧</w:t>
      </w:r>
    </w:p>
    <w:p>
      <w:pPr>
        <w:pStyle w:val="BodyText"/>
      </w:pPr>
      <w:r>
        <w:t xml:space="preserve">(Main Text)</w:t>
      </w:r>
      <w:r>
        <w:t xml:space="preserve"> </w:t>
      </w:r>
      <w:r>
        <w:t xml:space="preserve">正</w:t>
      </w:r>
    </w:p>
    <w:p>
      <w:pPr>
        <w:pStyle w:val="BodyText"/>
      </w:pPr>
      <w:r>
        <w:t xml:space="preserve">(Notes)</w:t>
      </w:r>
      <w:r>
        <w:br/>
      </w:r>
      <w:r>
        <w:t xml:space="preserve">1 正</w:t>
      </w:r>
      <w:r>
        <w:br/>
      </w:r>
      <w:r>
        <w:t xml:space="preserve">The Kanchi-in, Renjō-in, and Kōzan-ji manuscripts have</w:t>
      </w:r>
      <w:r>
        <w:t xml:space="preserve"> </w:t>
      </w:r>
      <w:r>
        <w:t xml:space="preserve">“</w:t>
      </w:r>
      <w:r>
        <w:t xml:space="preserve">正</w:t>
      </w:r>
      <w:r>
        <w:t xml:space="preserve">”</w:t>
      </w:r>
      <w:r>
        <w:t xml:space="preserve">; the Sainenji manuscript lacks it. This is an omission in the Sainenji manuscript (Kobayashi Kyōji,</w:t>
      </w:r>
      <w:r>
        <w:t xml:space="preserve"> </w:t>
      </w:r>
      <w:r>
        <w:t xml:space="preserve">“</w:t>
      </w:r>
      <w:r>
        <w:t xml:space="preserve">Sainenji-bon ni Mienai Kanji Chūki,</w:t>
      </w:r>
      <w:r>
        <w:t xml:space="preserve">”</w:t>
      </w:r>
      <w:r>
        <w:t xml:space="preserve"> </w:t>
      </w:r>
      <w:r>
        <w:t xml:space="preserve">example 18).</w:t>
      </w:r>
    </w:p>
    <w:bookmarkEnd w:id="756"/>
    <w:bookmarkStart w:id="760" w:name="X73473a4dddc127997e484a78fad5aa4af5cbf9d"/>
    <w:p>
      <w:pPr>
        <w:pStyle w:val="Heading4"/>
      </w:pPr>
      <w:r>
        <w:rPr>
          <w:rStyle w:val="SectionNumber"/>
        </w:rPr>
        <w:t xml:space="preserve">26.2.2.5</w:t>
      </w:r>
      <w:r>
        <w:tab/>
      </w:r>
      <w:r>
        <w:t xml:space="preserve">K0106261 匜</w:t>
      </w:r>
    </w:p>
    <w:p>
      <w:pPr>
        <w:pStyle w:val="CaptionedFigure"/>
      </w:pPr>
      <w:r>
        <w:drawing>
          <wp:inline>
            <wp:extent cx="476250" cy="476250"/>
            <wp:effectExtent b="0" l="0" r="0" t="0"/>
            <wp:docPr descr="匜" title="" id="758" name="Picture"/>
            <a:graphic>
              <a:graphicData uri="http://schemas.openxmlformats.org/drawingml/2006/picture">
                <pic:pic>
                  <pic:nvPicPr>
                    <pic:cNvPr descr="https://glyphwiki.org/glyph/hdic-tanki01_hkrm-01062610.50px.png" id="759" name="Picture"/>
                    <pic:cNvPicPr>
                      <a:picLocks noChangeArrowheads="1" noChangeAspect="1"/>
                    </pic:cNvPicPr>
                  </pic:nvPicPr>
                  <pic:blipFill>
                    <a:blip r:embed="rId757"/>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匜</w:t>
      </w:r>
    </w:p>
    <w:p>
      <w:pPr>
        <w:pStyle w:val="BodyText"/>
      </w:pPr>
      <w:r>
        <w:t xml:space="preserve">(Main Text)</w:t>
      </w:r>
      <w:r>
        <w:t xml:space="preserve"> </w:t>
      </w:r>
      <w:r>
        <w:t xml:space="preserve">移(L)音　又戈(弋)尒反　⿺乚㐌⿺辶㐌</w:t>
      </w:r>
    </w:p>
    <w:p>
      <w:pPr>
        <w:pStyle w:val="BodyText"/>
      </w:pPr>
      <w:r>
        <w:t xml:space="preserve">(Notes)</w:t>
      </w:r>
      <w:r>
        <w:br/>
      </w:r>
      <w:r>
        <w:t xml:space="preserve">1 移(L)音</w:t>
      </w:r>
      <w:r>
        <w:br/>
      </w:r>
      <w:r>
        <w:t xml:space="preserve">The</w:t>
      </w:r>
      <w:r>
        <w:t xml:space="preserve"> </w:t>
      </w:r>
      <w:r>
        <w:rPr>
          <w:iCs/>
          <w:i/>
        </w:rPr>
        <w:t xml:space="preserve">Guangyun</w:t>
      </w:r>
      <w:r>
        <w:t xml:space="preserve"> </w:t>
      </w:r>
      <w:r>
        <w:t xml:space="preserve">gives</w:t>
      </w:r>
      <w:r>
        <w:t xml:space="preserve"> </w:t>
      </w:r>
      <w:r>
        <w:t xml:space="preserve">“</w:t>
      </w:r>
      <w:r>
        <w:t xml:space="preserve">弋支切</w:t>
      </w:r>
      <w:r>
        <w:t xml:space="preserve">”</w:t>
      </w:r>
      <w:r>
        <w:t xml:space="preserve"> </w:t>
      </w:r>
      <w:r>
        <w:t xml:space="preserve">(Level tone, Zhi rhyme (支韻),</w:t>
      </w:r>
      <w:r>
        <w:t xml:space="preserve"> </w:t>
      </w:r>
      <w:r>
        <w:rPr>
          <w:iCs/>
          <w:i/>
        </w:rPr>
        <w:t xml:space="preserve">Yu</w:t>
      </w:r>
      <w:r>
        <w:t xml:space="preserve"> </w:t>
      </w:r>
      <w:r>
        <w:t xml:space="preserve">IV initial; xiaoyun 移) and</w:t>
      </w:r>
      <w:r>
        <w:t xml:space="preserve"> </w:t>
      </w:r>
      <w:r>
        <w:t xml:space="preserve">“</w:t>
      </w:r>
      <w:r>
        <w:t xml:space="preserve">移爾切</w:t>
      </w:r>
      <w:r>
        <w:t xml:space="preserve">”</w:t>
      </w:r>
      <w:r>
        <w:t xml:space="preserve"> </w:t>
      </w:r>
      <w:r>
        <w:t xml:space="preserve">(Rising tone, Zhi rhyme (紙韻),</w:t>
      </w:r>
      <w:r>
        <w:t xml:space="preserve"> </w:t>
      </w:r>
      <w:r>
        <w:rPr>
          <w:iCs/>
          <w:i/>
        </w:rPr>
        <w:t xml:space="preserve">Yu</w:t>
      </w:r>
      <w:r>
        <w:t xml:space="preserve"> </w:t>
      </w:r>
      <w:r>
        <w:t xml:space="preserve">IV initial; xiaoyun 酏); this corresponds to the former. The Kanchi-in manuscript has</w:t>
      </w:r>
      <w:r>
        <w:t xml:space="preserve"> </w:t>
      </w:r>
      <w:r>
        <w:t xml:space="preserve">“</w:t>
      </w:r>
      <w:r>
        <w:t xml:space="preserve">移(L)亠</w:t>
      </w:r>
      <w:r>
        <w:t xml:space="preserve">”</w:t>
      </w:r>
      <w:r>
        <w:t xml:space="preserve">; the Kōzan-ji manuscript has</w:t>
      </w:r>
      <w:r>
        <w:t xml:space="preserve"> </w:t>
      </w:r>
      <w:r>
        <w:t xml:space="preserve">“</w:t>
      </w:r>
      <w:r>
        <w:t xml:space="preserve">移(L)音</w:t>
      </w:r>
      <w:r>
        <w:t xml:space="preserve">”</w:t>
      </w:r>
      <w:r>
        <w:t xml:space="preserve">; the Renjō-in manuscript has</w:t>
      </w:r>
      <w:r>
        <w:t xml:space="preserve"> </w:t>
      </w:r>
      <w:r>
        <w:t xml:space="preserve">“</w:t>
      </w:r>
      <w:r>
        <w:t xml:space="preserve">移亠</w:t>
      </w:r>
      <w:r>
        <w:t xml:space="preserve">”</w:t>
      </w:r>
      <w:r>
        <w:t xml:space="preserve">. In the Sainenji manuscript, there is a</w:t>
      </w:r>
      <w:r>
        <w:t xml:space="preserve"> </w:t>
      </w:r>
      <w:r>
        <w:t xml:space="preserve">“</w:t>
      </w:r>
      <w:r>
        <w:t xml:space="preserve">｜</w:t>
      </w:r>
      <w:r>
        <w:t xml:space="preserve">”</w:t>
      </w:r>
      <w:r>
        <w:t xml:space="preserve"> </w:t>
      </w:r>
      <w:r>
        <w:t xml:space="preserve">mark between</w:t>
      </w:r>
      <w:r>
        <w:t xml:space="preserve"> </w:t>
      </w:r>
      <w:r>
        <w:t xml:space="preserve">“</w:t>
      </w:r>
      <w:r>
        <w:t xml:space="preserve">移</w:t>
      </w:r>
      <w:r>
        <w:t xml:space="preserve">”</w:t>
      </w:r>
      <w:r>
        <w:t xml:space="preserve"> </w:t>
      </w:r>
      <w:r>
        <w:t xml:space="preserve">and the</w:t>
      </w:r>
      <w:r>
        <w:t xml:space="preserve"> </w:t>
      </w:r>
      <w:r>
        <w:t xml:space="preserve">“</w:t>
      </w:r>
      <w:r>
        <w:t xml:space="preserve">一</w:t>
      </w:r>
      <w:r>
        <w:t xml:space="preserve">”</w:t>
      </w:r>
      <w:r>
        <w:t xml:space="preserve"> </w:t>
      </w:r>
      <w:r>
        <w:t xml:space="preserve">on the line to its right; this may originally have been</w:t>
      </w:r>
      <w:r>
        <w:t xml:space="preserve"> </w:t>
      </w:r>
      <w:r>
        <w:t xml:space="preserve">“</w:t>
      </w:r>
      <w:r>
        <w:t xml:space="preserve">移亠</w:t>
      </w:r>
      <w:r>
        <w:t xml:space="preserve">”</w:t>
      </w:r>
      <w:r>
        <w:t xml:space="preserve">, though</w:t>
      </w:r>
      <w:r>
        <w:t xml:space="preserve"> </w:t>
      </w:r>
      <w:r>
        <w:t xml:space="preserve">“</w:t>
      </w:r>
      <w:r>
        <w:t xml:space="preserve">移(L)亠</w:t>
      </w:r>
      <w:r>
        <w:t xml:space="preserve">”</w:t>
      </w:r>
      <w:r>
        <w:t xml:space="preserve"> </w:t>
      </w:r>
      <w:r>
        <w:t xml:space="preserve">is also possible.</w:t>
      </w:r>
    </w:p>
    <w:p>
      <w:pPr>
        <w:pStyle w:val="BodyText"/>
      </w:pPr>
      <w:r>
        <w:t xml:space="preserve">2 又戈(弋)尒反</w:t>
      </w:r>
      <w:r>
        <w:br/>
      </w:r>
      <w:r>
        <w:t xml:space="preserve">The</w:t>
      </w:r>
      <w:r>
        <w:t xml:space="preserve"> </w:t>
      </w:r>
      <w:r>
        <w:rPr>
          <w:iCs/>
          <w:i/>
        </w:rPr>
        <w:t xml:space="preserve">Guangyun</w:t>
      </w:r>
      <w:r>
        <w:t xml:space="preserve"> </w:t>
      </w:r>
      <w:r>
        <w:t xml:space="preserve">gives</w:t>
      </w:r>
      <w:r>
        <w:t xml:space="preserve"> </w:t>
      </w:r>
      <w:r>
        <w:t xml:space="preserve">“</w:t>
      </w:r>
      <w:r>
        <w:t xml:space="preserve">弋支切</w:t>
      </w:r>
      <w:r>
        <w:t xml:space="preserve">”</w:t>
      </w:r>
      <w:r>
        <w:t xml:space="preserve"> </w:t>
      </w:r>
      <w:r>
        <w:t xml:space="preserve">(Level tone, Zhi rhyme (支韻),</w:t>
      </w:r>
      <w:r>
        <w:t xml:space="preserve"> </w:t>
      </w:r>
      <w:r>
        <w:rPr>
          <w:iCs/>
          <w:i/>
        </w:rPr>
        <w:t xml:space="preserve">Yu</w:t>
      </w:r>
      <w:r>
        <w:t xml:space="preserve"> </w:t>
      </w:r>
      <w:r>
        <w:t xml:space="preserve">IV initial; xiaoyun 移) and</w:t>
      </w:r>
      <w:r>
        <w:t xml:space="preserve"> </w:t>
      </w:r>
      <w:r>
        <w:t xml:space="preserve">“</w:t>
      </w:r>
      <w:r>
        <w:t xml:space="preserve">移爾切</w:t>
      </w:r>
      <w:r>
        <w:t xml:space="preserve">”</w:t>
      </w:r>
      <w:r>
        <w:t xml:space="preserve"> </w:t>
      </w:r>
      <w:r>
        <w:t xml:space="preserve">(Rising tone, Zhi rhyme (紙韻),</w:t>
      </w:r>
      <w:r>
        <w:t xml:space="preserve"> </w:t>
      </w:r>
      <w:r>
        <w:rPr>
          <w:iCs/>
          <w:i/>
        </w:rPr>
        <w:t xml:space="preserve">Yu</w:t>
      </w:r>
      <w:r>
        <w:t xml:space="preserve"> </w:t>
      </w:r>
      <w:r>
        <w:t xml:space="preserve">IV initial; xiaoyun 酏).</w:t>
      </w:r>
      <w:r>
        <w:t xml:space="preserve"> </w:t>
      </w:r>
      <w:r>
        <w:t xml:space="preserve">“</w:t>
      </w:r>
      <w:r>
        <w:t xml:space="preserve">爾(尒)</w:t>
      </w:r>
      <w:r>
        <w:t xml:space="preserve">”</w:t>
      </w:r>
      <w:r>
        <w:t xml:space="preserve"> </w:t>
      </w:r>
      <w:r>
        <w:t xml:space="preserve">is</w:t>
      </w:r>
      <w:r>
        <w:t xml:space="preserve"> </w:t>
      </w:r>
      <w:r>
        <w:t xml:space="preserve">“</w:t>
      </w:r>
      <w:r>
        <w:t xml:space="preserve">兒氏切</w:t>
      </w:r>
      <w:r>
        <w:t xml:space="preserve">”</w:t>
      </w:r>
      <w:r>
        <w:t xml:space="preserve"> </w:t>
      </w:r>
      <w:r>
        <w:t xml:space="preserve">(Rising tone, Zhi rhyme (紙韻), Ri initial). The Kanchi-in and Sainenji manuscripts have</w:t>
      </w:r>
      <w:r>
        <w:t xml:space="preserve"> </w:t>
      </w:r>
      <w:r>
        <w:t xml:space="preserve">“</w:t>
      </w:r>
      <w:r>
        <w:t xml:space="preserve">戈尒反</w:t>
      </w:r>
      <w:r>
        <w:t xml:space="preserve">”</w:t>
      </w:r>
      <w:r>
        <w:t xml:space="preserve">; the Kōzan-ji manuscript has</w:t>
      </w:r>
      <w:r>
        <w:t xml:space="preserve"> </w:t>
      </w:r>
      <w:r>
        <w:t xml:space="preserve">“</w:t>
      </w:r>
      <w:r>
        <w:t xml:space="preserve">弋尓反</w:t>
      </w:r>
      <w:r>
        <w:t xml:space="preserve">”</w:t>
      </w:r>
      <w:r>
        <w:t xml:space="preserve">; the Renjō-in manuscript has</w:t>
      </w:r>
      <w:r>
        <w:t xml:space="preserve"> </w:t>
      </w:r>
      <w:r>
        <w:t xml:space="preserve">“</w:t>
      </w:r>
      <w:r>
        <w:t xml:space="preserve">弋尒反</w:t>
      </w:r>
      <w:r>
        <w:t xml:space="preserve">”</w:t>
      </w:r>
      <w:r>
        <w:t xml:space="preserve">.</w:t>
      </w:r>
    </w:p>
    <w:p>
      <w:pPr>
        <w:pStyle w:val="BodyText"/>
      </w:pPr>
      <w:r>
        <w:t xml:space="preserve">3 ⿺乚㐌⿺辶㐌</w:t>
      </w:r>
    </w:p>
    <w:bookmarkEnd w:id="760"/>
    <w:bookmarkStart w:id="764" w:name="X83208ce2b5af5b0ff95b293501372544dee0749"/>
    <w:p>
      <w:pPr>
        <w:pStyle w:val="Heading4"/>
      </w:pPr>
      <w:r>
        <w:rPr>
          <w:rStyle w:val="SectionNumber"/>
        </w:rPr>
        <w:t xml:space="preserve">26.2.2.6</w:t>
      </w:r>
      <w:r>
        <w:tab/>
      </w:r>
      <w:r>
        <w:t xml:space="preserve">K0106262 𠤷</w:t>
      </w:r>
    </w:p>
    <w:p>
      <w:pPr>
        <w:pStyle w:val="CaptionedFigure"/>
      </w:pPr>
      <w:r>
        <w:drawing>
          <wp:inline>
            <wp:extent cx="476250" cy="476250"/>
            <wp:effectExtent b="0" l="0" r="0" t="0"/>
            <wp:docPr descr="𠤷" title="" id="762" name="Picture"/>
            <a:graphic>
              <a:graphicData uri="http://schemas.openxmlformats.org/drawingml/2006/picture">
                <pic:pic>
                  <pic:nvPicPr>
                    <pic:cNvPr descr="https://glyphwiki.org/glyph/hdic-tanki01_hkrm-01062620.50px.png" id="763" name="Picture"/>
                    <pic:cNvPicPr>
                      <a:picLocks noChangeArrowheads="1" noChangeAspect="1"/>
                    </pic:cNvPicPr>
                  </pic:nvPicPr>
                  <pic:blipFill>
                    <a:blip r:embed="rId761"/>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𠤷</w:t>
      </w:r>
    </w:p>
    <w:p>
      <w:pPr>
        <w:pStyle w:val="BodyText"/>
      </w:pPr>
      <w:r>
        <w:t xml:space="preserve">(Main Text)</w:t>
      </w:r>
      <w:r>
        <w:t xml:space="preserve"> </w:t>
      </w:r>
      <w:r>
        <w:t xml:space="preserve">ハンサフ(LLLVL)</w:t>
      </w:r>
    </w:p>
    <w:p>
      <w:pPr>
        <w:pStyle w:val="BodyText"/>
      </w:pPr>
      <w:r>
        <w:t xml:space="preserve">(Notes)</w:t>
      </w:r>
      <w:r>
        <w:br/>
      </w:r>
      <w:r>
        <w:t xml:space="preserve">1 ハンサフ(LLLVL)</w:t>
      </w:r>
    </w:p>
    <w:bookmarkEnd w:id="764"/>
    <w:bookmarkStart w:id="768" w:name="X4bf1fc5fd292c88bb0310f582197de3407b18e4"/>
    <w:p>
      <w:pPr>
        <w:pStyle w:val="Heading4"/>
      </w:pPr>
      <w:r>
        <w:rPr>
          <w:rStyle w:val="SectionNumber"/>
        </w:rPr>
        <w:t xml:space="preserve">26.2.2.7</w:t>
      </w:r>
      <w:r>
        <w:tab/>
      </w:r>
      <w:r>
        <w:t xml:space="preserve">K0106263 匡</w:t>
      </w:r>
    </w:p>
    <w:p>
      <w:pPr>
        <w:pStyle w:val="CaptionedFigure"/>
      </w:pPr>
      <w:r>
        <w:drawing>
          <wp:inline>
            <wp:extent cx="476250" cy="476250"/>
            <wp:effectExtent b="0" l="0" r="0" t="0"/>
            <wp:docPr descr="匡" title="" id="766" name="Picture"/>
            <a:graphic>
              <a:graphicData uri="http://schemas.openxmlformats.org/drawingml/2006/picture">
                <pic:pic>
                  <pic:nvPicPr>
                    <pic:cNvPr descr="https://glyphwiki.org/glyph/hdic-tanki01_hkrm-01062630.50px.png" id="767" name="Picture"/>
                    <pic:cNvPicPr>
                      <a:picLocks noChangeArrowheads="1" noChangeAspect="1"/>
                    </pic:cNvPicPr>
                  </pic:nvPicPr>
                  <pic:blipFill>
                    <a:blip r:embed="rId765"/>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匡</w:t>
      </w:r>
    </w:p>
    <w:p>
      <w:pPr>
        <w:pStyle w:val="BodyText"/>
      </w:pPr>
      <w:r>
        <w:t xml:space="preserve">(Main Text)</w:t>
      </w:r>
      <w:r>
        <w:t xml:space="preserve"> </w:t>
      </w:r>
      <w:r>
        <w:t xml:space="preserve">俗　去王(L)反　タヽス-シ(LHVH-_)　マサシ　タクマシ　オツ　カシコマル　スヽメリ　マウス　スケ　ヤム　呉音况</w:t>
      </w:r>
    </w:p>
    <w:p>
      <w:pPr>
        <w:pStyle w:val="BodyText"/>
      </w:pPr>
      <w:r>
        <w:t xml:space="preserve">(Notes)</w:t>
      </w:r>
      <w:r>
        <w:br/>
      </w:r>
      <w:r>
        <w:t xml:space="preserve">1 俗</w:t>
      </w:r>
    </w:p>
    <w:p>
      <w:pPr>
        <w:pStyle w:val="BodyText"/>
      </w:pPr>
      <w:r>
        <w:t xml:space="preserve">2 去王(L)反</w:t>
      </w:r>
      <w:r>
        <w:br/>
      </w:r>
      <w:r>
        <w:t xml:space="preserve">The</w:t>
      </w:r>
      <w:r>
        <w:t xml:space="preserve"> </w:t>
      </w:r>
      <w:r>
        <w:rPr>
          <w:iCs/>
          <w:i/>
        </w:rPr>
        <w:t xml:space="preserve">Guangyun</w:t>
      </w:r>
      <w:r>
        <w:t xml:space="preserve"> </w:t>
      </w:r>
      <w:r>
        <w:t xml:space="preserve">gives</w:t>
      </w:r>
      <w:r>
        <w:t xml:space="preserve"> </w:t>
      </w:r>
      <w:r>
        <w:t xml:space="preserve">“</w:t>
      </w:r>
      <w:r>
        <w:t xml:space="preserve">去王切</w:t>
      </w:r>
      <w:r>
        <w:t xml:space="preserve">”</w:t>
      </w:r>
      <w:r>
        <w:t xml:space="preserve"> </w:t>
      </w:r>
      <w:r>
        <w:t xml:space="preserve">(Level tone, Yang rhyme (陽韻)) and</w:t>
      </w:r>
      <w:r>
        <w:t xml:space="preserve"> </w:t>
      </w:r>
      <w:r>
        <w:t xml:space="preserve">“</w:t>
      </w:r>
      <w:r>
        <w:t xml:space="preserve">渠放切</w:t>
      </w:r>
      <w:r>
        <w:t xml:space="preserve">”</w:t>
      </w:r>
      <w:r>
        <w:t xml:space="preserve"> </w:t>
      </w:r>
      <w:r>
        <w:t xml:space="preserve">(Departing tone, Yang rhyme (漾韻); xiaoyun 狂).</w:t>
      </w:r>
    </w:p>
    <w:p>
      <w:pPr>
        <w:pStyle w:val="BodyText"/>
      </w:pPr>
      <w:r>
        <w:t xml:space="preserve">3 タヽス-シ(LHVH-_)</w:t>
      </w:r>
      <w:r>
        <w:br/>
      </w:r>
      <w:r>
        <w:t xml:space="preserve">Nakamura’s Monzen, p. 8 (序), has</w:t>
      </w:r>
      <w:r>
        <w:t xml:space="preserve"> </w:t>
      </w:r>
      <w:r>
        <w:t xml:space="preserve">“</w:t>
      </w:r>
      <w:r>
        <w:t xml:space="preserve">匡タヽスニ「正也」</w:t>
      </w:r>
      <w:r>
        <w:t xml:space="preserve">”</w:t>
      </w:r>
      <w:r>
        <w:t xml:space="preserve">.</w:t>
      </w:r>
    </w:p>
    <w:p>
      <w:pPr>
        <w:pStyle w:val="BodyText"/>
      </w:pPr>
      <w:r>
        <w:t xml:space="preserve">4 マサシ</w:t>
      </w:r>
      <w:r>
        <w:br/>
      </w:r>
      <w:r>
        <w:t xml:space="preserve">The</w:t>
      </w:r>
      <w:r>
        <w:t xml:space="preserve"> </w:t>
      </w:r>
      <w:r>
        <w:rPr>
          <w:iCs/>
          <w:i/>
        </w:rPr>
        <w:t xml:space="preserve">Kunten Goi Shūsei</w:t>
      </w:r>
      <w:r>
        <w:t xml:space="preserve"> </w:t>
      </w:r>
      <w:r>
        <w:t xml:space="preserve">records the readings</w:t>
      </w:r>
      <w:r>
        <w:t xml:space="preserve"> </w:t>
      </w:r>
      <w:r>
        <w:t xml:space="preserve">“</w:t>
      </w:r>
      <w:r>
        <w:t xml:space="preserve">ウルハシ</w:t>
      </w:r>
      <w:r>
        <w:t xml:space="preserve">”</w:t>
      </w:r>
      <w:r>
        <w:t xml:space="preserve">,</w:t>
      </w:r>
      <w:r>
        <w:t xml:space="preserve"> </w:t>
      </w:r>
      <w:r>
        <w:t xml:space="preserve">“</w:t>
      </w:r>
      <w:r>
        <w:t xml:space="preserve">タスク</w:t>
      </w:r>
      <w:r>
        <w:t xml:space="preserve">”</w:t>
      </w:r>
      <w:r>
        <w:t xml:space="preserve">,</w:t>
      </w:r>
      <w:r>
        <w:t xml:space="preserve"> </w:t>
      </w:r>
      <w:r>
        <w:t xml:space="preserve">“</w:t>
      </w:r>
      <w:r>
        <w:t xml:space="preserve">タダシ</w:t>
      </w:r>
      <w:r>
        <w:t xml:space="preserve">”</w:t>
      </w:r>
      <w:r>
        <w:t xml:space="preserve">,</w:t>
      </w:r>
      <w:r>
        <w:t xml:space="preserve"> </w:t>
      </w:r>
      <w:r>
        <w:t xml:space="preserve">“</w:t>
      </w:r>
      <w:r>
        <w:t xml:space="preserve">タダシウス</w:t>
      </w:r>
      <w:r>
        <w:t xml:space="preserve">”</w:t>
      </w:r>
      <w:r>
        <w:t xml:space="preserve">,</w:t>
      </w:r>
      <w:r>
        <w:t xml:space="preserve"> </w:t>
      </w:r>
      <w:r>
        <w:t xml:space="preserve">“</w:t>
      </w:r>
      <w:r>
        <w:t xml:space="preserve">タダシクス</w:t>
      </w:r>
      <w:r>
        <w:t xml:space="preserve">”</w:t>
      </w:r>
      <w:r>
        <w:t xml:space="preserve">, and</w:t>
      </w:r>
      <w:r>
        <w:t xml:space="preserve"> </w:t>
      </w:r>
      <w:r>
        <w:t xml:space="preserve">“</w:t>
      </w:r>
      <w:r>
        <w:t xml:space="preserve">タダス</w:t>
      </w:r>
      <w:r>
        <w:t xml:space="preserve">”</w:t>
      </w:r>
      <w:r>
        <w:t xml:space="preserve"> </w:t>
      </w:r>
      <w:r>
        <w:t xml:space="preserve">for</w:t>
      </w:r>
      <w:r>
        <w:t xml:space="preserve"> </w:t>
      </w:r>
      <w:r>
        <w:t xml:space="preserve">“</w:t>
      </w:r>
      <w:r>
        <w:t xml:space="preserve">匡</w:t>
      </w:r>
      <w:r>
        <w:t xml:space="preserve">”</w:t>
      </w:r>
      <w:r>
        <w:t xml:space="preserve">.</w:t>
      </w:r>
    </w:p>
    <w:p>
      <w:pPr>
        <w:pStyle w:val="BodyText"/>
      </w:pPr>
      <w:r>
        <w:t xml:space="preserve">5 タクマシ</w:t>
      </w:r>
      <w:r>
        <w:br/>
      </w:r>
      <w:r>
        <w:t xml:space="preserve">Possibly related to the reading of</w:t>
      </w:r>
      <w:r>
        <w:t xml:space="preserve"> </w:t>
      </w:r>
      <w:r>
        <w:t xml:space="preserve">“</w:t>
      </w:r>
      <w:r>
        <w:t xml:space="preserve">逞</w:t>
      </w:r>
      <w:r>
        <w:t xml:space="preserve">”</w:t>
      </w:r>
      <w:r>
        <w:t xml:space="preserve">.</w:t>
      </w:r>
    </w:p>
    <w:p>
      <w:pPr>
        <w:pStyle w:val="BodyText"/>
      </w:pPr>
      <w:r>
        <w:t xml:space="preserve">6 オツ</w:t>
      </w:r>
    </w:p>
    <w:p>
      <w:pPr>
        <w:pStyle w:val="BodyText"/>
      </w:pPr>
      <w:r>
        <w:t xml:space="preserve">7 カシコマル</w:t>
      </w:r>
      <w:r>
        <w:br/>
      </w:r>
      <w:r>
        <w:t xml:space="preserve">The</w:t>
      </w:r>
      <w:r>
        <w:t xml:space="preserve"> </w:t>
      </w:r>
      <w:r>
        <w:rPr>
          <w:iCs/>
          <w:i/>
        </w:rPr>
        <w:t xml:space="preserve">Kunten Goi Shūsei</w:t>
      </w:r>
      <w:r>
        <w:t xml:space="preserve"> </w:t>
      </w:r>
      <w:r>
        <w:t xml:space="preserve">records the reading</w:t>
      </w:r>
      <w:r>
        <w:t xml:space="preserve"> </w:t>
      </w:r>
      <w:r>
        <w:t xml:space="preserve">“</w:t>
      </w:r>
      <w:r>
        <w:t xml:space="preserve">カシコマル</w:t>
      </w:r>
      <w:r>
        <w:t xml:space="preserve">”</w:t>
      </w:r>
      <w:r>
        <w:t xml:space="preserve"> </w:t>
      </w:r>
      <w:r>
        <w:t xml:space="preserve">for</w:t>
      </w:r>
      <w:r>
        <w:t xml:space="preserve"> </w:t>
      </w:r>
      <w:r>
        <w:t xml:space="preserve">“</w:t>
      </w:r>
      <w:r>
        <w:t xml:space="preserve">屈</w:t>
      </w:r>
      <w:r>
        <w:t xml:space="preserve">”</w:t>
      </w:r>
      <w:r>
        <w:t xml:space="preserve">; this may be related.</w:t>
      </w:r>
    </w:p>
    <w:p>
      <w:pPr>
        <w:pStyle w:val="BodyText"/>
      </w:pPr>
      <w:r>
        <w:t xml:space="preserve">8 スヽメリ</w:t>
      </w:r>
    </w:p>
    <w:p>
      <w:pPr>
        <w:pStyle w:val="BodyText"/>
      </w:pPr>
      <w:r>
        <w:t xml:space="preserve">9 マウス</w:t>
      </w:r>
    </w:p>
    <w:p>
      <w:pPr>
        <w:pStyle w:val="BodyText"/>
      </w:pPr>
      <w:r>
        <w:t xml:space="preserve">10 スケ</w:t>
      </w:r>
      <w:r>
        <w:br/>
      </w:r>
      <w:r>
        <w:t xml:space="preserve">Masamune’s Index records this as two separate readings,</w:t>
      </w:r>
      <w:r>
        <w:t xml:space="preserve"> </w:t>
      </w:r>
      <w:r>
        <w:t xml:space="preserve">“</w:t>
      </w:r>
      <w:r>
        <w:t xml:space="preserve">スケ</w:t>
      </w:r>
      <w:r>
        <w:t xml:space="preserve">”</w:t>
      </w:r>
      <w:r>
        <w:t xml:space="preserve"> </w:t>
      </w:r>
      <w:r>
        <w:t xml:space="preserve">and</w:t>
      </w:r>
      <w:r>
        <w:t xml:space="preserve"> </w:t>
      </w:r>
      <w:r>
        <w:t xml:space="preserve">“</w:t>
      </w:r>
      <w:r>
        <w:t xml:space="preserve">ヤム</w:t>
      </w:r>
      <w:r>
        <w:t xml:space="preserve">”</w:t>
      </w:r>
      <w:r>
        <w:t xml:space="preserve">. Nishihata Yukio reads it as</w:t>
      </w:r>
      <w:r>
        <w:t xml:space="preserve"> </w:t>
      </w:r>
      <w:r>
        <w:t xml:space="preserve">“</w:t>
      </w:r>
      <w:r>
        <w:t xml:space="preserve">スチヤム</w:t>
      </w:r>
      <w:r>
        <w:t xml:space="preserve">”</w:t>
      </w:r>
      <w:r>
        <w:t xml:space="preserve">, taking the Kōzan-ji manuscript as</w:t>
      </w:r>
      <w:r>
        <w:t xml:space="preserve"> </w:t>
      </w:r>
      <w:r>
        <w:t xml:space="preserve">“</w:t>
      </w:r>
      <w:r>
        <w:t xml:space="preserve">スケ　ヤム</w:t>
      </w:r>
      <w:r>
        <w:t xml:space="preserve">”</w:t>
      </w:r>
      <w:r>
        <w:t xml:space="preserve"> </w:t>
      </w:r>
      <w:r>
        <w:t xml:space="preserve">and the Renjō-in manuscript as</w:t>
      </w:r>
      <w:r>
        <w:t xml:space="preserve"> </w:t>
      </w:r>
      <w:r>
        <w:t xml:space="preserve">“</w:t>
      </w:r>
      <w:r>
        <w:t xml:space="preserve">カケヤム</w:t>
      </w:r>
      <w:r>
        <w:t xml:space="preserve">”</w:t>
      </w:r>
      <w:r>
        <w:t xml:space="preserve"> </w:t>
      </w:r>
      <w:r>
        <w:t xml:space="preserve">(Nishihata,</w:t>
      </w:r>
      <w:r>
        <w:t xml:space="preserve"> </w:t>
      </w:r>
      <w:r>
        <w:rPr>
          <w:iCs/>
          <w:i/>
        </w:rPr>
        <w:t xml:space="preserve">Gosha Shorei</w:t>
      </w:r>
      <w:r>
        <w:t xml:space="preserve">, p. 39, item ①, error no. 313). Here, Masamune’s reading is followed.</w:t>
      </w:r>
    </w:p>
    <w:p>
      <w:pPr>
        <w:pStyle w:val="BodyText"/>
      </w:pPr>
      <w:r>
        <w:t xml:space="preserve">11 ヤム</w:t>
      </w:r>
    </w:p>
    <w:p>
      <w:pPr>
        <w:pStyle w:val="BodyText"/>
      </w:pPr>
      <w:r>
        <w:t xml:space="preserve">12 呉音况</w:t>
      </w:r>
      <w:r>
        <w:br/>
      </w:r>
      <w:r>
        <w:t xml:space="preserve">In the Ishiyama-dera manuscript of the</w:t>
      </w:r>
      <w:r>
        <w:t xml:space="preserve"> </w:t>
      </w:r>
      <w:r>
        <w:rPr>
          <w:iCs/>
          <w:i/>
        </w:rPr>
        <w:t xml:space="preserve">Dai-Hannya-kyō Jishō</w:t>
      </w:r>
      <w:r>
        <w:t xml:space="preserve">, the entry for</w:t>
      </w:r>
      <w:r>
        <w:t xml:space="preserve"> </w:t>
      </w:r>
      <w:r>
        <w:t xml:space="preserve">“</w:t>
      </w:r>
      <w:r>
        <w:t xml:space="preserve">匡</w:t>
      </w:r>
      <w:r>
        <w:t xml:space="preserve">”</w:t>
      </w:r>
      <w:r>
        <w:t xml:space="preserve"> </w:t>
      </w:r>
      <w:r>
        <w:t xml:space="preserve">(⿺辶⿱一王) has</w:t>
      </w:r>
      <w:r>
        <w:t xml:space="preserve"> </w:t>
      </w:r>
      <w:r>
        <w:t xml:space="preserve">“</w:t>
      </w:r>
      <w:r>
        <w:t xml:space="preserve">音况</w:t>
      </w:r>
      <w:r>
        <w:t xml:space="preserve">”</w:t>
      </w:r>
      <w:r>
        <w:t xml:space="preserve"> </w:t>
      </w:r>
      <w:r>
        <w:t xml:space="preserve">and</w:t>
      </w:r>
      <w:r>
        <w:t xml:space="preserve"> </w:t>
      </w:r>
      <w:r>
        <w:t xml:space="preserve">“</w:t>
      </w:r>
      <w:r>
        <w:t xml:space="preserve">タヽス</w:t>
      </w:r>
      <w:r>
        <w:t xml:space="preserve">”</w:t>
      </w:r>
      <w:r>
        <w:t xml:space="preserve"> </w:t>
      </w:r>
      <w:r>
        <w:t xml:space="preserve">(fol. 25r).</w:t>
      </w:r>
    </w:p>
    <w:bookmarkEnd w:id="768"/>
    <w:bookmarkStart w:id="775" w:name="X0e9ee54ea5cf06bbdc0392dc88ecfc3c324031d"/>
    <w:p>
      <w:pPr>
        <w:pStyle w:val="Heading4"/>
      </w:pPr>
      <w:r>
        <w:rPr>
          <w:rStyle w:val="SectionNumber"/>
        </w:rPr>
        <w:t xml:space="preserve">26.2.2.8</w:t>
      </w:r>
      <w:r>
        <w:tab/>
      </w:r>
      <w:r>
        <w:t xml:space="preserve">K0106271 匡／⿷匚主</w:t>
      </w:r>
    </w:p>
    <w:p>
      <w:pPr>
        <w:pStyle w:val="FirstParagraph"/>
      </w:pPr>
      <w:r>
        <w:drawing>
          <wp:inline>
            <wp:extent cx="635000" cy="635000"/>
            <wp:effectExtent b="0" l="0" r="0" t="0"/>
            <wp:docPr descr="匡" title="" id="770" name="Picture"/>
            <a:graphic>
              <a:graphicData uri="http://schemas.openxmlformats.org/drawingml/2006/picture">
                <pic:pic>
                  <pic:nvPicPr>
                    <pic:cNvPr descr="https://glyphwiki.org/glyph/hdic-tanki01_hkrm-01062711.50px.png" id="771" name="Picture"/>
                    <pic:cNvPicPr>
                      <a:picLocks noChangeArrowheads="1" noChangeAspect="1"/>
                    </pic:cNvPicPr>
                  </pic:nvPicPr>
                  <pic:blipFill>
                    <a:blip r:embed="rId769"/>
                    <a:stretch>
                      <a:fillRect/>
                    </a:stretch>
                  </pic:blipFill>
                  <pic:spPr bwMode="auto">
                    <a:xfrm>
                      <a:off x="0" y="0"/>
                      <a:ext cx="635000" cy="635000"/>
                    </a:xfrm>
                    <a:prstGeom prst="rect">
                      <a:avLst/>
                    </a:prstGeom>
                    <a:noFill/>
                    <a:ln w="9525">
                      <a:noFill/>
                      <a:headEnd/>
                      <a:tailEnd/>
                    </a:ln>
                  </pic:spPr>
                </pic:pic>
              </a:graphicData>
            </a:graphic>
          </wp:inline>
        </w:drawing>
      </w:r>
      <w:r>
        <w:drawing>
          <wp:inline>
            <wp:extent cx="476250" cy="476250"/>
            <wp:effectExtent b="0" l="0" r="0" t="0"/>
            <wp:docPr descr="⿷匚主" title="" id="773" name="Picture"/>
            <a:graphic>
              <a:graphicData uri="http://schemas.openxmlformats.org/drawingml/2006/picture">
                <pic:pic>
                  <pic:nvPicPr>
                    <pic:cNvPr descr="https://glyphwiki.org/glyph/hdic-tanki01_hkrm-01062712.50px.png" id="774" name="Picture"/>
                    <pic:cNvPicPr>
                      <a:picLocks noChangeArrowheads="1" noChangeAspect="1"/>
                    </pic:cNvPicPr>
                  </pic:nvPicPr>
                  <pic:blipFill>
                    <a:blip r:embed="rId772"/>
                    <a:stretch>
                      <a:fillRect/>
                    </a:stretch>
                  </pic:blipFill>
                  <pic:spPr bwMode="auto">
                    <a:xfrm>
                      <a:off x="0" y="0"/>
                      <a:ext cx="476250" cy="476250"/>
                    </a:xfrm>
                    <a:prstGeom prst="rect">
                      <a:avLst/>
                    </a:prstGeom>
                    <a:noFill/>
                    <a:ln w="9525">
                      <a:noFill/>
                      <a:headEnd/>
                      <a:tailEnd/>
                    </a:ln>
                  </pic:spPr>
                </pic:pic>
              </a:graphicData>
            </a:graphic>
          </wp:inline>
        </w:drawing>
      </w:r>
    </w:p>
    <w:p>
      <w:pPr>
        <w:pStyle w:val="BodyText"/>
      </w:pPr>
      <w:r>
        <w:t xml:space="preserve">(Main Text)</w:t>
      </w:r>
      <w:r>
        <w:t xml:space="preserve"> </w:t>
      </w:r>
      <w:r>
        <w:t xml:space="preserve">二正　筺或</w:t>
      </w:r>
    </w:p>
    <w:p>
      <w:pPr>
        <w:pStyle w:val="BodyText"/>
      </w:pPr>
      <w:r>
        <w:t xml:space="preserve">(Notes)</w:t>
      </w:r>
      <w:r>
        <w:br/>
      </w:r>
      <w:r>
        <w:t xml:space="preserve">1 二正</w:t>
      </w:r>
    </w:p>
    <w:p>
      <w:pPr>
        <w:pStyle w:val="BodyText"/>
      </w:pPr>
      <w:r>
        <w:t xml:space="preserve">2 筺或</w:t>
      </w:r>
    </w:p>
    <w:bookmarkEnd w:id="775"/>
    <w:bookmarkStart w:id="779" w:name="X88718fc8694d9f2f0ca7c3c5951b6c050b5879c"/>
    <w:p>
      <w:pPr>
        <w:pStyle w:val="Heading4"/>
      </w:pPr>
      <w:r>
        <w:rPr>
          <w:rStyle w:val="SectionNumber"/>
        </w:rPr>
        <w:t xml:space="preserve">26.2.2.9</w:t>
      </w:r>
      <w:r>
        <w:tab/>
      </w:r>
      <w:r>
        <w:t xml:space="preserve">K0106272 ⿸厂王</w:t>
      </w:r>
    </w:p>
    <w:p>
      <w:pPr>
        <w:pStyle w:val="CaptionedFigure"/>
      </w:pPr>
      <w:r>
        <w:drawing>
          <wp:inline>
            <wp:extent cx="476250" cy="476250"/>
            <wp:effectExtent b="0" l="0" r="0" t="0"/>
            <wp:docPr descr="⿸厂王" title="" id="777" name="Picture"/>
            <a:graphic>
              <a:graphicData uri="http://schemas.openxmlformats.org/drawingml/2006/picture">
                <pic:pic>
                  <pic:nvPicPr>
                    <pic:cNvPr descr="https://glyphwiki.org/glyph/hdic-tanki01_hkrm-01062720.50px.png" id="778" name="Picture"/>
                    <pic:cNvPicPr>
                      <a:picLocks noChangeArrowheads="1" noChangeAspect="1"/>
                    </pic:cNvPicPr>
                  </pic:nvPicPr>
                  <pic:blipFill>
                    <a:blip r:embed="rId776"/>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⿸厂王</w:t>
      </w:r>
    </w:p>
    <w:p>
      <w:pPr>
        <w:pStyle w:val="BodyText"/>
      </w:pPr>
      <w:r>
        <w:t xml:space="preserve">(Main Text)</w:t>
      </w:r>
      <w:r>
        <w:t xml:space="preserve"> </w:t>
      </w:r>
      <w:r>
        <w:t xml:space="preserve">（無）</w:t>
      </w:r>
    </w:p>
    <w:p>
      <w:pPr>
        <w:pStyle w:val="BodyText"/>
      </w:pPr>
      <w:r>
        <w:t xml:space="preserve">(Notes)</w:t>
      </w:r>
      <w:r>
        <w:br/>
      </w:r>
      <w:r>
        <w:t xml:space="preserve">1 （無）</w:t>
      </w:r>
      <w:r>
        <w:br/>
      </w:r>
      <w:r>
        <w:t xml:space="preserve">An omitted stroke, in observance of the naming taboo (避諱) for Zhao Kuangyin (趙匡胤), Emperor Taizu of the Song dynasty (缺筆).</w:t>
      </w:r>
    </w:p>
    <w:bookmarkEnd w:id="779"/>
    <w:bookmarkStart w:id="786" w:name="Xbd7af1fcf65d3bed67454e2ea594fec79f87955"/>
    <w:p>
      <w:pPr>
        <w:pStyle w:val="Heading4"/>
      </w:pPr>
      <w:r>
        <w:rPr>
          <w:rStyle w:val="SectionNumber"/>
        </w:rPr>
        <w:t xml:space="preserve">26.2.2.10</w:t>
      </w:r>
      <w:r>
        <w:tab/>
      </w:r>
      <w:r>
        <w:t xml:space="preserve">K0106273 高／匡</w:t>
      </w:r>
    </w:p>
    <w:p>
      <w:pPr>
        <w:pStyle w:val="FirstParagraph"/>
      </w:pPr>
      <w:r>
        <w:drawing>
          <wp:inline>
            <wp:extent cx="476250" cy="476250"/>
            <wp:effectExtent b="0" l="0" r="0" t="0"/>
            <wp:docPr descr="高" title="" id="781" name="Picture"/>
            <a:graphic>
              <a:graphicData uri="http://schemas.openxmlformats.org/drawingml/2006/picture">
                <pic:pic>
                  <pic:nvPicPr>
                    <pic:cNvPr descr="https://glyphwiki.org/glyph/hdic-tanki01_hkrm-01062731.50px.png" id="782" name="Picture"/>
                    <pic:cNvPicPr>
                      <a:picLocks noChangeArrowheads="1" noChangeAspect="1"/>
                    </pic:cNvPicPr>
                  </pic:nvPicPr>
                  <pic:blipFill>
                    <a:blip r:embed="rId780"/>
                    <a:stretch>
                      <a:fillRect/>
                    </a:stretch>
                  </pic:blipFill>
                  <pic:spPr bwMode="auto">
                    <a:xfrm>
                      <a:off x="0" y="0"/>
                      <a:ext cx="476250" cy="476250"/>
                    </a:xfrm>
                    <a:prstGeom prst="rect">
                      <a:avLst/>
                    </a:prstGeom>
                    <a:noFill/>
                    <a:ln w="9525">
                      <a:noFill/>
                      <a:headEnd/>
                      <a:tailEnd/>
                    </a:ln>
                  </pic:spPr>
                </pic:pic>
              </a:graphicData>
            </a:graphic>
          </wp:inline>
        </w:drawing>
      </w:r>
      <w:r>
        <w:drawing>
          <wp:inline>
            <wp:extent cx="476250" cy="476250"/>
            <wp:effectExtent b="0" l="0" r="0" t="0"/>
            <wp:docPr descr="匡" title="" id="784" name="Picture"/>
            <a:graphic>
              <a:graphicData uri="http://schemas.openxmlformats.org/drawingml/2006/picture">
                <pic:pic>
                  <pic:nvPicPr>
                    <pic:cNvPr descr="https://glyphwiki.org/glyph/hdic-tanki01_hkrm-01062732.50px.png" id="785" name="Picture"/>
                    <pic:cNvPicPr>
                      <a:picLocks noChangeArrowheads="1" noChangeAspect="1"/>
                    </pic:cNvPicPr>
                  </pic:nvPicPr>
                  <pic:blipFill>
                    <a:blip r:embed="rId783"/>
                    <a:stretch>
                      <a:fillRect/>
                    </a:stretch>
                  </pic:blipFill>
                  <pic:spPr bwMode="auto">
                    <a:xfrm>
                      <a:off x="0" y="0"/>
                      <a:ext cx="476250" cy="476250"/>
                    </a:xfrm>
                    <a:prstGeom prst="rect">
                      <a:avLst/>
                    </a:prstGeom>
                    <a:noFill/>
                    <a:ln w="9525">
                      <a:noFill/>
                      <a:headEnd/>
                      <a:tailEnd/>
                    </a:ln>
                  </pic:spPr>
                </pic:pic>
              </a:graphicData>
            </a:graphic>
          </wp:inline>
        </w:drawing>
      </w:r>
    </w:p>
    <w:p>
      <w:pPr>
        <w:pStyle w:val="BodyText"/>
      </w:pPr>
      <w:r>
        <w:t xml:space="preserve">(Main Text)</w:t>
      </w:r>
      <w:r>
        <w:t xml:space="preserve"> </w:t>
      </w:r>
      <w:r>
        <w:t xml:space="preserve">マカフラタカ(LHHVHHH)</w:t>
      </w:r>
    </w:p>
    <w:p>
      <w:pPr>
        <w:pStyle w:val="BodyText"/>
      </w:pPr>
      <w:r>
        <w:t xml:space="preserve">(Notes)</w:t>
      </w:r>
      <w:r>
        <w:br/>
      </w:r>
      <w:r>
        <w:t xml:space="preserve">1 マカフラタカ(LHHVHHH)</w:t>
      </w:r>
      <w:r>
        <w:br/>
      </w:r>
      <w:r>
        <w:t xml:space="preserve">The</w:t>
      </w:r>
      <w:r>
        <w:t xml:space="preserve"> </w:t>
      </w:r>
      <w:r>
        <w:rPr>
          <w:iCs/>
          <w:i/>
        </w:rPr>
        <w:t xml:space="preserve">Nikkoku</w:t>
      </w:r>
      <w:r>
        <w:t xml:space="preserve">, under</w:t>
      </w:r>
      <w:r>
        <w:t xml:space="preserve"> </w:t>
      </w:r>
      <w:r>
        <w:t xml:space="preserve">“</w:t>
      </w:r>
      <w:r>
        <w:t xml:space="preserve">まかぶら-だか【眶高】</w:t>
      </w:r>
      <w:r>
        <w:t xml:space="preserve">”</w:t>
      </w:r>
      <w:r>
        <w:t xml:space="preserve">, gives the meaning</w:t>
      </w:r>
      <w:r>
        <w:t xml:space="preserve"> </w:t>
      </w:r>
      <w:r>
        <w:t xml:space="preserve">“</w:t>
      </w:r>
      <w:r>
        <w:t xml:space="preserve">having a high</w:t>
      </w:r>
      <w:r>
        <w:t xml:space="preserve"> </w:t>
      </w:r>
      <w:r>
        <w:rPr>
          <w:iCs/>
          <w:i/>
        </w:rPr>
        <w:t xml:space="preserve">makabura</w:t>
      </w:r>
      <w:r>
        <w:t xml:space="preserve">; the area around the eyebrows being raised,</w:t>
      </w:r>
      <w:r>
        <w:t xml:space="preserve">”</w:t>
      </w:r>
      <w:r>
        <w:t xml:space="preserve"> </w:t>
      </w:r>
      <w:r>
        <w:t xml:space="preserve">citing the Kōzan-ji manuscript’s</w:t>
      </w:r>
      <w:r>
        <w:t xml:space="preserve"> </w:t>
      </w:r>
      <w:r>
        <w:t xml:space="preserve">“</w:t>
      </w:r>
      <w:r>
        <w:t xml:space="preserve">マカブラダカ</w:t>
      </w:r>
      <w:r>
        <w:t xml:space="preserve">”</w:t>
      </w:r>
      <w:r>
        <w:t xml:space="preserve"> </w:t>
      </w:r>
      <w:r>
        <w:t xml:space="preserve">and an example from the</w:t>
      </w:r>
      <w:r>
        <w:t xml:space="preserve"> </w:t>
      </w:r>
      <w:r>
        <w:rPr>
          <w:iCs/>
          <w:i/>
        </w:rPr>
        <w:t xml:space="preserve">Hōgen Monogatari</w:t>
      </w:r>
      <w:r>
        <w:t xml:space="preserve">. Likewise, the</w:t>
      </w:r>
      <w:r>
        <w:t xml:space="preserve"> </w:t>
      </w:r>
      <w:r>
        <w:rPr>
          <w:iCs/>
          <w:i/>
        </w:rPr>
        <w:t xml:space="preserve">Nikkoku</w:t>
      </w:r>
      <w:r>
        <w:t xml:space="preserve">, under</w:t>
      </w:r>
      <w:r>
        <w:t xml:space="preserve"> </w:t>
      </w:r>
      <w:r>
        <w:t xml:space="preserve">“</w:t>
      </w:r>
      <w:r>
        <w:t xml:space="preserve">こう-きょう【高匡】</w:t>
      </w:r>
      <w:r>
        <w:t xml:space="preserve">”</w:t>
      </w:r>
      <w:r>
        <w:t xml:space="preserve"> </w:t>
      </w:r>
      <w:r>
        <w:t xml:space="preserve">(</w:t>
      </w:r>
      <w:r>
        <w:t xml:space="preserve">“</w:t>
      </w:r>
      <w:r>
        <w:t xml:space="preserve">匡</w:t>
      </w:r>
      <w:r>
        <w:t xml:space="preserve">”</w:t>
      </w:r>
      <w:r>
        <w:t xml:space="preserve"> </w:t>
      </w:r>
      <w:r>
        <w:t xml:space="preserve">meaning the rim of the eye), explains</w:t>
      </w:r>
      <w:r>
        <w:t xml:space="preserve"> </w:t>
      </w:r>
      <w:r>
        <w:t xml:space="preserve">“</w:t>
      </w:r>
      <w:r>
        <w:t xml:space="preserve">the eyes being sunken, with the surrounding area being bony,</w:t>
      </w:r>
      <w:r>
        <w:t xml:space="preserve">”</w:t>
      </w:r>
      <w:r>
        <w:t xml:space="preserve"> </w:t>
      </w:r>
      <w:r>
        <w:t xml:space="preserve">citing an example from the</w:t>
      </w:r>
      <w:r>
        <w:t xml:space="preserve"> </w:t>
      </w:r>
      <w:r>
        <w:rPr>
          <w:iCs/>
          <w:i/>
        </w:rPr>
        <w:t xml:space="preserve">Sangō Shiiki</w:t>
      </w:r>
      <w:r>
        <w:t xml:space="preserve"> </w:t>
      </w:r>
      <w:r>
        <w:t xml:space="preserve">(三教指帰), Part 3:</w:t>
      </w:r>
      <w:r>
        <w:t xml:space="preserve"> </w:t>
      </w:r>
      <w:r>
        <w:t xml:space="preserve">“</w:t>
      </w:r>
      <w:r>
        <w:t xml:space="preserve">折頞。高匡。頤。隅目。噅口。無鬚。似孔雀貝</w:t>
      </w:r>
      <w:r>
        <w:t xml:space="preserve">”</w:t>
      </w:r>
      <w:r>
        <w:t xml:space="preserve">.</w:t>
      </w:r>
    </w:p>
    <w:bookmarkEnd w:id="786"/>
    <w:bookmarkStart w:id="790" w:name="X460dede5bdd4e61210a0c5f356b765902b7a04a"/>
    <w:p>
      <w:pPr>
        <w:pStyle w:val="Heading4"/>
      </w:pPr>
      <w:r>
        <w:rPr>
          <w:rStyle w:val="SectionNumber"/>
        </w:rPr>
        <w:t xml:space="preserve">26.2.2.11</w:t>
      </w:r>
      <w:r>
        <w:tab/>
      </w:r>
      <w:r>
        <w:t xml:space="preserve">K0106274 匴</w:t>
      </w:r>
    </w:p>
    <w:p>
      <w:pPr>
        <w:pStyle w:val="CaptionedFigure"/>
      </w:pPr>
      <w:r>
        <w:drawing>
          <wp:inline>
            <wp:extent cx="476250" cy="476250"/>
            <wp:effectExtent b="0" l="0" r="0" t="0"/>
            <wp:docPr descr="匴" title="" id="788" name="Picture"/>
            <a:graphic>
              <a:graphicData uri="http://schemas.openxmlformats.org/drawingml/2006/picture">
                <pic:pic>
                  <pic:nvPicPr>
                    <pic:cNvPr descr="https://glyphwiki.org/glyph/hdic-tanki01_hkrm-01062740.50px.png" id="789" name="Picture"/>
                    <pic:cNvPicPr>
                      <a:picLocks noChangeArrowheads="1" noChangeAspect="1"/>
                    </pic:cNvPicPr>
                  </pic:nvPicPr>
                  <pic:blipFill>
                    <a:blip r:embed="rId787"/>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匴</w:t>
      </w:r>
    </w:p>
    <w:p>
      <w:pPr>
        <w:pStyle w:val="BodyText"/>
      </w:pPr>
      <w:r>
        <w:t xml:space="preserve">(Main Text)</w:t>
      </w:r>
      <w:r>
        <w:t xml:space="preserve"> </w:t>
      </w:r>
      <w:r>
        <w:t xml:space="preserve">蘇管(H)反　竹莒</w:t>
      </w:r>
    </w:p>
    <w:p>
      <w:pPr>
        <w:pStyle w:val="BodyText"/>
      </w:pPr>
      <w:r>
        <w:t xml:space="preserve">(Notes)</w:t>
      </w:r>
      <w:r>
        <w:br/>
      </w:r>
      <w:r>
        <w:t xml:space="preserve">1 蘇管(H)反</w:t>
      </w:r>
      <w:r>
        <w:br/>
      </w:r>
      <w:r>
        <w:t xml:space="preserve">The</w:t>
      </w:r>
      <w:r>
        <w:t xml:space="preserve"> </w:t>
      </w:r>
      <w:r>
        <w:rPr>
          <w:iCs/>
          <w:i/>
        </w:rPr>
        <w:t xml:space="preserve">Guangyun</w:t>
      </w:r>
      <w:r>
        <w:t xml:space="preserve"> </w:t>
      </w:r>
      <w:r>
        <w:t xml:space="preserve">gives</w:t>
      </w:r>
      <w:r>
        <w:t xml:space="preserve"> </w:t>
      </w:r>
      <w:r>
        <w:t xml:space="preserve">“</w:t>
      </w:r>
      <w:r>
        <w:t xml:space="preserve">蘇管切</w:t>
      </w:r>
      <w:r>
        <w:t xml:space="preserve">”</w:t>
      </w:r>
      <w:r>
        <w:t xml:space="preserve"> </w:t>
      </w:r>
      <w:r>
        <w:t xml:space="preserve">(Rising tone, Huan rhyme (緩韻); xiaoyun 算).</w:t>
      </w:r>
    </w:p>
    <w:p>
      <w:pPr>
        <w:pStyle w:val="BodyText"/>
      </w:pPr>
      <w:r>
        <w:t xml:space="preserve">2 竹莒</w:t>
      </w:r>
      <w:r>
        <w:br/>
      </w:r>
      <w:r>
        <w:t xml:space="preserve">The</w:t>
      </w:r>
      <w:r>
        <w:t xml:space="preserve"> </w:t>
      </w:r>
      <w:r>
        <w:rPr>
          <w:iCs/>
          <w:i/>
        </w:rPr>
        <w:t xml:space="preserve">Shuowen Jiezi</w:t>
      </w:r>
      <w:r>
        <w:t xml:space="preserve"> </w:t>
      </w:r>
      <w:r>
        <w:t xml:space="preserve">gives</w:t>
      </w:r>
      <w:r>
        <w:t xml:space="preserve"> </w:t>
      </w:r>
      <w:r>
        <w:t xml:space="preserve">“</w:t>
      </w:r>
      <w:r>
        <w:t xml:space="preserve">渌米籔也</w:t>
      </w:r>
      <w:r>
        <w:t xml:space="preserve">”</w:t>
      </w:r>
      <w:r>
        <w:t xml:space="preserve"> </w:t>
      </w:r>
      <w:r>
        <w:t xml:space="preserve">(a basket for draining rice). The</w:t>
      </w:r>
      <w:r>
        <w:t xml:space="preserve"> </w:t>
      </w:r>
      <w:r>
        <w:rPr>
          <w:iCs/>
          <w:i/>
        </w:rPr>
        <w:t xml:space="preserve">Tenrei Banshō Meigi</w:t>
      </w:r>
      <w:r>
        <w:t xml:space="preserve"> </w:t>
      </w:r>
      <w:r>
        <w:t xml:space="preserve">gives</w:t>
      </w:r>
      <w:r>
        <w:t xml:space="preserve"> </w:t>
      </w:r>
      <w:r>
        <w:t xml:space="preserve">“</w:t>
      </w:r>
      <w:r>
        <w:t xml:space="preserve">盝也、米藪也</w:t>
      </w:r>
      <w:r>
        <w:t xml:space="preserve">”</w:t>
      </w:r>
      <w:r>
        <w:t xml:space="preserve"> </w:t>
      </w:r>
      <w:r>
        <w:t xml:space="preserve">(a drainer; a basket for rice). The Song edition of the</w:t>
      </w:r>
      <w:r>
        <w:t xml:space="preserve"> </w:t>
      </w:r>
      <w:r>
        <w:rPr>
          <w:iCs/>
          <w:i/>
        </w:rPr>
        <w:t xml:space="preserve">Yupian</w:t>
      </w:r>
      <w:r>
        <w:t xml:space="preserve"> </w:t>
      </w:r>
      <w:r>
        <w:t xml:space="preserve">gives</w:t>
      </w:r>
      <w:r>
        <w:t xml:space="preserve"> </w:t>
      </w:r>
      <w:r>
        <w:t xml:space="preserve">“</w:t>
      </w:r>
      <w:r>
        <w:t xml:space="preserve">𣿍米藪</w:t>
      </w:r>
      <w:r>
        <w:t xml:space="preserve">”</w:t>
      </w:r>
      <w:r>
        <w:t xml:space="preserve"> </w:t>
      </w:r>
      <w:r>
        <w:t xml:space="preserve">(a basket for draining rice). The</w:t>
      </w:r>
      <w:r>
        <w:t xml:space="preserve"> </w:t>
      </w:r>
      <w:r>
        <w:rPr>
          <w:iCs/>
          <w:i/>
        </w:rPr>
        <w:t xml:space="preserve">Guangyun</w:t>
      </w:r>
      <w:r>
        <w:t xml:space="preserve"> </w:t>
      </w:r>
      <w:r>
        <w:t xml:space="preserve">gives</w:t>
      </w:r>
      <w:r>
        <w:t xml:space="preserve"> </w:t>
      </w:r>
      <w:r>
        <w:t xml:space="preserve">“</w:t>
      </w:r>
      <w:r>
        <w:t xml:space="preserve">器也冠箱也</w:t>
      </w:r>
      <w:r>
        <w:t xml:space="preserve">”</w:t>
      </w:r>
      <w:r>
        <w:t xml:space="preserve"> </w:t>
      </w:r>
      <w:r>
        <w:t xml:space="preserve">(a vessel; a box for a cap).</w:t>
      </w:r>
    </w:p>
    <w:bookmarkEnd w:id="790"/>
    <w:bookmarkStart w:id="794" w:name="Xf185732954c3ff1c0141d8443169684dbc6a7eb"/>
    <w:p>
      <w:pPr>
        <w:pStyle w:val="Heading4"/>
      </w:pPr>
      <w:r>
        <w:rPr>
          <w:rStyle w:val="SectionNumber"/>
        </w:rPr>
        <w:t xml:space="preserve">26.2.2.12</w:t>
      </w:r>
      <w:r>
        <w:tab/>
      </w:r>
      <w:r>
        <w:t xml:space="preserve">K0106281 㔯</w:t>
      </w:r>
    </w:p>
    <w:p>
      <w:pPr>
        <w:pStyle w:val="CaptionedFigure"/>
      </w:pPr>
      <w:r>
        <w:drawing>
          <wp:inline>
            <wp:extent cx="635000" cy="635000"/>
            <wp:effectExtent b="0" l="0" r="0" t="0"/>
            <wp:docPr descr="㔯" title="" id="792" name="Picture"/>
            <a:graphic>
              <a:graphicData uri="http://schemas.openxmlformats.org/drawingml/2006/picture">
                <pic:pic>
                  <pic:nvPicPr>
                    <pic:cNvPr descr="https://glyphwiki.org/glyph/hdic-tanki01_hkrm-01062810.50px.png" id="793" name="Picture"/>
                    <pic:cNvPicPr>
                      <a:picLocks noChangeArrowheads="1" noChangeAspect="1"/>
                    </pic:cNvPicPr>
                  </pic:nvPicPr>
                  <pic:blipFill>
                    <a:blip r:embed="rId791"/>
                    <a:stretch>
                      <a:fillRect/>
                    </a:stretch>
                  </pic:blipFill>
                  <pic:spPr bwMode="auto">
                    <a:xfrm>
                      <a:off x="0" y="0"/>
                      <a:ext cx="635000" cy="635000"/>
                    </a:xfrm>
                    <a:prstGeom prst="rect">
                      <a:avLst/>
                    </a:prstGeom>
                    <a:noFill/>
                    <a:ln w="9525">
                      <a:noFill/>
                      <a:headEnd/>
                      <a:tailEnd/>
                    </a:ln>
                  </pic:spPr>
                </pic:pic>
              </a:graphicData>
            </a:graphic>
          </wp:inline>
        </w:drawing>
      </w:r>
    </w:p>
    <w:p>
      <w:pPr>
        <w:pStyle w:val="ImageCaption"/>
      </w:pPr>
      <w:r>
        <w:t xml:space="preserve">㔯</w:t>
      </w:r>
    </w:p>
    <w:p>
      <w:pPr>
        <w:pStyle w:val="BodyText"/>
      </w:pPr>
      <w:r>
        <w:t xml:space="preserve">(Main Text)</w:t>
      </w:r>
      <w:r>
        <w:t xml:space="preserve"> </w:t>
      </w:r>
      <w:r>
        <w:t xml:space="preserve">全音　炊䉛</w:t>
      </w:r>
    </w:p>
    <w:p>
      <w:pPr>
        <w:pStyle w:val="BodyText"/>
      </w:pPr>
      <w:r>
        <w:t xml:space="preserve">(Notes)</w:t>
      </w:r>
      <w:r>
        <w:br/>
      </w:r>
      <w:r>
        <w:t xml:space="preserve">1 全音</w:t>
      </w:r>
      <w:r>
        <w:br/>
      </w:r>
      <w:r>
        <w:t xml:space="preserve">The original text has</w:t>
      </w:r>
      <w:r>
        <w:t xml:space="preserve"> </w:t>
      </w:r>
      <w:r>
        <w:t xml:space="preserve">“</w:t>
      </w:r>
      <w:r>
        <w:t xml:space="preserve">⿱𠆢乇音</w:t>
      </w:r>
      <w:r>
        <w:t xml:space="preserve">”</w:t>
      </w:r>
      <w:r>
        <w:t xml:space="preserve">. The</w:t>
      </w:r>
      <w:r>
        <w:t xml:space="preserve"> </w:t>
      </w:r>
      <w:r>
        <w:rPr>
          <w:iCs/>
          <w:i/>
        </w:rPr>
        <w:t xml:space="preserve">Guangyun</w:t>
      </w:r>
      <w:r>
        <w:t xml:space="preserve"> </w:t>
      </w:r>
      <w:r>
        <w:t xml:space="preserve">gives</w:t>
      </w:r>
      <w:r>
        <w:t xml:space="preserve"> </w:t>
      </w:r>
      <w:r>
        <w:t xml:space="preserve">“</w:t>
      </w:r>
      <w:r>
        <w:t xml:space="preserve">似宣切</w:t>
      </w:r>
      <w:r>
        <w:t xml:space="preserve">”</w:t>
      </w:r>
      <w:r>
        <w:t xml:space="preserve"> </w:t>
      </w:r>
      <w:r>
        <w:t xml:space="preserve">(Level tone, Xian rhyme (仙韻), Xie initial; xiaoyun 旋).</w:t>
      </w:r>
      <w:r>
        <w:t xml:space="preserve"> </w:t>
      </w:r>
      <w:r>
        <w:t xml:space="preserve">“</w:t>
      </w:r>
      <w:r>
        <w:t xml:space="preserve">全</w:t>
      </w:r>
      <w:r>
        <w:t xml:space="preserve">”</w:t>
      </w:r>
      <w:r>
        <w:t xml:space="preserve"> </w:t>
      </w:r>
      <w:r>
        <w:t xml:space="preserve">is</w:t>
      </w:r>
      <w:r>
        <w:t xml:space="preserve"> </w:t>
      </w:r>
      <w:r>
        <w:t xml:space="preserve">“</w:t>
      </w:r>
      <w:r>
        <w:t xml:space="preserve">疾縁切</w:t>
      </w:r>
      <w:r>
        <w:t xml:space="preserve">”</w:t>
      </w:r>
      <w:r>
        <w:t xml:space="preserve"> </w:t>
      </w:r>
      <w:r>
        <w:t xml:space="preserve">(Level tone, Xian rhyme (仙韻), Cong initial).</w:t>
      </w:r>
    </w:p>
    <w:p>
      <w:pPr>
        <w:pStyle w:val="BodyText"/>
      </w:pPr>
      <w:r>
        <w:t xml:space="preserve">2 炊䉛</w:t>
      </w:r>
      <w:r>
        <w:br/>
      </w:r>
      <w:r>
        <w:t xml:space="preserve">The</w:t>
      </w:r>
      <w:r>
        <w:t xml:space="preserve"> </w:t>
      </w:r>
      <w:r>
        <w:rPr>
          <w:iCs/>
          <w:i/>
        </w:rPr>
        <w:t xml:space="preserve">Tenrei Banshō Meigi</w:t>
      </w:r>
      <w:r>
        <w:t xml:space="preserve"> </w:t>
      </w:r>
      <w:r>
        <w:t xml:space="preserve">gives</w:t>
      </w:r>
      <w:r>
        <w:t xml:space="preserve"> </w:t>
      </w:r>
      <w:r>
        <w:t xml:space="preserve">“</w:t>
      </w:r>
      <w:r>
        <w:t xml:space="preserve">𠤰　似治反。漉米。䉛。上文。</w:t>
      </w:r>
      <w:r>
        <w:t xml:space="preserve">”</w:t>
      </w:r>
      <w:r>
        <w:t xml:space="preserve">. The</w:t>
      </w:r>
      <w:r>
        <w:t xml:space="preserve"> </w:t>
      </w:r>
      <w:r>
        <w:rPr>
          <w:iCs/>
          <w:i/>
        </w:rPr>
        <w:t xml:space="preserve">Shuowen Jiezi</w:t>
      </w:r>
      <w:r>
        <w:t xml:space="preserve">, under</w:t>
      </w:r>
      <w:r>
        <w:t xml:space="preserve"> </w:t>
      </w:r>
      <w:r>
        <w:t xml:space="preserve">“</w:t>
      </w:r>
      <w:r>
        <w:t xml:space="preserve">籔</w:t>
      </w:r>
      <w:r>
        <w:t xml:space="preserve">”</w:t>
      </w:r>
      <w:r>
        <w:t xml:space="preserve">, gives</w:t>
      </w:r>
      <w:r>
        <w:t xml:space="preserve"> </w:t>
      </w:r>
      <w:r>
        <w:t xml:space="preserve">“</w:t>
      </w:r>
      <w:r>
        <w:t xml:space="preserve">炊䉛也</w:t>
      </w:r>
      <w:r>
        <w:t xml:space="preserve">”</w:t>
      </w:r>
      <w:r>
        <w:t xml:space="preserve">, meaning a bamboo strainer used for cooking.</w:t>
      </w:r>
    </w:p>
    <w:bookmarkEnd w:id="794"/>
    <w:bookmarkStart w:id="798" w:name="X28f788431ee7c113ea1cb970d4ba53ef7b9c237"/>
    <w:p>
      <w:pPr>
        <w:pStyle w:val="Heading4"/>
      </w:pPr>
      <w:r>
        <w:rPr>
          <w:rStyle w:val="SectionNumber"/>
        </w:rPr>
        <w:t xml:space="preserve">26.2.2.13</w:t>
      </w:r>
      <w:r>
        <w:tab/>
      </w:r>
      <w:r>
        <w:t xml:space="preserve">K0106282　㔶</w:t>
      </w:r>
    </w:p>
    <w:p>
      <w:pPr>
        <w:pStyle w:val="CaptionedFigure"/>
      </w:pPr>
      <w:r>
        <w:drawing>
          <wp:inline>
            <wp:extent cx="635000" cy="635000"/>
            <wp:effectExtent b="0" l="0" r="0" t="0"/>
            <wp:docPr descr="㔶" title="" id="796" name="Picture"/>
            <a:graphic>
              <a:graphicData uri="http://schemas.openxmlformats.org/drawingml/2006/picture">
                <pic:pic>
                  <pic:nvPicPr>
                    <pic:cNvPr descr="https://glyphwiki.org/glyph/hdic-tanki01_hkrm-01062820.50px.png" id="797" name="Picture"/>
                    <pic:cNvPicPr>
                      <a:picLocks noChangeArrowheads="1" noChangeAspect="1"/>
                    </pic:cNvPicPr>
                  </pic:nvPicPr>
                  <pic:blipFill>
                    <a:blip r:embed="rId795"/>
                    <a:stretch>
                      <a:fillRect/>
                    </a:stretch>
                  </pic:blipFill>
                  <pic:spPr bwMode="auto">
                    <a:xfrm>
                      <a:off x="0" y="0"/>
                      <a:ext cx="635000" cy="635000"/>
                    </a:xfrm>
                    <a:prstGeom prst="rect">
                      <a:avLst/>
                    </a:prstGeom>
                    <a:noFill/>
                    <a:ln w="9525">
                      <a:noFill/>
                      <a:headEnd/>
                      <a:tailEnd/>
                    </a:ln>
                  </pic:spPr>
                </pic:pic>
              </a:graphicData>
            </a:graphic>
          </wp:inline>
        </w:drawing>
      </w:r>
    </w:p>
    <w:p>
      <w:pPr>
        <w:pStyle w:val="ImageCaption"/>
      </w:pPr>
      <w:r>
        <w:t xml:space="preserve">㔶</w:t>
      </w:r>
    </w:p>
    <w:p>
      <w:pPr>
        <w:pStyle w:val="BodyText"/>
      </w:pPr>
      <w:r>
        <w:t xml:space="preserve">(Main Text)</w:t>
      </w:r>
      <w:r>
        <w:t xml:space="preserve"> </w:t>
      </w:r>
      <w:r>
        <w:t xml:space="preserve">㯯⿳⺮夅貝二或　真音　小桮</w:t>
      </w:r>
    </w:p>
    <w:p>
      <w:pPr>
        <w:pStyle w:val="BodyText"/>
      </w:pPr>
      <w:r>
        <w:t xml:space="preserve">(Notes)</w:t>
      </w:r>
      <w:r>
        <w:br/>
      </w:r>
      <w:r>
        <w:t xml:space="preserve">1 㯯𥴶二或</w:t>
      </w:r>
      <w:r>
        <w:br/>
      </w:r>
      <w:r>
        <w:t xml:space="preserve">“</w:t>
      </w:r>
      <w:r>
        <w:t xml:space="preserve">㯯</w:t>
      </w:r>
      <w:r>
        <w:t xml:space="preserve">”</w:t>
      </w:r>
      <w:r>
        <w:t xml:space="preserve"> </w:t>
      </w:r>
      <w:r>
        <w:t xml:space="preserve">appears in the</w:t>
      </w:r>
      <w:r>
        <w:t xml:space="preserve"> </w:t>
      </w:r>
      <w:r>
        <w:rPr>
          <w:iCs/>
          <w:i/>
        </w:rPr>
        <w:t xml:space="preserve">Guangyun</w:t>
      </w:r>
      <w:r>
        <w:t xml:space="preserve"> </w:t>
      </w:r>
      <w:r>
        <w:t xml:space="preserve">as</w:t>
      </w:r>
      <w:r>
        <w:t xml:space="preserve"> </w:t>
      </w:r>
      <w:r>
        <w:t xml:space="preserve">“</w:t>
      </w:r>
      <w:r>
        <w:t xml:space="preserve">格木説文同上</w:t>
      </w:r>
      <w:r>
        <w:t xml:space="preserve">”</w:t>
      </w:r>
      <w:r>
        <w:t xml:space="preserve"> </w:t>
      </w:r>
      <w:r>
        <w:t xml:space="preserve">(the preceding item is 㔶) (Departing tone, Song rhyme (送韻); xiaoyun 貢:</w:t>
      </w:r>
      <w:r>
        <w:t xml:space="preserve"> </w:t>
      </w:r>
      <w:r>
        <w:t xml:space="preserve">“</w:t>
      </w:r>
      <w:r>
        <w:t xml:space="preserve">古送切</w:t>
      </w:r>
      <w:r>
        <w:t xml:space="preserve">”</w:t>
      </w:r>
      <w:r>
        <w:t xml:space="preserve">).</w:t>
      </w:r>
      <w:r>
        <w:t xml:space="preserve"> </w:t>
      </w:r>
      <w:r>
        <w:t xml:space="preserve">“</w:t>
      </w:r>
      <w:r>
        <w:t xml:space="preserve">𥴶</w:t>
      </w:r>
      <w:r>
        <w:t xml:space="preserve">”</w:t>
      </w:r>
      <w:r>
        <w:t xml:space="preserve"> </w:t>
      </w:r>
      <w:r>
        <w:t xml:space="preserve">is</w:t>
      </w:r>
      <w:r>
        <w:t xml:space="preserve"> </w:t>
      </w:r>
      <w:r>
        <w:t xml:space="preserve">“</w:t>
      </w:r>
      <w:r>
        <w:t xml:space="preserve">都感切</w:t>
      </w:r>
      <w:r>
        <w:t xml:space="preserve">”</w:t>
      </w:r>
      <w:r>
        <w:t xml:space="preserve"> </w:t>
      </w:r>
      <w:r>
        <w:t xml:space="preserve">(Rising tone, Gan rhyme (感韻); xiaoyun 黕).</w:t>
      </w:r>
    </w:p>
    <w:p>
      <w:pPr>
        <w:pStyle w:val="BodyText"/>
      </w:pPr>
      <w:r>
        <w:t xml:space="preserve">2 真音</w:t>
      </w:r>
      <w:r>
        <w:br/>
      </w:r>
      <w:r>
        <w:t xml:space="preserve">The</w:t>
      </w:r>
      <w:r>
        <w:t xml:space="preserve"> </w:t>
      </w:r>
      <w:r>
        <w:rPr>
          <w:iCs/>
          <w:i/>
        </w:rPr>
        <w:t xml:space="preserve">Guangyun</w:t>
      </w:r>
      <w:r>
        <w:t xml:space="preserve"> </w:t>
      </w:r>
      <w:r>
        <w:t xml:space="preserve">gives</w:t>
      </w:r>
      <w:r>
        <w:t xml:space="preserve"> </w:t>
      </w:r>
      <w:r>
        <w:t xml:space="preserve">“</w:t>
      </w:r>
      <w:r>
        <w:t xml:space="preserve">古禫切</w:t>
      </w:r>
      <w:r>
        <w:t xml:space="preserve">”</w:t>
      </w:r>
      <w:r>
        <w:t xml:space="preserve"> </w:t>
      </w:r>
      <w:r>
        <w:t xml:space="preserve">(Rising tone, Gan rhyme (感韻); xiaoyun 感) and</w:t>
      </w:r>
      <w:r>
        <w:t xml:space="preserve"> </w:t>
      </w:r>
      <w:r>
        <w:t xml:space="preserve">“</w:t>
      </w:r>
      <w:r>
        <w:t xml:space="preserve">古送切</w:t>
      </w:r>
      <w:r>
        <w:t xml:space="preserve">”</w:t>
      </w:r>
      <w:r>
        <w:t xml:space="preserve"> </w:t>
      </w:r>
      <w:r>
        <w:t xml:space="preserve">(Departing tone, Song rhyme (送韻); xiaoyun 貢). The Kanchi-in manuscript’s</w:t>
      </w:r>
      <w:r>
        <w:t xml:space="preserve"> </w:t>
      </w:r>
      <w:r>
        <w:t xml:space="preserve">“</w:t>
      </w:r>
      <w:r>
        <w:t xml:space="preserve">真音</w:t>
      </w:r>
      <w:r>
        <w:t xml:space="preserve">”</w:t>
      </w:r>
      <w:r>
        <w:t xml:space="preserve"> </w:t>
      </w:r>
      <w:r>
        <w:t xml:space="preserve">is a scribal error for</w:t>
      </w:r>
      <w:r>
        <w:t xml:space="preserve"> </w:t>
      </w:r>
      <w:r>
        <w:t xml:space="preserve">“</w:t>
      </w:r>
      <w:r>
        <w:t xml:space="preserve">貢音</w:t>
      </w:r>
      <w:r>
        <w:t xml:space="preserve">”</w:t>
      </w:r>
      <w:r>
        <w:t xml:space="preserve">.</w:t>
      </w:r>
    </w:p>
    <w:p>
      <w:pPr>
        <w:pStyle w:val="BodyText"/>
      </w:pPr>
      <w:r>
        <w:t xml:space="preserve">3 小桮</w:t>
      </w:r>
      <w:r>
        <w:br/>
      </w:r>
      <w:r>
        <w:t xml:space="preserve">The</w:t>
      </w:r>
      <w:r>
        <w:t xml:space="preserve"> </w:t>
      </w:r>
      <w:r>
        <w:rPr>
          <w:iCs/>
          <w:i/>
        </w:rPr>
        <w:t xml:space="preserve">Shuowen Jiezi</w:t>
      </w:r>
      <w:r>
        <w:t xml:space="preserve"> </w:t>
      </w:r>
      <w:r>
        <w:t xml:space="preserve">gives</w:t>
      </w:r>
      <w:r>
        <w:t xml:space="preserve"> </w:t>
      </w:r>
      <w:r>
        <w:t xml:space="preserve">“</w:t>
      </w:r>
      <w:r>
        <w:t xml:space="preserve">小桮也</w:t>
      </w:r>
      <w:r>
        <w:t xml:space="preserve">”</w:t>
      </w:r>
      <w:r>
        <w:t xml:space="preserve"> </w:t>
      </w:r>
      <w:r>
        <w:t xml:space="preserve">(桮 is the same as 杯). The</w:t>
      </w:r>
      <w:r>
        <w:t xml:space="preserve"> </w:t>
      </w:r>
      <w:r>
        <w:rPr>
          <w:iCs/>
          <w:i/>
        </w:rPr>
        <w:t xml:space="preserve">Guangyun</w:t>
      </w:r>
      <w:r>
        <w:t xml:space="preserve"> </w:t>
      </w:r>
      <w:r>
        <w:t xml:space="preserve">gives</w:t>
      </w:r>
      <w:r>
        <w:t xml:space="preserve"> </w:t>
      </w:r>
      <w:r>
        <w:t xml:space="preserve">“</w:t>
      </w:r>
      <w:r>
        <w:t xml:space="preserve">小杯名</w:t>
      </w:r>
      <w:r>
        <w:t xml:space="preserve">”</w:t>
      </w:r>
      <w:r>
        <w:t xml:space="preserve"> </w:t>
      </w:r>
      <w:r>
        <w:t xml:space="preserve">(Departing tone, Song rhyme (送韻); xiaoyun 貢). The</w:t>
      </w:r>
      <w:r>
        <w:t xml:space="preserve"> </w:t>
      </w:r>
      <w:r>
        <w:rPr>
          <w:iCs/>
          <w:i/>
        </w:rPr>
        <w:t xml:space="preserve">Tenrei Banshō Meigi</w:t>
      </w:r>
      <w:r>
        <w:t xml:space="preserve"> </w:t>
      </w:r>
      <w:r>
        <w:t xml:space="preserve">gives</w:t>
      </w:r>
      <w:r>
        <w:t xml:space="preserve"> </w:t>
      </w:r>
      <w:r>
        <w:t xml:space="preserve">“</w:t>
      </w:r>
      <w:r>
        <w:t xml:space="preserve">小盃也</w:t>
      </w:r>
      <w:r>
        <w:t xml:space="preserve">”</w:t>
      </w:r>
      <w:r>
        <w:t xml:space="preserve">. The meaning is a small cup.</w:t>
      </w:r>
    </w:p>
    <w:bookmarkEnd w:id="798"/>
    <w:bookmarkStart w:id="802" w:name="X4a3d0b660416ad8ed7787be13934c0b99f68642"/>
    <w:p>
      <w:pPr>
        <w:pStyle w:val="Heading4"/>
      </w:pPr>
      <w:r>
        <w:rPr>
          <w:rStyle w:val="SectionNumber"/>
        </w:rPr>
        <w:t xml:space="preserve">26.2.2.14</w:t>
      </w:r>
      <w:r>
        <w:tab/>
      </w:r>
      <w:r>
        <w:t xml:space="preserve">K0106283　匪</w:t>
      </w:r>
    </w:p>
    <w:p>
      <w:pPr>
        <w:pStyle w:val="CaptionedFigure"/>
      </w:pPr>
      <w:r>
        <w:drawing>
          <wp:inline>
            <wp:extent cx="476250" cy="476250"/>
            <wp:effectExtent b="0" l="0" r="0" t="0"/>
            <wp:docPr descr="匪" title="" id="800" name="Picture"/>
            <a:graphic>
              <a:graphicData uri="http://schemas.openxmlformats.org/drawingml/2006/picture">
                <pic:pic>
                  <pic:nvPicPr>
                    <pic:cNvPr descr="https://glyphwiki.org/glyph/hdic-tanki01_hkrm-01062830.50px.png" id="801" name="Picture"/>
                    <pic:cNvPicPr>
                      <a:picLocks noChangeArrowheads="1" noChangeAspect="1"/>
                    </pic:cNvPicPr>
                  </pic:nvPicPr>
                  <pic:blipFill>
                    <a:blip r:embed="rId799"/>
                    <a:stretch>
                      <a:fillRect/>
                    </a:stretch>
                  </pic:blipFill>
                  <pic:spPr bwMode="auto">
                    <a:xfrm>
                      <a:off x="0" y="0"/>
                      <a:ext cx="476250" cy="476250"/>
                    </a:xfrm>
                    <a:prstGeom prst="rect">
                      <a:avLst/>
                    </a:prstGeom>
                    <a:noFill/>
                    <a:ln w="9525">
                      <a:noFill/>
                      <a:headEnd/>
                      <a:tailEnd/>
                    </a:ln>
                  </pic:spPr>
                </pic:pic>
              </a:graphicData>
            </a:graphic>
          </wp:inline>
        </w:drawing>
      </w:r>
    </w:p>
    <w:p>
      <w:pPr>
        <w:pStyle w:val="ImageCaption"/>
      </w:pPr>
      <w:r>
        <w:t xml:space="preserve">匪</w:t>
      </w:r>
    </w:p>
    <w:p>
      <w:pPr>
        <w:pStyle w:val="BodyText"/>
      </w:pPr>
      <w:r>
        <w:t xml:space="preserve">(Main Text)</w:t>
      </w:r>
      <w:r>
        <w:t xml:space="preserve"> </w:t>
      </w:r>
      <w:r>
        <w:t xml:space="preserve">甫尾反　アラス　マフ　スケ　ナカシ　ナシ　カノ　ユルナリ　ナイカシロ　ワカツ　和ヒ　呉彼</w:t>
      </w:r>
    </w:p>
    <w:p>
      <w:pPr>
        <w:pStyle w:val="BodyText"/>
      </w:pPr>
      <w:r>
        <w:t xml:space="preserve">(Notes)</w:t>
      </w:r>
      <w:r>
        <w:br/>
      </w:r>
      <w:r>
        <w:t xml:space="preserve">1 甫尾反</w:t>
      </w:r>
      <w:r>
        <w:br/>
      </w:r>
      <w:r>
        <w:t xml:space="preserve">The</w:t>
      </w:r>
      <w:r>
        <w:t xml:space="preserve"> </w:t>
      </w:r>
      <w:r>
        <w:rPr>
          <w:iCs/>
          <w:i/>
        </w:rPr>
        <w:t xml:space="preserve">Guangyun</w:t>
      </w:r>
      <w:r>
        <w:t xml:space="preserve"> </w:t>
      </w:r>
      <w:r>
        <w:t xml:space="preserve">gives</w:t>
      </w:r>
      <w:r>
        <w:t xml:space="preserve"> </w:t>
      </w:r>
      <w:r>
        <w:t xml:space="preserve">“</w:t>
      </w:r>
      <w:r>
        <w:t xml:space="preserve">府尾切</w:t>
      </w:r>
      <w:r>
        <w:t xml:space="preserve">”</w:t>
      </w:r>
      <w:r>
        <w:t xml:space="preserve"> </w:t>
      </w:r>
      <w:r>
        <w:t xml:space="preserve">(Rising tone, Wei rhyme (尾韻)).</w:t>
      </w:r>
    </w:p>
    <w:p>
      <w:pPr>
        <w:pStyle w:val="BodyText"/>
      </w:pPr>
      <w:r>
        <w:t xml:space="preserve">2 アラス</w:t>
      </w:r>
      <w:r>
        <w:br/>
      </w:r>
      <w:r>
        <w:t xml:space="preserve">The</w:t>
      </w:r>
      <w:r>
        <w:t xml:space="preserve"> </w:t>
      </w:r>
      <w:r>
        <w:rPr>
          <w:iCs/>
          <w:i/>
        </w:rPr>
        <w:t xml:space="preserve">Tenrei Banshō Meigi</w:t>
      </w:r>
      <w:r>
        <w:t xml:space="preserve"> </w:t>
      </w:r>
      <w:r>
        <w:t xml:space="preserve">gives</w:t>
      </w:r>
      <w:r>
        <w:t xml:space="preserve"> </w:t>
      </w:r>
      <w:r>
        <w:t xml:space="preserve">“</w:t>
      </w:r>
      <w:r>
        <w:t xml:space="preserve">非也</w:t>
      </w:r>
      <w:r>
        <w:t xml:space="preserve">”</w:t>
      </w:r>
      <w:r>
        <w:t xml:space="preserve"> </w:t>
      </w:r>
      <w:r>
        <w:t xml:space="preserve">(not); the</w:t>
      </w:r>
      <w:r>
        <w:t xml:space="preserve"> </w:t>
      </w:r>
      <w:r>
        <w:rPr>
          <w:iCs/>
          <w:i/>
        </w:rPr>
        <w:t xml:space="preserve">Dai-Hannya-kyō Jishō</w:t>
      </w:r>
      <w:r>
        <w:t xml:space="preserve"> </w:t>
      </w:r>
      <w:r>
        <w:t xml:space="preserve">gives</w:t>
      </w:r>
      <w:r>
        <w:t xml:space="preserve"> </w:t>
      </w:r>
      <w:r>
        <w:t xml:space="preserve">“</w:t>
      </w:r>
      <w:r>
        <w:t xml:space="preserve">不也</w:t>
      </w:r>
      <w:r>
        <w:t xml:space="preserve">”</w:t>
      </w:r>
      <w:r>
        <w:t xml:space="preserve"> </w:t>
      </w:r>
      <w:r>
        <w:t xml:space="preserve">(not).</w:t>
      </w:r>
    </w:p>
    <w:p>
      <w:pPr>
        <w:pStyle w:val="BodyText"/>
      </w:pPr>
      <w:r>
        <w:t xml:space="preserve">3 マフ</w:t>
      </w:r>
      <w:r>
        <w:br/>
      </w:r>
      <w:r>
        <w:t xml:space="preserve">Masamune’s Index, under</w:t>
      </w:r>
      <w:r>
        <w:t xml:space="preserve"> </w:t>
      </w:r>
      <w:r>
        <w:t xml:space="preserve">“</w:t>
      </w:r>
      <w:r>
        <w:t xml:space="preserve">マフ</w:t>
      </w:r>
      <w:r>
        <w:t xml:space="preserve">”</w:t>
      </w:r>
      <w:r>
        <w:t xml:space="preserve">, notes:</w:t>
      </w:r>
      <w:r>
        <w:t xml:space="preserve"> </w:t>
      </w:r>
      <w:r>
        <w:t xml:space="preserve">“</w:t>
      </w:r>
      <w:r>
        <w:t xml:space="preserve">Also in the Kōzan-ji and Sainenji manuscripts as マコト; also found in the</w:t>
      </w:r>
      <w:r>
        <w:t xml:space="preserve"> </w:t>
      </w:r>
      <w:r>
        <w:rPr>
          <w:iCs/>
          <w:i/>
        </w:rPr>
        <w:t xml:space="preserve">Jikyōshū</w:t>
      </w:r>
      <w:r>
        <w:t xml:space="preserve">.</w:t>
      </w:r>
      <w:r>
        <w:t xml:space="preserve">”</w:t>
      </w:r>
      <w:r>
        <w:t xml:space="preserve"> </w:t>
      </w:r>
      <w:r>
        <w:t xml:space="preserve">A detailed discussion appears in Kusakawa, Noboru,</w:t>
      </w:r>
      <w:r>
        <w:t xml:space="preserve"> </w:t>
      </w:r>
      <w:r>
        <w:t xml:space="preserve">“</w:t>
      </w:r>
      <w:r>
        <w:t xml:space="preserve">Ruiju Myōgishō Wakun Shōkō,</w:t>
      </w:r>
      <w:r>
        <w:t xml:space="preserve">”</w:t>
      </w:r>
      <w:r>
        <w:t xml:space="preserve"> </w:t>
      </w:r>
      <w:r>
        <w:t xml:space="preserve">p. 45, example 30.</w:t>
      </w:r>
    </w:p>
    <w:p>
      <w:pPr>
        <w:pStyle w:val="BodyText"/>
      </w:pPr>
      <w:r>
        <w:t xml:space="preserve">4 スケ</w:t>
      </w:r>
      <w:r>
        <w:br/>
      </w:r>
      <w:r>
        <w:t xml:space="preserve">“</w:t>
      </w:r>
      <w:r>
        <w:t xml:space="preserve">ケ</w:t>
      </w:r>
      <w:r>
        <w:t xml:space="preserve">”</w:t>
      </w:r>
      <w:r>
        <w:t xml:space="preserve"> </w:t>
      </w:r>
      <w:r>
        <w:t xml:space="preserve">is written in a form resembling</w:t>
      </w:r>
      <w:r>
        <w:t xml:space="preserve"> </w:t>
      </w:r>
      <w:r>
        <w:t xml:space="preserve">“</w:t>
      </w:r>
      <w:r>
        <w:t xml:space="preserve">チ</w:t>
      </w:r>
      <w:r>
        <w:t xml:space="preserve">”</w:t>
      </w:r>
      <w:r>
        <w:t xml:space="preserve">. Masamune’s Index records this as</w:t>
      </w:r>
      <w:r>
        <w:t xml:space="preserve"> </w:t>
      </w:r>
      <w:r>
        <w:t xml:space="preserve">“</w:t>
      </w:r>
      <w:r>
        <w:t xml:space="preserve">スケナカシ</w:t>
      </w:r>
      <w:r>
        <w:t xml:space="preserve">”</w:t>
      </w:r>
      <w:r>
        <w:t xml:space="preserve">. Kusakawa’s Wakun Collection records it as separate readings</w:t>
      </w:r>
      <w:r>
        <w:t xml:space="preserve"> </w:t>
      </w:r>
      <w:r>
        <w:t xml:space="preserve">“</w:t>
      </w:r>
      <w:r>
        <w:t xml:space="preserve">スケ</w:t>
      </w:r>
      <w:r>
        <w:t xml:space="preserve">”</w:t>
      </w:r>
      <w:r>
        <w:t xml:space="preserve"> </w:t>
      </w:r>
      <w:r>
        <w:t xml:space="preserve">and</w:t>
      </w:r>
      <w:r>
        <w:t xml:space="preserve"> </w:t>
      </w:r>
      <w:r>
        <w:t xml:space="preserve">“</w:t>
      </w:r>
      <w:r>
        <w:t xml:space="preserve">ナカレ</w:t>
      </w:r>
      <w:r>
        <w:t xml:space="preserve">”</w:t>
      </w:r>
      <w:r>
        <w:t xml:space="preserve">, noting that</w:t>
      </w:r>
      <w:r>
        <w:t xml:space="preserve"> </w:t>
      </w:r>
      <w:r>
        <w:t xml:space="preserve">“</w:t>
      </w:r>
      <w:r>
        <w:t xml:space="preserve">ナカレ</w:t>
      </w:r>
      <w:r>
        <w:t xml:space="preserve">”</w:t>
      </w:r>
      <w:r>
        <w:t xml:space="preserve"> </w:t>
      </w:r>
      <w:r>
        <w:t xml:space="preserve">is blank in the Kanchi-in manuscript but present in the Renjō-in, Kōzan-ji, and Sainenji manuscripts. Kusakawa Noboru argues that treating</w:t>
      </w:r>
      <w:r>
        <w:t xml:space="preserve"> </w:t>
      </w:r>
      <w:r>
        <w:t xml:space="preserve">“</w:t>
      </w:r>
      <w:r>
        <w:t xml:space="preserve">スケナカシ</w:t>
      </w:r>
      <w:r>
        <w:t xml:space="preserve">”</w:t>
      </w:r>
      <w:r>
        <w:t xml:space="preserve"> </w:t>
      </w:r>
      <w:r>
        <w:t xml:space="preserve">as a single reading is unnatural, and that it should likely be read not as</w:t>
      </w:r>
      <w:r>
        <w:t xml:space="preserve"> </w:t>
      </w:r>
      <w:r>
        <w:t xml:space="preserve">“</w:t>
      </w:r>
      <w:r>
        <w:t xml:space="preserve">スケ</w:t>
      </w:r>
      <w:r>
        <w:t xml:space="preserve">”</w:t>
      </w:r>
      <w:r>
        <w:t xml:space="preserve"> </w:t>
      </w:r>
      <w:r>
        <w:t xml:space="preserve">+</w:t>
      </w:r>
      <w:r>
        <w:t xml:space="preserve"> </w:t>
      </w:r>
      <w:r>
        <w:t xml:space="preserve">“</w:t>
      </w:r>
      <w:r>
        <w:t xml:space="preserve">ナカシ</w:t>
      </w:r>
      <w:r>
        <w:t xml:space="preserve">”</w:t>
      </w:r>
      <w:r>
        <w:t xml:space="preserve"> </w:t>
      </w:r>
      <w:r>
        <w:t xml:space="preserve">but as an error for</w:t>
      </w:r>
      <w:r>
        <w:t xml:space="preserve"> </w:t>
      </w:r>
      <w:r>
        <w:t xml:space="preserve">“</w:t>
      </w:r>
      <w:r>
        <w:t xml:space="preserve">ナカレ</w:t>
      </w:r>
      <w:r>
        <w:t xml:space="preserve">”</w:t>
      </w:r>
      <w:r>
        <w:t xml:space="preserve"> </w:t>
      </w:r>
      <w:r>
        <w:t xml:space="preserve">(Kusakawa, Noboru,</w:t>
      </w:r>
      <w:r>
        <w:t xml:space="preserve"> </w:t>
      </w:r>
      <w:r>
        <w:t xml:space="preserve">“</w:t>
      </w:r>
      <w:r>
        <w:t xml:space="preserve">Ruiju Myōgishō Wakun Shōkō,</w:t>
      </w:r>
      <w:r>
        <w:t xml:space="preserve">”</w:t>
      </w:r>
      <w:r>
        <w:t xml:space="preserve"> </w:t>
      </w:r>
      <w:r>
        <w:t xml:space="preserve">p. 45, example 30). Shirakawa’s</w:t>
      </w:r>
      <w:r>
        <w:t xml:space="preserve"> </w:t>
      </w:r>
      <w:r>
        <w:rPr>
          <w:iCs/>
          <w:i/>
        </w:rPr>
        <w:t xml:space="preserve">Jitsū</w:t>
      </w:r>
      <w:r>
        <w:t xml:space="preserve"> </w:t>
      </w:r>
      <w:r>
        <w:t xml:space="preserve">records it as</w:t>
      </w:r>
      <w:r>
        <w:t xml:space="preserve"> </w:t>
      </w:r>
      <w:r>
        <w:t xml:space="preserve">“</w:t>
      </w:r>
      <w:r>
        <w:t xml:space="preserve">スヂナガシ</w:t>
      </w:r>
      <w:r>
        <w:t xml:space="preserve">”</w:t>
      </w:r>
      <w:r>
        <w:t xml:space="preserve">. Nakamura’s Monzen, p. 46 (東都), has</w:t>
      </w:r>
      <w:r>
        <w:t xml:space="preserve"> </w:t>
      </w:r>
      <w:r>
        <w:t xml:space="preserve">“</w:t>
      </w:r>
      <w:r>
        <w:t xml:space="preserve">匪ス</w:t>
      </w:r>
      <w:r>
        <w:t xml:space="preserve">”</w:t>
      </w:r>
      <w:r>
        <w:t xml:space="preserve">. Kobayashi Kyōji,</w:t>
      </w:r>
      <w:r>
        <w:t xml:space="preserve"> </w:t>
      </w:r>
      <w:r>
        <w:t xml:space="preserve">“</w:t>
      </w:r>
      <w:r>
        <w:t xml:space="preserve">Kanchi-in-bon ni Nai Katakana Chūki (6),</w:t>
      </w:r>
      <w:r>
        <w:t xml:space="preserve">”</w:t>
      </w:r>
      <w:r>
        <w:t xml:space="preserve"> </w:t>
      </w:r>
      <w:r>
        <w:t xml:space="preserve">examples 54 and 55, organizes the readings as follows: the Kanchi-in manuscript has</w:t>
      </w:r>
      <w:r>
        <w:t xml:space="preserve"> </w:t>
      </w:r>
      <w:r>
        <w:t xml:space="preserve">“</w:t>
      </w:r>
      <w:r>
        <w:t xml:space="preserve">スチナカシ</w:t>
      </w:r>
      <w:r>
        <w:t xml:space="preserve">”</w:t>
      </w:r>
      <w:r>
        <w:t xml:space="preserve">; the Sainenji manuscript has</w:t>
      </w:r>
      <w:r>
        <w:t xml:space="preserve"> </w:t>
      </w:r>
      <w:r>
        <w:t xml:space="preserve">“</w:t>
      </w:r>
      <w:r>
        <w:t xml:space="preserve">爪ケ　ナカレ　タケヽツワオ</w:t>
      </w:r>
      <w:r>
        <w:t xml:space="preserve">”</w:t>
      </w:r>
      <w:r>
        <w:t xml:space="preserve">; the Kōzan-ji manuscript has</w:t>
      </w:r>
      <w:r>
        <w:t xml:space="preserve"> </w:t>
      </w:r>
      <w:r>
        <w:t xml:space="preserve">“</w:t>
      </w:r>
      <w:r>
        <w:t xml:space="preserve">スケ　ナカレ　タケ＼ツハモノ</w:t>
      </w:r>
      <w:r>
        <w:t xml:space="preserve">”</w:t>
      </w:r>
      <w:r>
        <w:t xml:space="preserve">; the Renjō-in manuscript has</w:t>
      </w:r>
      <w:r>
        <w:t xml:space="preserve"> </w:t>
      </w:r>
      <w:r>
        <w:t xml:space="preserve">“</w:t>
      </w:r>
      <w:r>
        <w:t xml:space="preserve">ナカレ（ナ written small）　タケ＼ツハモノ（with 牜 to the right）</w:t>
      </w:r>
      <w:r>
        <w:t xml:space="preserve">”</w:t>
      </w:r>
      <w:r>
        <w:t xml:space="preserve">; and among the various interpretations, Tōdō reads it</w:t>
      </w:r>
      <w:r>
        <w:t xml:space="preserve"> </w:t>
      </w:r>
      <w:r>
        <w:t xml:space="preserve">“</w:t>
      </w:r>
      <w:r>
        <w:t xml:space="preserve">スチナカシ</w:t>
      </w:r>
      <w:r>
        <w:t xml:space="preserve">”</w:t>
      </w:r>
      <w:r>
        <w:t xml:space="preserve">, Masamune reads it</w:t>
      </w:r>
      <w:r>
        <w:t xml:space="preserve"> </w:t>
      </w:r>
      <w:r>
        <w:t xml:space="preserve">“</w:t>
      </w:r>
      <w:r>
        <w:t xml:space="preserve">スケナカシ</w:t>
      </w:r>
      <w:r>
        <w:t xml:space="preserve">”</w:t>
      </w:r>
      <w:r>
        <w:t xml:space="preserve">, Nagashima reads it as separate</w:t>
      </w:r>
      <w:r>
        <w:t xml:space="preserve"> </w:t>
      </w:r>
      <w:r>
        <w:t xml:space="preserve">“</w:t>
      </w:r>
      <w:r>
        <w:t xml:space="preserve">スケ</w:t>
      </w:r>
      <w:r>
        <w:t xml:space="preserve">”</w:t>
      </w:r>
      <w:r>
        <w:t xml:space="preserve"> </w:t>
      </w:r>
      <w:r>
        <w:t xml:space="preserve">and</w:t>
      </w:r>
      <w:r>
        <w:t xml:space="preserve"> </w:t>
      </w:r>
      <w:r>
        <w:t xml:space="preserve">“</w:t>
      </w:r>
      <w:r>
        <w:t xml:space="preserve">ナカシ</w:t>
      </w:r>
      <w:r>
        <w:t xml:space="preserve">”</w:t>
      </w:r>
      <w:r>
        <w:t xml:space="preserve">, and Kusakawa reads it as separate</w:t>
      </w:r>
      <w:r>
        <w:t xml:space="preserve"> </w:t>
      </w:r>
      <w:r>
        <w:t xml:space="preserve">“</w:t>
      </w:r>
      <w:r>
        <w:t xml:space="preserve">スケ</w:t>
      </w:r>
      <w:r>
        <w:t xml:space="preserve">”</w:t>
      </w:r>
      <w:r>
        <w:t xml:space="preserve"> </w:t>
      </w:r>
      <w:r>
        <w:t xml:space="preserve">and</w:t>
      </w:r>
      <w:r>
        <w:t xml:space="preserve"> </w:t>
      </w:r>
      <w:r>
        <w:t xml:space="preserve">“</w:t>
      </w:r>
      <w:r>
        <w:t xml:space="preserve">ナカレ</w:t>
      </w:r>
      <w:r>
        <w:t xml:space="preserve">”</w:t>
      </w:r>
      <w:r>
        <w:t xml:space="preserve">. It is conjectured that this may originally have been</w:t>
      </w:r>
      <w:r>
        <w:t xml:space="preserve"> </w:t>
      </w:r>
      <w:r>
        <w:t xml:space="preserve">“</w:t>
      </w:r>
      <w:r>
        <w:t xml:space="preserve">スケナカレ</w:t>
      </w:r>
      <w:r>
        <w:t xml:space="preserve">”</w:t>
      </w:r>
      <w:r>
        <w:t xml:space="preserve">, the inflected form of the adjective 素気無（すげな）し (</w:t>
      </w:r>
      <w:r>
        <w:t xml:space="preserve">“</w:t>
      </w:r>
      <w:r>
        <w:t xml:space="preserve">curt, indifferent</w:t>
      </w:r>
      <w:r>
        <w:t xml:space="preserve">”</w:t>
      </w:r>
      <w:r>
        <w:t xml:space="preserve">).</w:t>
      </w:r>
      <w:r>
        <w:t xml:space="preserve"> </w:t>
      </w:r>
      <w:r>
        <w:t xml:space="preserve">“</w:t>
      </w:r>
      <w:r>
        <w:t xml:space="preserve">タケ＼ツハモノ</w:t>
      </w:r>
      <w:r>
        <w:t xml:space="preserve">”</w:t>
      </w:r>
      <w:r>
        <w:t xml:space="preserve"> </w:t>
      </w:r>
      <w:r>
        <w:t xml:space="preserve">is an omission in the Kanchi-in manuscript.</w:t>
      </w:r>
    </w:p>
    <w:p>
      <w:pPr>
        <w:pStyle w:val="BodyText"/>
      </w:pPr>
      <w:r>
        <w:t xml:space="preserve">5 ナカシ</w:t>
      </w:r>
      <w:r>
        <w:br/>
      </w:r>
      <w:r>
        <w:t xml:space="preserve">“</w:t>
      </w:r>
      <w:r>
        <w:t xml:space="preserve">ケ</w:t>
      </w:r>
      <w:r>
        <w:t xml:space="preserve">”</w:t>
      </w:r>
      <w:r>
        <w:t xml:space="preserve"> </w:t>
      </w:r>
      <w:r>
        <w:t xml:space="preserve">is written in a form resembling</w:t>
      </w:r>
      <w:r>
        <w:t xml:space="preserve"> </w:t>
      </w:r>
      <w:r>
        <w:t xml:space="preserve">“</w:t>
      </w:r>
      <w:r>
        <w:t xml:space="preserve">チ</w:t>
      </w:r>
      <w:r>
        <w:t xml:space="preserve">”</w:t>
      </w:r>
      <w:r>
        <w:t xml:space="preserve">. Masamune’s Index records this as</w:t>
      </w:r>
      <w:r>
        <w:t xml:space="preserve"> </w:t>
      </w:r>
      <w:r>
        <w:t xml:space="preserve">“</w:t>
      </w:r>
      <w:r>
        <w:t xml:space="preserve">スケナカシ</w:t>
      </w:r>
      <w:r>
        <w:t xml:space="preserve">”</w:t>
      </w:r>
      <w:r>
        <w:t xml:space="preserve">. Kusakawa’s Wakun Collection records it as separate readings</w:t>
      </w:r>
      <w:r>
        <w:t xml:space="preserve"> </w:t>
      </w:r>
      <w:r>
        <w:t xml:space="preserve">“</w:t>
      </w:r>
      <w:r>
        <w:t xml:space="preserve">スケ</w:t>
      </w:r>
      <w:r>
        <w:t xml:space="preserve">”</w:t>
      </w:r>
      <w:r>
        <w:t xml:space="preserve"> </w:t>
      </w:r>
      <w:r>
        <w:t xml:space="preserve">and</w:t>
      </w:r>
      <w:r>
        <w:t xml:space="preserve"> </w:t>
      </w:r>
      <w:r>
        <w:t xml:space="preserve">“</w:t>
      </w:r>
      <w:r>
        <w:t xml:space="preserve">ナカレ</w:t>
      </w:r>
      <w:r>
        <w:t xml:space="preserve">”</w:t>
      </w:r>
      <w:r>
        <w:t xml:space="preserve">, noting that</w:t>
      </w:r>
      <w:r>
        <w:t xml:space="preserve"> </w:t>
      </w:r>
      <w:r>
        <w:t xml:space="preserve">“</w:t>
      </w:r>
      <w:r>
        <w:t xml:space="preserve">ナカレ</w:t>
      </w:r>
      <w:r>
        <w:t xml:space="preserve">”</w:t>
      </w:r>
      <w:r>
        <w:t xml:space="preserve"> </w:t>
      </w:r>
      <w:r>
        <w:t xml:space="preserve">is blank in the Kanchi-in manuscript but present in the Renjō-in, Kōzan-ji, and Sainenji manuscripts. Shirakawa’s</w:t>
      </w:r>
      <w:r>
        <w:t xml:space="preserve"> </w:t>
      </w:r>
      <w:r>
        <w:rPr>
          <w:iCs/>
          <w:i/>
        </w:rPr>
        <w:t xml:space="preserve">Jitsū</w:t>
      </w:r>
      <w:r>
        <w:t xml:space="preserve"> </w:t>
      </w:r>
      <w:r>
        <w:t xml:space="preserve">records it as</w:t>
      </w:r>
      <w:r>
        <w:t xml:space="preserve"> </w:t>
      </w:r>
      <w:r>
        <w:t xml:space="preserve">“</w:t>
      </w:r>
      <w:r>
        <w:t xml:space="preserve">スヂナガシ</w:t>
      </w:r>
      <w:r>
        <w:t xml:space="preserve">”</w:t>
      </w:r>
      <w:r>
        <w:t xml:space="preserve">.</w:t>
      </w:r>
    </w:p>
    <w:p>
      <w:pPr>
        <w:pStyle w:val="BodyText"/>
      </w:pPr>
      <w:r>
        <w:t xml:space="preserve">6 ナシ</w:t>
      </w:r>
      <w:r>
        <w:br/>
      </w:r>
      <w:r>
        <w:t xml:space="preserve">The Sainenji manuscript has a reading</w:t>
      </w:r>
      <w:r>
        <w:t xml:space="preserve"> </w:t>
      </w:r>
      <w:r>
        <w:t xml:space="preserve">“</w:t>
      </w:r>
      <w:r>
        <w:t xml:space="preserve">タケキツハ物</w:t>
      </w:r>
      <w:r>
        <w:t xml:space="preserve">”</w:t>
      </w:r>
      <w:r>
        <w:t xml:space="preserve">, not found in the Kōzan-ji or Kanchi-in manuscripts (Okada Mareo,</w:t>
      </w:r>
      <w:r>
        <w:t xml:space="preserve"> </w:t>
      </w:r>
      <w:r>
        <w:rPr>
          <w:iCs/>
          <w:i/>
        </w:rPr>
        <w:t xml:space="preserve">Ruiju Myōgishō no Kenkyū</w:t>
      </w:r>
      <w:r>
        <w:t xml:space="preserve">, pp. 249, 195). Kusakawa’s Wakun Collection records it as</w:t>
      </w:r>
      <w:r>
        <w:t xml:space="preserve"> </w:t>
      </w:r>
      <w:r>
        <w:t xml:space="preserve">“</w:t>
      </w:r>
      <w:r>
        <w:t xml:space="preserve">ナシ</w:t>
      </w:r>
      <w:r>
        <w:t xml:space="preserve">”</w:t>
      </w:r>
      <w:r>
        <w:t xml:space="preserve">. Ikeda’s note: the Sainenji manuscript has</w:t>
      </w:r>
      <w:r>
        <w:t xml:space="preserve"> </w:t>
      </w:r>
      <w:r>
        <w:t xml:space="preserve">“</w:t>
      </w:r>
      <w:r>
        <w:t xml:space="preserve">タケキツハ物ナシ</w:t>
      </w:r>
      <w:r>
        <w:t xml:space="preserve">”</w:t>
      </w:r>
      <w:r>
        <w:t xml:space="preserve">; the Renjō-in manuscript has</w:t>
      </w:r>
      <w:r>
        <w:t xml:space="preserve"> </w:t>
      </w:r>
      <w:r>
        <w:t xml:space="preserve">“</w:t>
      </w:r>
      <w:r>
        <w:t xml:space="preserve">タケキツハ物ナシ</w:t>
      </w:r>
      <w:r>
        <w:t xml:space="preserve">”</w:t>
      </w:r>
      <w:r>
        <w:t xml:space="preserve"> </w:t>
      </w:r>
      <w:r>
        <w:t xml:space="preserve">(with</w:t>
      </w:r>
      <w:r>
        <w:t xml:space="preserve"> </w:t>
      </w:r>
      <w:r>
        <w:t xml:space="preserve">“</w:t>
      </w:r>
      <w:r>
        <w:t xml:space="preserve">モノ</w:t>
      </w:r>
      <w:r>
        <w:t xml:space="preserve">”</w:t>
      </w:r>
      <w:r>
        <w:t xml:space="preserve"> </w:t>
      </w:r>
      <w:r>
        <w:t xml:space="preserve">struck through and corrected to</w:t>
      </w:r>
      <w:r>
        <w:t xml:space="preserve"> </w:t>
      </w:r>
      <w:r>
        <w:t xml:space="preserve">“</w:t>
      </w:r>
      <w:r>
        <w:t xml:space="preserve">牜</w:t>
      </w:r>
      <w:r>
        <w:t xml:space="preserve">”</w:t>
      </w:r>
      <w:r>
        <w:t xml:space="preserve">); the Kōzan-ji manuscript has</w:t>
      </w:r>
      <w:r>
        <w:t xml:space="preserve"> </w:t>
      </w:r>
      <w:r>
        <w:t xml:space="preserve">“</w:t>
      </w:r>
      <w:r>
        <w:t xml:space="preserve">タケキツハモノナシ</w:t>
      </w:r>
      <w:r>
        <w:t xml:space="preserve">”</w:t>
      </w:r>
      <w:r>
        <w:t xml:space="preserve">.</w:t>
      </w:r>
    </w:p>
    <w:p>
      <w:pPr>
        <w:pStyle w:val="BodyText"/>
      </w:pPr>
      <w:r>
        <w:t xml:space="preserve">7 カノ</w:t>
      </w:r>
      <w:r>
        <w:br/>
      </w:r>
      <w:r>
        <w:t xml:space="preserve">Masamune’s Index, Supplement and Corrections, gives</w:t>
      </w:r>
      <w:r>
        <w:t xml:space="preserve"> </w:t>
      </w:r>
      <w:r>
        <w:t xml:space="preserve">“</w:t>
      </w:r>
      <w:r>
        <w:t xml:space="preserve">セノか</w:t>
      </w:r>
      <w:r>
        <w:t xml:space="preserve">”</w:t>
      </w:r>
      <w:r>
        <w:t xml:space="preserve">, noting:</w:t>
      </w:r>
      <w:r>
        <w:t xml:space="preserve"> </w:t>
      </w:r>
      <w:r>
        <w:t xml:space="preserve">“</w:t>
      </w:r>
      <w:r>
        <w:t xml:space="preserve">‘</w:t>
      </w:r>
      <w:r>
        <w:t xml:space="preserve">セ</w:t>
      </w:r>
      <w:r>
        <w:t xml:space="preserve">’</w:t>
      </w:r>
      <w:r>
        <w:t xml:space="preserve"> </w:t>
      </w:r>
      <w:r>
        <w:t xml:space="preserve">is obscured by worm damage and unclear.</w:t>
      </w:r>
      <w:r>
        <w:t xml:space="preserve">”</w:t>
      </w:r>
      <w:r>
        <w:t xml:space="preserve"> </w:t>
      </w:r>
      <w:r>
        <w:t xml:space="preserve">Kusakawa’s Wakun Collection records this as</w:t>
      </w:r>
      <w:r>
        <w:t xml:space="preserve"> </w:t>
      </w:r>
      <w:r>
        <w:t xml:space="preserve">“</w:t>
      </w:r>
      <w:r>
        <w:t xml:space="preserve">カノ</w:t>
      </w:r>
      <w:r>
        <w:t xml:space="preserve">”</w:t>
      </w:r>
      <w:r>
        <w:t xml:space="preserve">, and the Renjō-in, Kōzan-ji, and Sainenji manuscripts likewise have</w:t>
      </w:r>
      <w:r>
        <w:t xml:space="preserve"> </w:t>
      </w:r>
      <w:r>
        <w:t xml:space="preserve">“</w:t>
      </w:r>
      <w:r>
        <w:t xml:space="preserve">カノ</w:t>
      </w:r>
      <w:r>
        <w:t xml:space="preserve">”</w:t>
      </w:r>
      <w:r>
        <w:t xml:space="preserve">. Shirakawa’s</w:t>
      </w:r>
      <w:r>
        <w:t xml:space="preserve"> </w:t>
      </w:r>
      <w:r>
        <w:rPr>
          <w:iCs/>
          <w:i/>
        </w:rPr>
        <w:t xml:space="preserve">Jitsū</w:t>
      </w:r>
      <w:r>
        <w:t xml:space="preserve"> </w:t>
      </w:r>
      <w:r>
        <w:t xml:space="preserve">notes that it is</w:t>
      </w:r>
      <w:r>
        <w:t xml:space="preserve"> </w:t>
      </w:r>
      <w:r>
        <w:t xml:space="preserve">“</w:t>
      </w:r>
      <w:r>
        <w:t xml:space="preserve">used interchangeably with 彼 as a demonstrative,</w:t>
      </w:r>
      <w:r>
        <w:t xml:space="preserve">”</w:t>
      </w:r>
      <w:r>
        <w:t xml:space="preserve"> </w:t>
      </w:r>
      <w:r>
        <w:t xml:space="preserve">giving the meanings</w:t>
      </w:r>
      <w:r>
        <w:t xml:space="preserve"> </w:t>
      </w:r>
      <w:r>
        <w:t xml:space="preserve">“</w:t>
      </w:r>
      <w:r>
        <w:t xml:space="preserve">かの</w:t>
      </w:r>
      <w:r>
        <w:t xml:space="preserve">”</w:t>
      </w:r>
      <w:r>
        <w:t xml:space="preserve"> </w:t>
      </w:r>
      <w:r>
        <w:t xml:space="preserve">and</w:t>
      </w:r>
      <w:r>
        <w:t xml:space="preserve"> </w:t>
      </w:r>
      <w:r>
        <w:t xml:space="preserve">“</w:t>
      </w:r>
      <w:r>
        <w:t xml:space="preserve">かれ</w:t>
      </w:r>
      <w:r>
        <w:t xml:space="preserve">”</w:t>
      </w:r>
      <w:r>
        <w:t xml:space="preserve">. The</w:t>
      </w:r>
      <w:r>
        <w:t xml:space="preserve"> </w:t>
      </w:r>
      <w:r>
        <w:rPr>
          <w:iCs/>
          <w:i/>
        </w:rPr>
        <w:t xml:space="preserve">Tenrei Banshō Meigi</w:t>
      </w:r>
      <w:r>
        <w:t xml:space="preserve"> </w:t>
      </w:r>
      <w:r>
        <w:t xml:space="preserve">gives</w:t>
      </w:r>
      <w:r>
        <w:t xml:space="preserve"> </w:t>
      </w:r>
      <w:r>
        <w:t xml:space="preserve">“</w:t>
      </w:r>
      <w:r>
        <w:t xml:space="preserve">彼也</w:t>
      </w:r>
      <w:r>
        <w:t xml:space="preserve">”</w:t>
      </w:r>
      <w:r>
        <w:t xml:space="preserve"> </w:t>
      </w:r>
      <w:r>
        <w:t xml:space="preserve">(that).</w:t>
      </w:r>
    </w:p>
    <w:p>
      <w:pPr>
        <w:pStyle w:val="BodyText"/>
      </w:pPr>
      <w:r>
        <w:t xml:space="preserve">8 ユルナリ</w:t>
      </w:r>
    </w:p>
    <w:p>
      <w:pPr>
        <w:pStyle w:val="BodyText"/>
      </w:pPr>
      <w:r>
        <w:t xml:space="preserve">9 ナイカシロ</w:t>
      </w:r>
    </w:p>
    <w:p>
      <w:pPr>
        <w:pStyle w:val="BodyText"/>
      </w:pPr>
      <w:r>
        <w:t xml:space="preserve">10 ワカツ</w:t>
      </w:r>
      <w:r>
        <w:br/>
      </w:r>
      <w:r>
        <w:t xml:space="preserve">The original text has</w:t>
      </w:r>
      <w:r>
        <w:t xml:space="preserve"> </w:t>
      </w:r>
      <w:r>
        <w:t xml:space="preserve">“</w:t>
      </w:r>
      <w:r>
        <w:t xml:space="preserve">禾カツ</w:t>
      </w:r>
      <w:r>
        <w:t xml:space="preserve">”</w:t>
      </w:r>
      <w:r>
        <w:t xml:space="preserve">. The</w:t>
      </w:r>
      <w:r>
        <w:t xml:space="preserve"> </w:t>
      </w:r>
      <w:r>
        <w:rPr>
          <w:iCs/>
          <w:i/>
        </w:rPr>
        <w:t xml:space="preserve">Tenrei Banshō Meigi</w:t>
      </w:r>
      <w:r>
        <w:t xml:space="preserve"> </w:t>
      </w:r>
      <w:r>
        <w:t xml:space="preserve">gives</w:t>
      </w:r>
      <w:r>
        <w:t xml:space="preserve"> </w:t>
      </w:r>
      <w:r>
        <w:t xml:space="preserve">“</w:t>
      </w:r>
      <w:r>
        <w:t xml:space="preserve">分也</w:t>
      </w:r>
      <w:r>
        <w:t xml:space="preserve">”</w:t>
      </w:r>
      <w:r>
        <w:t xml:space="preserve"> </w:t>
      </w:r>
      <w:r>
        <w:t xml:space="preserve">(to divide).</w:t>
      </w:r>
    </w:p>
    <w:p>
      <w:pPr>
        <w:pStyle w:val="BodyText"/>
      </w:pPr>
      <w:r>
        <w:t xml:space="preserve">11 和ヒ</w:t>
      </w:r>
      <w:r>
        <w:br/>
      </w:r>
      <w:r>
        <w:t xml:space="preserve">The Kōzan-ji manuscript has</w:t>
      </w:r>
      <w:r>
        <w:t xml:space="preserve"> </w:t>
      </w:r>
      <w:r>
        <w:t xml:space="preserve">“</w:t>
      </w:r>
      <w:r>
        <w:t xml:space="preserve">音ヒ(R)</w:t>
      </w:r>
      <w:r>
        <w:t xml:space="preserve">”</w:t>
      </w:r>
      <w:r>
        <w:t xml:space="preserve"> </w:t>
      </w:r>
      <w:r>
        <w:t xml:space="preserve">(which may also appear as H).</w:t>
      </w:r>
    </w:p>
    <w:p>
      <w:pPr>
        <w:pStyle w:val="BodyText"/>
      </w:pPr>
      <w:r>
        <w:t xml:space="preserve">12 呉彼</w:t>
      </w:r>
      <w:r>
        <w:br/>
      </w:r>
      <w:r>
        <w:t xml:space="preserve">In the Ishiyama-dera manuscript of the</w:t>
      </w:r>
      <w:r>
        <w:t xml:space="preserve"> </w:t>
      </w:r>
      <w:r>
        <w:rPr>
          <w:iCs/>
          <w:i/>
        </w:rPr>
        <w:t xml:space="preserve">Dai-Hannya-kyō Jishō</w:t>
      </w:r>
      <w:r>
        <w:t xml:space="preserve">, the entry for</w:t>
      </w:r>
      <w:r>
        <w:t xml:space="preserve"> </w:t>
      </w:r>
      <w:r>
        <w:t xml:space="preserve">“</w:t>
      </w:r>
      <w:r>
        <w:t xml:space="preserve">匪</w:t>
      </w:r>
      <w:r>
        <w:t xml:space="preserve">”</w:t>
      </w:r>
      <w:r>
        <w:t xml:space="preserve"> </w:t>
      </w:r>
      <w:r>
        <w:t xml:space="preserve">has</w:t>
      </w:r>
      <w:r>
        <w:t xml:space="preserve"> </w:t>
      </w:r>
      <w:r>
        <w:t xml:space="preserve">“</w:t>
      </w:r>
      <w:r>
        <w:t xml:space="preserve">音彼</w:t>
      </w:r>
      <w:r>
        <w:t xml:space="preserve">”</w:t>
      </w:r>
      <w:r>
        <w:t xml:space="preserve"> </w:t>
      </w:r>
      <w:r>
        <w:t xml:space="preserve">and</w:t>
      </w:r>
      <w:r>
        <w:t xml:space="preserve"> </w:t>
      </w:r>
      <w:r>
        <w:t xml:space="preserve">“</w:t>
      </w:r>
      <w:r>
        <w:t xml:space="preserve">不也</w:t>
      </w:r>
      <w:r>
        <w:t xml:space="preserve">”</w:t>
      </w:r>
      <w:r>
        <w:t xml:space="preserve"> </w:t>
      </w:r>
      <w:r>
        <w:t xml:space="preserve">(fol. 17v).</w:t>
      </w:r>
    </w:p>
    <w:bookmarkEnd w:id="802"/>
    <w:bookmarkEnd w:id="803"/>
    <w:bookmarkEnd w:id="804"/>
    <w:bookmarkEnd w:id="805"/>
    <w:bookmarkEnd w:id="806"/>
    <w:bookmarkStart w:id="816" w:name="X9da32b8068f29b8215c291b2071ae5125cbb651"/>
    <w:bookmarkStart w:id="815" w:name="Xbe0ef4feb80b422728ffcf9a31be9ff7fac4a16"/>
    <w:p>
      <w:pPr>
        <w:pStyle w:val="Heading1"/>
      </w:pPr>
      <w:r>
        <w:rPr>
          <w:rStyle w:val="SectionNumber"/>
        </w:rPr>
        <w:t xml:space="preserve">27</w:t>
      </w:r>
      <w:r>
        <w:tab/>
      </w:r>
      <w:r>
        <w:t xml:space="preserve">Typesetting Configuration for Transcriptions and Annotations</w:t>
      </w:r>
    </w:p>
    <w:bookmarkStart w:id="807" w:name="Xb2c7997fea06ae41ffa5e3913c55fe46d9b2c07"/>
    <w:p>
      <w:pPr>
        <w:pStyle w:val="Heading2"/>
      </w:pPr>
      <w:r>
        <w:rPr>
          <w:rStyle w:val="SectionNumber"/>
        </w:rPr>
        <w:t xml:space="preserve">27.1</w:t>
      </w:r>
      <w:r>
        <w:tab/>
      </w:r>
      <w:r>
        <w:t xml:space="preserve">Introduction</w:t>
      </w:r>
    </w:p>
    <w:p>
      <w:pPr>
        <w:pStyle w:val="FirstParagraph"/>
      </w:pPr>
      <w:r>
        <w:t xml:space="preserve">This document outlines methods for typesetting transcriptions and annotations of old dictionaries using an environment comprising LuaTeX, Hanazono Mincho fonts, GlyphWiki, and the</w:t>
      </w:r>
      <w:r>
        <w:t xml:space="preserve"> </w:t>
      </w:r>
      <w:r>
        <w:rPr>
          <w:rStyle w:val="VerbatimChar"/>
        </w:rPr>
        <w:t xml:space="preserve">sfkanbun.sty</w:t>
      </w:r>
      <w:r>
        <w:t xml:space="preserve"> </w:t>
      </w:r>
      <w:r>
        <w:t xml:space="preserve">package.</w:t>
      </w:r>
    </w:p>
    <w:p>
      <w:pPr>
        <w:pStyle w:val="BodyText"/>
      </w:pPr>
      <w:r>
        <w:t xml:space="preserve">It is recommended to use LuaTeX via TeX Live and VS Code as the editor. Instructions for installing and using TeX Live and VS Code are widely available on the web and will be omitted here.</w:t>
      </w:r>
    </w:p>
    <w:bookmarkEnd w:id="807"/>
    <w:bookmarkStart w:id="808" w:name="Xe1a75f9cdedc37af5f21e993d277fc63eb71472"/>
    <w:p>
      <w:pPr>
        <w:pStyle w:val="Heading2"/>
      </w:pPr>
      <w:r>
        <w:rPr>
          <w:rStyle w:val="SectionNumber"/>
        </w:rPr>
        <w:t xml:space="preserve">27.2</w:t>
      </w:r>
      <w:r>
        <w:tab/>
      </w:r>
      <w:r>
        <w:t xml:space="preserve">Typesetting Transcriptions and Annotations</w:t>
      </w:r>
    </w:p>
    <w:p>
      <w:pPr>
        <w:pStyle w:val="FirstParagraph"/>
      </w:pPr>
      <w:r>
        <w:t xml:space="preserve">The transcriptions and annotations that have been created can be displayed and searched on the web.</w:t>
      </w:r>
    </w:p>
    <w:p>
      <w:pPr>
        <w:pStyle w:val="BodyText"/>
      </w:pPr>
      <w:r>
        <w:t xml:space="preserve">Separately from this, we will consider methods for typesetting the web content into a more readable, book-like format.</w:t>
      </w:r>
    </w:p>
    <w:p>
      <w:pPr>
        <w:pStyle w:val="BodyText"/>
      </w:pPr>
      <w:r>
        <w:t xml:space="preserve">Since the web content is written in Markdown, this can be addressed by converting it to an appropriate format.</w:t>
      </w:r>
    </w:p>
    <w:p>
      <w:pPr>
        <w:pStyle w:val="BodyText"/>
      </w:pPr>
      <w:r>
        <w:t xml:space="preserve">This section serves as a memorandum on a method using LuaLaTeX.</w:t>
      </w:r>
    </w:p>
    <w:bookmarkEnd w:id="808"/>
    <w:bookmarkStart w:id="814" w:name="Xf625d29e081d664e6b6aef4b48dd967119398a2"/>
    <w:p>
      <w:pPr>
        <w:pStyle w:val="Heading2"/>
      </w:pPr>
      <w:r>
        <w:rPr>
          <w:rStyle w:val="SectionNumber"/>
        </w:rPr>
        <w:t xml:space="preserve">27.3</w:t>
      </w:r>
      <w:r>
        <w:tab/>
      </w:r>
      <w:r>
        <w:t xml:space="preserve">Requirements for Typesetting Software</w:t>
      </w:r>
    </w:p>
    <w:p>
      <w:pPr>
        <w:pStyle w:val="FirstParagraph"/>
      </w:pPr>
      <w:r>
        <w:t xml:space="preserve">Old dictionaries and</w:t>
      </w:r>
      <w:r>
        <w:t xml:space="preserve"> </w:t>
      </w:r>
      <w:r>
        <w:rPr>
          <w:iCs/>
          <w:i/>
        </w:rPr>
        <w:t xml:space="preserve">kunten</w:t>
      </w:r>
      <w:r>
        <w:t xml:space="preserve"> </w:t>
      </w:r>
      <w:r>
        <w:t xml:space="preserve">materials (訓点資料, documents annotated with guiding marks for reading Chinese texts in Japanese) often contain many complex</w:t>
      </w:r>
      <w:r>
        <w:t xml:space="preserve"> </w:t>
      </w:r>
      <w:r>
        <w:rPr>
          <w:rStyle w:val="VerbatimChar"/>
          <w:bCs/>
          <w:b/>
        </w:rPr>
        <w:t xml:space="preserve">Hanzi (Chinese characters)</w:t>
      </w:r>
      <w:r>
        <w:t xml:space="preserve">, and their texts, including features like</w:t>
      </w:r>
      <w:r>
        <w:t xml:space="preserve"> </w:t>
      </w:r>
      <w:r>
        <w:rPr>
          <w:rStyle w:val="VerbatimChar"/>
          <w:bCs/>
          <w:b/>
        </w:rPr>
        <w:t xml:space="preserve">Interlinear Notes</w:t>
      </w:r>
      <w:r>
        <w:t xml:space="preserve"> </w:t>
      </w:r>
      <w:r>
        <w:t xml:space="preserve">(割注,</w:t>
      </w:r>
      <w:r>
        <w:t xml:space="preserve"> </w:t>
      </w:r>
      <w:r>
        <w:rPr>
          <w:iCs/>
          <w:i/>
        </w:rPr>
        <w:t xml:space="preserve">warichū</w:t>
      </w:r>
      <w:r>
        <w:t xml:space="preserve">) and side-line</w:t>
      </w:r>
      <w:r>
        <w:t xml:space="preserve"> </w:t>
      </w:r>
      <w:r>
        <w:rPr>
          <w:iCs/>
          <w:i/>
        </w:rPr>
        <w:t xml:space="preserve">kun</w:t>
      </w:r>
      <w:r>
        <w:t xml:space="preserve"> </w:t>
      </w:r>
      <w:r>
        <w:t xml:space="preserve">readings (傍訓,</w:t>
      </w:r>
      <w:r>
        <w:t xml:space="preserve"> </w:t>
      </w:r>
      <w:r>
        <w:rPr>
          <w:iCs/>
          <w:i/>
        </w:rPr>
        <w:t xml:space="preserve">bōkun</w:t>
      </w:r>
      <w:r>
        <w:t xml:space="preserve">), can be intricate.</w:t>
      </w:r>
    </w:p>
    <w:p>
      <w:pPr>
        <w:pStyle w:val="BodyText"/>
      </w:pPr>
      <w:r>
        <w:t xml:space="preserve">For displaying and printing rare or complex characters, it is essential to be able to easily use the following two resources:</w:t>
      </w:r>
    </w:p>
    <w:p>
      <w:pPr>
        <w:numPr>
          <w:ilvl w:val="0"/>
          <w:numId w:val="1257"/>
        </w:numPr>
        <w:pStyle w:val="Compact"/>
      </w:pPr>
      <w:r>
        <w:t xml:space="preserve">Hanazono Mincho (花園明朝) fonts</w:t>
      </w:r>
    </w:p>
    <w:p>
      <w:pPr>
        <w:numPr>
          <w:ilvl w:val="0"/>
          <w:numId w:val="1257"/>
        </w:numPr>
        <w:pStyle w:val="Compact"/>
      </w:pPr>
      <w:r>
        <w:t xml:space="preserve">GlyphWiki</w:t>
      </w:r>
    </w:p>
    <w:p>
      <w:pPr>
        <w:pStyle w:val="FirstParagraph"/>
      </w:pPr>
      <w:r>
        <w:t xml:space="preserve">To utilize both of these resources, LuaLaTeX appears to be a suitable choice. While upLaTeX might also be usable, configuring it to work with these resources seems likely to be a challenging endeavor.</w:t>
      </w:r>
    </w:p>
    <w:p>
      <w:pPr>
        <w:pStyle w:val="BodyText"/>
      </w:pPr>
      <w:r>
        <w:t xml:space="preserve">For complex typesetting features such as</w:t>
      </w:r>
      <w:r>
        <w:t xml:space="preserve"> </w:t>
      </w:r>
      <w:r>
        <w:rPr>
          <w:rStyle w:val="VerbatimChar"/>
          <w:bCs/>
          <w:b/>
        </w:rPr>
        <w:t xml:space="preserve">Interlinear Notes</w:t>
      </w:r>
      <w:r>
        <w:t xml:space="preserve"> </w:t>
      </w:r>
      <w:r>
        <w:t xml:space="preserve">and side-line</w:t>
      </w:r>
      <w:r>
        <w:t xml:space="preserve"> </w:t>
      </w:r>
      <w:r>
        <w:rPr>
          <w:iCs/>
          <w:i/>
        </w:rPr>
        <w:t xml:space="preserve">kun</w:t>
      </w:r>
      <w:r>
        <w:t xml:space="preserve"> </w:t>
      </w:r>
      <w:r>
        <w:t xml:space="preserve">readings, macro files can be used. Several such files have been publicly released:</w:t>
      </w:r>
    </w:p>
    <w:p>
      <w:pPr>
        <w:numPr>
          <w:ilvl w:val="0"/>
          <w:numId w:val="1258"/>
        </w:numPr>
        <w:pStyle w:val="Compact"/>
      </w:pPr>
      <w:r>
        <w:rPr>
          <w:rStyle w:val="VerbatimChar"/>
        </w:rPr>
        <w:t xml:space="preserve">kunten2e.sty</w:t>
      </w:r>
      <w:r>
        <w:t xml:space="preserve">: A style file for</w:t>
      </w:r>
      <w:r>
        <w:t xml:space="preserve"> </w:t>
      </w:r>
      <w:r>
        <w:rPr>
          <w:iCs/>
          <w:i/>
        </w:rPr>
        <w:t xml:space="preserve">kunten</w:t>
      </w:r>
      <w:r>
        <w:t xml:space="preserve"> </w:t>
      </w:r>
      <w:r>
        <w:t xml:space="preserve">materials.</w:t>
      </w:r>
    </w:p>
    <w:p>
      <w:pPr>
        <w:numPr>
          <w:ilvl w:val="0"/>
          <w:numId w:val="1258"/>
        </w:numPr>
        <w:pStyle w:val="Compact"/>
      </w:pPr>
      <w:r>
        <w:rPr>
          <w:rStyle w:val="VerbatimChar"/>
        </w:rPr>
        <w:t xml:space="preserve">sfkanbun.sty</w:t>
      </w:r>
      <w:r>
        <w:t xml:space="preserve">: The sfkanbun package (for Kanbun texts).</w:t>
      </w:r>
    </w:p>
    <w:p>
      <w:pPr>
        <w:pStyle w:val="FirstParagraph"/>
      </w:pPr>
      <w:r>
        <w:t xml:space="preserve">Both of these can be used with upLaTeX. However, they cannot be used directly with LuaLaTeX as is. After some investigation, it was found that</w:t>
      </w:r>
      <w:r>
        <w:t xml:space="preserve"> </w:t>
      </w:r>
      <w:r>
        <w:rPr>
          <w:rStyle w:val="VerbatimChar"/>
        </w:rPr>
        <w:t xml:space="preserve">sfkanbun.sty</w:t>
      </w:r>
      <w:r>
        <w:t xml:space="preserve"> </w:t>
      </w:r>
      <w:r>
        <w:t xml:space="preserve">can be made compatible with LuaLaTeX by modifying its files slightly. The necessary modifications are minimal.</w:t>
      </w:r>
    </w:p>
    <w:p>
      <w:pPr>
        <w:pStyle w:val="BodyText"/>
      </w:pPr>
      <w:r>
        <w:t xml:space="preserve">It has been over 20 years since I last created document files using LaTeX. At that time, I utilized the following combination:</w:t>
      </w:r>
    </w:p>
    <w:p>
      <w:pPr>
        <w:numPr>
          <w:ilvl w:val="0"/>
          <w:numId w:val="1259"/>
        </w:numPr>
        <w:pStyle w:val="Compact"/>
      </w:pPr>
      <w:r>
        <w:rPr>
          <w:rStyle w:val="VerbatimChar"/>
        </w:rPr>
        <w:t xml:space="preserve">kunten2e.sty</w:t>
      </w:r>
      <w:r>
        <w:t xml:space="preserve">: The style file for</w:t>
      </w:r>
      <w:r>
        <w:t xml:space="preserve"> </w:t>
      </w:r>
      <w:r>
        <w:rPr>
          <w:iCs/>
          <w:i/>
        </w:rPr>
        <w:t xml:space="preserve">kunten</w:t>
      </w:r>
      <w:r>
        <w:t xml:space="preserve"> </w:t>
      </w:r>
      <w:r>
        <w:t xml:space="preserve">materials.</w:t>
      </w:r>
    </w:p>
    <w:p>
      <w:pPr>
        <w:numPr>
          <w:ilvl w:val="0"/>
          <w:numId w:val="1259"/>
        </w:numPr>
        <w:pStyle w:val="Compact"/>
      </w:pPr>
      <w:r>
        <w:rPr>
          <w:rStyle w:val="VerbatimChar"/>
        </w:rPr>
        <w:t xml:space="preserve">mojikyo.sty</w:t>
      </w:r>
      <w:r>
        <w:t xml:space="preserve">: For using Mojikyo fonts.</w:t>
      </w:r>
    </w:p>
    <w:p>
      <w:pPr>
        <w:pStyle w:val="FirstParagraph"/>
      </w:pPr>
      <w:r>
        <w:t xml:space="preserve">It would be convenient if LaTeX document files written with these two could be made usable with only minor revisions. In other words, easy reuse of older LaTeX document files is preferable.</w:t>
      </w:r>
    </w:p>
    <w:p>
      <w:pPr>
        <w:pStyle w:val="BodyText"/>
      </w:pPr>
      <w:r>
        <w:t xml:space="preserve">Migrating from</w:t>
      </w:r>
      <w:r>
        <w:t xml:space="preserve"> </w:t>
      </w:r>
      <w:r>
        <w:rPr>
          <w:rStyle w:val="VerbatimChar"/>
        </w:rPr>
        <w:t xml:space="preserve">kunten2e.sty</w:t>
      </w:r>
      <w:r>
        <w:t xml:space="preserve"> </w:t>
      </w:r>
      <w:r>
        <w:t xml:space="preserve">to</w:t>
      </w:r>
      <w:r>
        <w:t xml:space="preserve"> </w:t>
      </w:r>
      <w:r>
        <w:rPr>
          <w:rStyle w:val="VerbatimChar"/>
        </w:rPr>
        <w:t xml:space="preserve">sfkanbun.sty</w:t>
      </w:r>
      <w:r>
        <w:t xml:space="preserve"> </w:t>
      </w:r>
      <w:r>
        <w:t xml:space="preserve">appears to be relatively straightforward.</w:t>
      </w:r>
    </w:p>
    <w:p>
      <w:pPr>
        <w:pStyle w:val="BodyText"/>
      </w:pPr>
      <w:r>
        <w:t xml:space="preserve">While</w:t>
      </w:r>
      <w:r>
        <w:t xml:space="preserve"> </w:t>
      </w:r>
      <w:r>
        <w:rPr>
          <w:rStyle w:val="VerbatimChar"/>
        </w:rPr>
        <w:t xml:space="preserve">mojikyo.sty</w:t>
      </w:r>
      <w:r>
        <w:t xml:space="preserve"> </w:t>
      </w:r>
      <w:r>
        <w:t xml:space="preserve">was useful when Unicode</w:t>
      </w:r>
      <w:r>
        <w:t xml:space="preserve"> </w:t>
      </w:r>
      <w:r>
        <w:rPr>
          <w:rStyle w:val="VerbatimChar"/>
          <w:bCs/>
          <w:b/>
        </w:rPr>
        <w:t xml:space="preserve">Hanzi (Chinese characters)</w:t>
      </w:r>
      <w:r>
        <w:t xml:space="preserve"> </w:t>
      </w:r>
      <w:r>
        <w:t xml:space="preserve">could not be freely used, it is no longer necessary now that Unicode</w:t>
      </w:r>
      <w:r>
        <w:t xml:space="preserve"> </w:t>
      </w:r>
      <w:r>
        <w:rPr>
          <w:rStyle w:val="VerbatimChar"/>
          <w:bCs/>
          <w:b/>
        </w:rPr>
        <w:t xml:space="preserve">Hanzi (Chinese characters)</w:t>
      </w:r>
      <w:r>
        <w:t xml:space="preserve"> </w:t>
      </w:r>
      <w:r>
        <w:t xml:space="preserve">can be input and processed directly.</w:t>
      </w:r>
    </w:p>
    <w:p>
      <w:pPr>
        <w:pStyle w:val="BodyText"/>
      </w:pPr>
      <w:r>
        <w:t xml:space="preserve">The approach would be to enable the use of Hanazono Mincho fonts and then utilize</w:t>
      </w:r>
      <w:r>
        <w:t xml:space="preserve"> </w:t>
      </w:r>
      <w:r>
        <w:rPr>
          <w:rStyle w:val="VerbatimChar"/>
        </w:rPr>
        <w:t xml:space="preserve">bxglyphwiki.sty</w:t>
      </w:r>
      <w:r>
        <w:t xml:space="preserve">, which is compatible with LuaLaTeX, for GlyphWiki integration.</w:t>
      </w:r>
    </w:p>
    <w:p>
      <w:pPr>
        <w:numPr>
          <w:ilvl w:val="0"/>
          <w:numId w:val="1260"/>
        </w:numPr>
        <w:pStyle w:val="Compact"/>
      </w:pPr>
      <w:hyperlink r:id="rId809">
        <w:r>
          <w:rPr>
            <w:rStyle w:val="Hyperlink"/>
          </w:rPr>
          <w:t xml:space="preserve">Setting up Hanazono Mincho</w:t>
        </w:r>
      </w:hyperlink>
    </w:p>
    <w:p>
      <w:pPr>
        <w:numPr>
          <w:ilvl w:val="0"/>
          <w:numId w:val="1260"/>
        </w:numPr>
        <w:pStyle w:val="Compact"/>
      </w:pPr>
      <w:hyperlink r:id="rId810">
        <w:r>
          <w:rPr>
            <w:rStyle w:val="Hyperlink"/>
          </w:rPr>
          <w:t xml:space="preserve">Setting up GlyphWiki</w:t>
        </w:r>
      </w:hyperlink>
    </w:p>
    <w:p>
      <w:pPr>
        <w:numPr>
          <w:ilvl w:val="0"/>
          <w:numId w:val="1260"/>
        </w:numPr>
        <w:pStyle w:val="Compact"/>
      </w:pPr>
      <w:hyperlink r:id="rId811">
        <w:r>
          <w:rPr>
            <w:rStyle w:val="Hyperlink"/>
          </w:rPr>
          <w:t xml:space="preserve">Setting up sfkanbun.sty</w:t>
        </w:r>
      </w:hyperlink>
    </w:p>
    <w:p>
      <w:pPr>
        <w:numPr>
          <w:ilvl w:val="0"/>
          <w:numId w:val="1260"/>
        </w:numPr>
        <w:pStyle w:val="Compact"/>
      </w:pPr>
      <w:hyperlink r:id="rId812">
        <w:r>
          <w:rPr>
            <w:rStyle w:val="Hyperlink"/>
          </w:rPr>
          <w:t xml:space="preserve">A Memorandum on LuaTeX Typesetting for Old Dictionaries and Kunten Materials</w:t>
        </w:r>
      </w:hyperlink>
    </w:p>
    <w:p>
      <w:pPr>
        <w:numPr>
          <w:ilvl w:val="0"/>
          <w:numId w:val="1260"/>
        </w:numPr>
        <w:pStyle w:val="Compact"/>
      </w:pPr>
      <w:hyperlink r:id="rId813">
        <w:r>
          <w:rPr>
            <w:rStyle w:val="Hyperlink"/>
          </w:rPr>
          <w:t xml:space="preserve">Online Tools</w:t>
        </w:r>
      </w:hyperlink>
    </w:p>
    <w:bookmarkEnd w:id="814"/>
    <w:bookmarkEnd w:id="815"/>
    <w:bookmarkEnd w:id="816"/>
    <w:bookmarkStart w:id="826" w:name="Xfa46ab8d688f3c854d237fb8677b28cf13b232a"/>
    <w:bookmarkStart w:id="825" w:name="X960411a8d2c96b2ec5ac44ddac622ced932b810"/>
    <w:p>
      <w:pPr>
        <w:pStyle w:val="Heading1"/>
      </w:pPr>
      <w:r>
        <w:rPr>
          <w:rStyle w:val="SectionNumber"/>
        </w:rPr>
        <w:t xml:space="preserve">28</w:t>
      </w:r>
      <w:r>
        <w:tab/>
      </w:r>
      <w:r>
        <w:t xml:space="preserve">Setting up Hanazono Mincho</w:t>
      </w:r>
    </w:p>
    <w:bookmarkStart w:id="818" w:name="X96c3204cf26676f35aba7d08bfde4d76df93196"/>
    <w:p>
      <w:pPr>
        <w:pStyle w:val="Heading2"/>
      </w:pPr>
      <w:r>
        <w:rPr>
          <w:rStyle w:val="SectionNumber"/>
        </w:rPr>
        <w:t xml:space="preserve">28.1</w:t>
      </w:r>
      <w:r>
        <w:tab/>
      </w:r>
      <w:r>
        <w:t xml:space="preserve">Prerequisites</w:t>
      </w:r>
    </w:p>
    <w:p>
      <w:pPr>
        <w:pStyle w:val="FirstParagraph"/>
      </w:pPr>
      <w:r>
        <w:t xml:space="preserve">Ensure that</w:t>
      </w:r>
      <w:r>
        <w:t xml:space="preserve"> </w:t>
      </w:r>
      <w:hyperlink r:id="rId817">
        <w:r>
          <w:rPr>
            <w:rStyle w:val="Hyperlink"/>
          </w:rPr>
          <w:t xml:space="preserve">TeX Live</w:t>
        </w:r>
      </w:hyperlink>
      <w:r>
        <w:t xml:space="preserve"> </w:t>
      </w:r>
      <w:r>
        <w:t xml:space="preserve">is set up and ready to use.</w:t>
      </w:r>
    </w:p>
    <w:bookmarkEnd w:id="818"/>
    <w:bookmarkStart w:id="820" w:name="X4e7bc34f3bdd40443a530d68a43e40f8c109a4a"/>
    <w:p>
      <w:pPr>
        <w:pStyle w:val="Heading2"/>
      </w:pPr>
      <w:r>
        <w:rPr>
          <w:rStyle w:val="SectionNumber"/>
        </w:rPr>
        <w:t xml:space="preserve">28.2</w:t>
      </w:r>
      <w:r>
        <w:tab/>
      </w:r>
      <w:r>
        <w:t xml:space="preserve">Hanazono Fonts</w:t>
      </w:r>
    </w:p>
    <w:p>
      <w:pPr>
        <w:pStyle w:val="FirstParagraph"/>
      </w:pPr>
      <w:r>
        <w:t xml:space="preserve">Install the</w:t>
      </w:r>
      <w:r>
        <w:t xml:space="preserve"> </w:t>
      </w:r>
      <w:hyperlink r:id="rId819">
        <w:r>
          <w:rPr>
            <w:rStyle w:val="Hyperlink"/>
          </w:rPr>
          <w:t xml:space="preserve">Hanazono Mincho fonts</w:t>
        </w:r>
      </w:hyperlink>
      <w:r>
        <w:t xml:space="preserve"> </w:t>
      </w:r>
      <w:r>
        <w:t xml:space="preserve">on your computer.</w:t>
      </w:r>
    </w:p>
    <w:bookmarkEnd w:id="820"/>
    <w:bookmarkStart w:id="822" w:name="X67ae2458851cc195c928c1401b57efe490f6bfd"/>
    <w:p>
      <w:pPr>
        <w:pStyle w:val="Heading2"/>
      </w:pPr>
      <w:r>
        <w:rPr>
          <w:rStyle w:val="SectionNumber"/>
        </w:rPr>
        <w:t xml:space="preserve">28.3</w:t>
      </w:r>
      <w:r>
        <w:tab/>
      </w:r>
      <w:r>
        <w:t xml:space="preserve">Browser Confirmation</w:t>
      </w:r>
    </w:p>
    <w:p>
      <w:pPr>
        <w:pStyle w:val="FirstParagraph"/>
      </w:pPr>
      <w:r>
        <w:t xml:space="preserve">For example, open</w:t>
      </w:r>
      <w:r>
        <w:t xml:space="preserve"> </w:t>
      </w:r>
      <w:hyperlink r:id="rId821">
        <w:r>
          <w:rPr>
            <w:rStyle w:val="Hyperlink"/>
          </w:rPr>
          <w:t xml:space="preserve">a page from the ctext.org Dictionary (e.g., radicals section)</w:t>
        </w:r>
      </w:hyperlink>
      <w:r>
        <w:t xml:space="preserve"> </w:t>
      </w:r>
      <w:r>
        <w:t xml:space="preserve">in the Chrome browser.</w:t>
      </w:r>
      <w:r>
        <w:t xml:space="preserve"> </w:t>
      </w:r>
      <w:r>
        <w:t xml:space="preserve">Confirm that the list of</w:t>
      </w:r>
      <w:r>
        <w:t xml:space="preserve"> </w:t>
      </w:r>
      <w:r>
        <w:rPr>
          <w:rStyle w:val="VerbatimChar"/>
          <w:bCs/>
          <w:b/>
        </w:rPr>
        <w:t xml:space="preserve">Hanzi (Chinese characters)</w:t>
      </w:r>
      <w:r>
        <w:t xml:space="preserve"> </w:t>
      </w:r>
      <w:r>
        <w:t xml:space="preserve">is displayed correctly.</w:t>
      </w:r>
    </w:p>
    <w:bookmarkEnd w:id="822"/>
    <w:bookmarkStart w:id="823" w:name="Xe0ebf571c2edd11ae5da7c6fcb877b592be952c"/>
    <w:p>
      <w:pPr>
        <w:pStyle w:val="Heading2"/>
      </w:pPr>
      <w:r>
        <w:rPr>
          <w:rStyle w:val="SectionNumber"/>
        </w:rPr>
        <w:t xml:space="preserve">28.4</w:t>
      </w:r>
      <w:r>
        <w:tab/>
      </w:r>
      <w:r>
        <w:t xml:space="preserve">Installing Hanazono Fonts in TeX Live</w:t>
      </w:r>
    </w:p>
    <w:p>
      <w:pPr>
        <w:pStyle w:val="FirstParagraph"/>
      </w:pPr>
      <w:r>
        <w:t xml:space="preserve">To add fonts to TeX Live, place them in the</w:t>
      </w:r>
      <w:r>
        <w:t xml:space="preserve"> </w:t>
      </w:r>
      <w:r>
        <w:rPr>
          <w:rStyle w:val="VerbatimChar"/>
        </w:rPr>
        <w:t xml:space="preserve">fonts</w:t>
      </w:r>
      <w:r>
        <w:t xml:space="preserve"> </w:t>
      </w:r>
      <w:r>
        <w:t xml:space="preserve">directory located under the</w:t>
      </w:r>
      <w:r>
        <w:t xml:space="preserve"> </w:t>
      </w:r>
      <w:r>
        <w:rPr>
          <w:rStyle w:val="VerbatimChar"/>
        </w:rPr>
        <w:t xml:space="preserve">texmf-local</w:t>
      </w:r>
      <w:r>
        <w:t xml:space="preserve"> </w:t>
      </w:r>
      <w:r>
        <w:t xml:space="preserve">directory. Within the</w:t>
      </w:r>
      <w:r>
        <w:t xml:space="preserve"> </w:t>
      </w:r>
      <w:r>
        <w:rPr>
          <w:rStyle w:val="VerbatimChar"/>
        </w:rPr>
        <w:t xml:space="preserve">fonts</w:t>
      </w:r>
      <w:r>
        <w:t xml:space="preserve"> </w:t>
      </w:r>
      <w:r>
        <w:t xml:space="preserve">directory, there should be an</w:t>
      </w:r>
      <w:r>
        <w:t xml:space="preserve"> </w:t>
      </w:r>
      <w:r>
        <w:rPr>
          <w:rStyle w:val="VerbatimChar"/>
        </w:rPr>
        <w:t xml:space="preserve">opentype</w:t>
      </w:r>
      <w:r>
        <w:t xml:space="preserve"> </w:t>
      </w:r>
      <w:r>
        <w:t xml:space="preserve">subdirectory; placing the font files there should suffice. The exact location of the</w:t>
      </w:r>
      <w:r>
        <w:t xml:space="preserve"> </w:t>
      </w:r>
      <w:r>
        <w:rPr>
          <w:rStyle w:val="VerbatimChar"/>
        </w:rPr>
        <w:t xml:space="preserve">fonts</w:t>
      </w:r>
      <w:r>
        <w:t xml:space="preserve"> </w:t>
      </w:r>
      <w:r>
        <w:t xml:space="preserve">directory may vary depending on your system configuration.</w:t>
      </w:r>
    </w:p>
    <w:p>
      <w:pPr>
        <w:pStyle w:val="BodyText"/>
      </w:pPr>
      <w:r>
        <w:t xml:space="preserve">In my specific environment—TeX Live installed on Ubuntu via WSL (Windows Subsystem for Linux) on Windows 11—I placed</w:t>
      </w:r>
      <w:r>
        <w:t xml:space="preserve"> </w:t>
      </w:r>
      <w:r>
        <w:rPr>
          <w:rStyle w:val="VerbatimChar"/>
        </w:rPr>
        <w:t xml:space="preserve">HanaMinA.ttf</w:t>
      </w:r>
      <w:r>
        <w:t xml:space="preserve"> </w:t>
      </w:r>
      <w:r>
        <w:t xml:space="preserve">and</w:t>
      </w:r>
      <w:r>
        <w:t xml:space="preserve"> </w:t>
      </w:r>
      <w:r>
        <w:rPr>
          <w:rStyle w:val="VerbatimChar"/>
        </w:rPr>
        <w:t xml:space="preserve">HanaMinB.ttf</w:t>
      </w:r>
      <w:r>
        <w:t xml:space="preserve"> </w:t>
      </w:r>
      <w:r>
        <w:t xml:space="preserve">into the following directory:</w:t>
      </w:r>
    </w:p>
    <w:p>
      <w:pPr>
        <w:pStyle w:val="SourceCode"/>
      </w:pPr>
      <w:r>
        <w:rPr>
          <w:rStyle w:val="VerbatimChar"/>
        </w:rPr>
        <w:t xml:space="preserve">/usr/local/texlive/texmf-local/fonts/opentype/hanazono</w:t>
      </w:r>
    </w:p>
    <w:bookmarkEnd w:id="823"/>
    <w:bookmarkStart w:id="824" w:name="Xcd2896a219bd4bff63e2a9263fbecc2aef3db6d"/>
    <w:p>
      <w:pPr>
        <w:pStyle w:val="Heading2"/>
      </w:pPr>
      <w:r>
        <w:rPr>
          <w:rStyle w:val="SectionNumber"/>
        </w:rPr>
        <w:t xml:space="preserve">28.5</w:t>
      </w:r>
      <w:r>
        <w:tab/>
      </w:r>
      <w:r>
        <w:t xml:space="preserve">LuaLaTeX Sample File</w:t>
      </w:r>
    </w:p>
    <w:p>
      <w:pPr>
        <w:pStyle w:val="FirstParagraph"/>
      </w:pPr>
      <w:r>
        <w:t xml:space="preserve">Save the following content as a file named, for example,</w:t>
      </w:r>
      <w:r>
        <w:t xml:space="preserve"> </w:t>
      </w:r>
      <w:r>
        <w:rPr>
          <w:rStyle w:val="VerbatimChar"/>
        </w:rPr>
        <w:t xml:space="preserve">sample1.tex</w:t>
      </w:r>
      <w:r>
        <w:t xml:space="preserve">, and then generate a PDF file using LuaLaTeX:</w:t>
      </w:r>
    </w:p>
    <w:p>
      <w:pPr>
        <w:pStyle w:val="SourceCode"/>
      </w:pPr>
      <w:r>
        <w:rPr>
          <w:rStyle w:val="VerbatimChar"/>
        </w:rPr>
        <w:t xml:space="preserve">$ lualatex sample1.tex</w:t>
      </w:r>
    </w:p>
    <w:p>
      <w:pPr>
        <w:pStyle w:val="FirstParagraph"/>
      </w:pPr>
      <w:r>
        <w:t xml:space="preserve">Although the text is short, compilation may take a little while. It might be around a minute or so, but it is not generated instantaneously.</w:t>
      </w:r>
    </w:p>
    <w:p>
      <w:pPr>
        <w:pStyle w:val="SourceCode"/>
      </w:pPr>
      <w:r>
        <w:rPr>
          <w:rStyle w:val="BuiltInTok"/>
        </w:rPr>
        <w:t xml:space="preserve">\documentclass</w:t>
      </w:r>
      <w:r>
        <w:rPr>
          <w:rStyle w:val="NormalTok"/>
        </w:rPr>
        <w:t xml:space="preserve">{</w:t>
      </w:r>
      <w:r>
        <w:rPr>
          <w:rStyle w:val="ExtensionTok"/>
        </w:rPr>
        <w:t xml:space="preserve">jlreq</w:t>
      </w:r>
      <w:r>
        <w:rPr>
          <w:rStyle w:val="NormalTok"/>
        </w:rPr>
        <w:t xml:space="preserve">}</w:t>
      </w:r>
      <w:r>
        <w:br/>
      </w:r>
      <w:r>
        <w:rPr>
          <w:rStyle w:val="BuiltInTok"/>
        </w:rPr>
        <w:t xml:space="preserve">\usepackage</w:t>
      </w:r>
      <w:r>
        <w:rPr>
          <w:rStyle w:val="NormalTok"/>
        </w:rPr>
        <w:t xml:space="preserve">{</w:t>
      </w:r>
      <w:r>
        <w:rPr>
          <w:rStyle w:val="ExtensionTok"/>
        </w:rPr>
        <w:t xml:space="preserve">luatexja-fontspec</w:t>
      </w:r>
      <w:r>
        <w:rPr>
          <w:rStyle w:val="NormalTok"/>
        </w:rPr>
        <w:t xml:space="preserve">}</w:t>
      </w:r>
      <w:r>
        <w:br/>
      </w:r>
      <w:r>
        <w:rPr>
          <w:rStyle w:val="CommentTok"/>
        </w:rPr>
        <w:t xml:space="preserve">% A setting where: HanaMinA is used for BMP (Basic Multilingual Plane) characters and HanaMinB is used for SIP (Supplementary Ideographic Plane) characters; however, these are to be replaced by IPAexMincho if possible.</w:t>
      </w:r>
      <w:r>
        <w:br/>
      </w:r>
      <w:r>
        <w:rPr>
          <w:rStyle w:val="FunctionTok"/>
        </w:rPr>
        <w:t xml:space="preserve">\setmainjfont</w:t>
      </w:r>
      <w:r>
        <w:rPr>
          <w:rStyle w:val="NormalTok"/>
        </w:rPr>
        <w:t xml:space="preserve">[AltFont={</w:t>
      </w:r>
      <w:r>
        <w:br/>
      </w:r>
      <w:r>
        <w:rPr>
          <w:rStyle w:val="NormalTok"/>
        </w:rPr>
        <w:t xml:space="preserve">  {Range="20000-"2FFFF, Font=HanaMinB},</w:t>
      </w:r>
      <w:r>
        <w:br/>
      </w:r>
      <w:r>
        <w:rPr>
          <w:rStyle w:val="NormalTok"/>
        </w:rPr>
        <w:t xml:space="preserve">  {Range="0080-"FFFF, Font=IPAexMincho},</w:t>
      </w:r>
      <w:r>
        <w:br/>
      </w:r>
      <w:r>
        <w:rPr>
          <w:rStyle w:val="NormalTok"/>
        </w:rPr>
        <w:t xml:space="preserve">}]{HanaMinA}</w:t>
      </w:r>
      <w:r>
        <w:br/>
      </w:r>
      <w:r>
        <w:rPr>
          <w:rStyle w:val="CommentTok"/>
        </w:rPr>
        <w:t xml:space="preserve">% Hanazono Mincho AFDKO version 2017-06-20</w:t>
      </w:r>
      <w:r>
        <w:br/>
      </w:r>
      <w:r>
        <w:rPr>
          <w:rStyle w:val="KeywordTok"/>
        </w:rPr>
        <w:t xml:space="preserve">\begin</w:t>
      </w:r>
      <w:r>
        <w:rPr>
          <w:rStyle w:val="NormalTok"/>
        </w:rPr>
        <w:t xml:space="preserve">{</w:t>
      </w:r>
      <w:r>
        <w:rPr>
          <w:rStyle w:val="ExtensionTok"/>
        </w:rPr>
        <w:t xml:space="preserve">document</w:t>
      </w:r>
      <w:r>
        <w:rPr>
          <w:rStyle w:val="NormalTok"/>
        </w:rPr>
        <w:t xml:space="preserve">}</w:t>
      </w:r>
      <w:r>
        <w:br/>
      </w:r>
      <w:r>
        <w:br/>
      </w:r>
      <w:r>
        <w:rPr>
          <w:rStyle w:val="NormalTok"/>
        </w:rPr>
        <w:t xml:space="preserve">This data is from ctext.org.</w:t>
      </w:r>
      <w:r>
        <w:br/>
      </w:r>
      <w:r>
        <w:br/>
      </w:r>
      <w:r>
        <w:rPr>
          <w:rStyle w:val="NormalTok"/>
        </w:rPr>
        <w:t xml:space="preserve">It is the entry for '三' from the *Kangxi Dictionary* (康熙字典), section '一部' (the first radical section, *ichibu*).</w:t>
      </w:r>
      <w:r>
        <w:br/>
      </w:r>
      <w:r>
        <w:br/>
      </w:r>
      <w:r>
        <w:rPr>
          <w:rStyle w:val="NormalTok"/>
        </w:rPr>
        <w:t xml:space="preserve">Please confirm whether the first character of '𡘋與三同' is displayed correctly.</w:t>
      </w:r>
      <w:r>
        <w:br/>
      </w:r>
      <w:r>
        <w:br/>
      </w:r>
      <w:r>
        <w:rPr>
          <w:rStyle w:val="NormalTok"/>
        </w:rPr>
        <w:t xml:space="preserve">Kangxi: 《康熙字典·一部·二》三：〔古文〕弎《唐韻》《集韻》《韻會》蘇甘切《正韻》蘇監切，𡘋颯平聲。《說文》三，天地人之道也。謂以陽之一合隂之二，次第重之，其數三也。《老子·道德經》一生二，二生三，三生萬物。《史記·律書》數始於一，終於十，成於三。又《周禮·冬官考工記》凡兵無過三其身。又《左傳·昭七年》士文伯曰：政不可不愼，務三而已。一擇人，二因民，三從時。又《晉語》民生於三，事之如一。又《周語》人三爲衆，女三爲粲，獸三爲羣。又姓。明三成志。又漢複姓。屈原之後有三閭氏，三飯尞之後有三飯氏，三州孝子之後有三州氏。又去聲。《韻會》蘇暫切。《論語》三思而後行。又本作參。《博雅》參，三也。《周禮·冬官考工記》參分其股圍。《前漢·𠛬法志》秦造參夷之誅。𡘋與三同。又《韻補》叶疏簪切，音森。《詩·召南》摽有梅，其實三兮。下叶今。叁。</w:t>
      </w:r>
      <w:r>
        <w:rPr>
          <w:rStyle w:val="FunctionTok"/>
        </w:rPr>
        <w:t xml:space="preserve">\\</w:t>
      </w:r>
      <w:r>
        <w:br/>
      </w:r>
      <w:r>
        <w:br/>
      </w:r>
      <w:r>
        <w:rPr>
          <w:rStyle w:val="NormalTok"/>
        </w:rPr>
        <w:t xml:space="preserve">The following is a list from the '一部' section, ordered by radical and then by stroke count.</w:t>
      </w:r>
      <w:r>
        <w:br/>
      </w:r>
      <w:r>
        <w:br/>
      </w:r>
      <w:r>
        <w:rPr>
          <w:rStyle w:val="NormalTok"/>
        </w:rPr>
        <w:t xml:space="preserve">0 strokes:  一</w:t>
      </w:r>
      <w:r>
        <w:rPr>
          <w:rStyle w:val="FunctionTok"/>
        </w:rPr>
        <w:t xml:space="preserve">\\</w:t>
      </w:r>
      <w:r>
        <w:br/>
      </w:r>
      <w:r>
        <w:rPr>
          <w:rStyle w:val="NormalTok"/>
        </w:rPr>
        <w:t xml:space="preserve">1 strokes:  丁 丂 七 丄 丅 丆 𠀀 𠀁 𠀂 𫠠 𬺰</w:t>
      </w:r>
      <w:r>
        <w:rPr>
          <w:rStyle w:val="FunctionTok"/>
        </w:rPr>
        <w:t xml:space="preserve">\\</w:t>
      </w:r>
      <w:r>
        <w:br/>
      </w:r>
      <w:r>
        <w:rPr>
          <w:rStyle w:val="NormalTok"/>
        </w:rPr>
        <w:t xml:space="preserve">2 strokes:  万 丈 三 上 下 丌 亐 卄 𠀃 𠀄 𠀅 𠀆 𪜀 𪜁 𫝀 𬺱 𬺲 𬺳 𬺴</w:t>
      </w:r>
      <w:r>
        <w:rPr>
          <w:rStyle w:val="FunctionTok"/>
        </w:rPr>
        <w:t xml:space="preserve">\\</w:t>
      </w:r>
      <w:r>
        <w:br/>
      </w:r>
      <w:r>
        <w:rPr>
          <w:rStyle w:val="NormalTok"/>
        </w:rPr>
        <w:t xml:space="preserve">3 strokes:  不 与 丏 丐 丑 丒 专 丗 𠀇 𠀈 𠀉 𠀊 𠀋 𠀌 𪜂 𫠡 𬺵 𬺶 𬺷 𬺸 𬺹</w:t>
      </w:r>
      <w:r>
        <w:rPr>
          <w:rStyle w:val="FunctionTok"/>
        </w:rPr>
        <w:t xml:space="preserve">\\</w:t>
      </w:r>
      <w:r>
        <w:br/>
      </w:r>
      <w:r>
        <w:rPr>
          <w:rStyle w:val="NormalTok"/>
        </w:rPr>
        <w:t xml:space="preserve">4 strokes:  㐀 且 丕 世 丘 丙 业 丛 东 丝 𠀍 𠀎 𠀏 𠀐 𠀑 𠀒 𠀓 𠀔 𠀕 𠀖 𠀗 𫠢 𫠣 𬺺 𬺻 𬺼 𬺽 𬺾</w:t>
      </w:r>
      <w:r>
        <w:rPr>
          <w:rStyle w:val="FunctionTok"/>
        </w:rPr>
        <w:t xml:space="preserve">\\</w:t>
      </w:r>
      <w:r>
        <w:br/>
      </w:r>
      <w:r>
        <w:rPr>
          <w:rStyle w:val="NormalTok"/>
        </w:rPr>
        <w:t xml:space="preserve">5 strokes:  㐁 㐂 丞 丟 丠 両 丢 𠀘 𠀙 𠀚 𠀜 𠀞 𠀟 𠀠 𫝁 𫠤 𫠥 𬺿 𬻀 𬻁 𬻂 𬻃 𬻄 𬻅 𬻆 𬻇 𬻈 𬻉</w:t>
      </w:r>
      <w:r>
        <w:rPr>
          <w:rStyle w:val="FunctionTok"/>
        </w:rPr>
        <w:t xml:space="preserve">\\</w:t>
      </w:r>
      <w:r>
        <w:br/>
      </w:r>
      <w:r>
        <w:rPr>
          <w:rStyle w:val="NormalTok"/>
        </w:rPr>
        <w:t xml:space="preserve">6 strokes:  丣 两 严 丽 鿖 𠀡 𠀢 𠀣 𠀤 𠀦 𠀧 𠀨 𠀪 𠀫 𫝂 𫠦 𫠧 𫠨 𫠩 𬻊 𬻋 𬻌 𬻍 𬻎 𬻏 𬻐 𬻑 𬻒 丽</w:t>
      </w:r>
      <w:r>
        <w:rPr>
          <w:rStyle w:val="FunctionTok"/>
        </w:rPr>
        <w:t xml:space="preserve">\\</w:t>
      </w:r>
      <w:r>
        <w:br/>
      </w:r>
      <w:r>
        <w:rPr>
          <w:rStyle w:val="NormalTok"/>
        </w:rPr>
        <w:t xml:space="preserve">7 strokes:  並 丧 並 𠀬 𠀭 𠀮 𠀰 𠀱 𠀲 𠀳 𠀴 𪜃 𫠪 𫠫 𫠬 𫠭 𬻓 𬻔 𬻕 𬻖 𬻗 𬻘</w:t>
      </w:r>
      <w:r>
        <w:rPr>
          <w:rStyle w:val="FunctionTok"/>
        </w:rPr>
        <w:t xml:space="preserve">\\</w:t>
      </w:r>
      <w:r>
        <w:br/>
      </w:r>
      <w:r>
        <w:rPr>
          <w:rStyle w:val="NormalTok"/>
        </w:rPr>
        <w:t xml:space="preserve">8 strokes:  鿗 𠀵 𠀶 𠀸 𠀺 𠀻 𪜄 𫠮 𬻙 𬻚 𬻛 𬻜 𬻝</w:t>
      </w:r>
      <w:r>
        <w:rPr>
          <w:rStyle w:val="FunctionTok"/>
        </w:rPr>
        <w:t xml:space="preserve">\\</w:t>
      </w:r>
      <w:r>
        <w:br/>
      </w:r>
      <w:r>
        <w:rPr>
          <w:rStyle w:val="NormalTok"/>
        </w:rPr>
        <w:t xml:space="preserve">9 strokes:  𠀽 𠀾 𠀿 𠁀 𠤢 𪜅 𫠯 𫠰 𫠱 𫠲 𬻞 𬻟 𬻠</w:t>
      </w:r>
      <w:r>
        <w:rPr>
          <w:rStyle w:val="FunctionTok"/>
        </w:rPr>
        <w:t xml:space="preserve">\\</w:t>
      </w:r>
      <w:r>
        <w:br/>
      </w:r>
      <w:r>
        <w:rPr>
          <w:rStyle w:val="NormalTok"/>
        </w:rPr>
        <w:t xml:space="preserve">10 strokes: 𠁁 𠁂 𠁃 𠁄 𠁅 𪜆 𫠳 𫠴 𫠵 𬻡 𬻢 𬻣 𬻤 𬻥</w:t>
      </w:r>
      <w:r>
        <w:rPr>
          <w:rStyle w:val="FunctionTok"/>
        </w:rPr>
        <w:t xml:space="preserve">\\</w:t>
      </w:r>
      <w:r>
        <w:br/>
      </w:r>
      <w:r>
        <w:rPr>
          <w:rStyle w:val="NormalTok"/>
        </w:rPr>
        <w:t xml:space="preserve">11 strokes: 𠁆 𠁇 𠁈 𠁊 𠁋 𫠶 𬻦 𬻧 𬻨</w:t>
      </w:r>
      <w:r>
        <w:rPr>
          <w:rStyle w:val="FunctionTok"/>
        </w:rPr>
        <w:t xml:space="preserve">\\</w:t>
      </w:r>
      <w:r>
        <w:br/>
      </w:r>
      <w:r>
        <w:rPr>
          <w:rStyle w:val="NormalTok"/>
        </w:rPr>
        <w:t xml:space="preserve">12 strokes: 𠁌 𠁍 𫠷 𫠸 𫠹 𫠺 𫠻 𬻩 𬻪 𬻫 𬻬 𬻭 𬻮</w:t>
      </w:r>
      <w:r>
        <w:rPr>
          <w:rStyle w:val="FunctionTok"/>
        </w:rPr>
        <w:t xml:space="preserve">\\</w:t>
      </w:r>
      <w:r>
        <w:br/>
      </w:r>
      <w:r>
        <w:rPr>
          <w:rStyle w:val="NormalTok"/>
        </w:rPr>
        <w:t xml:space="preserve">13 strokes: 𠁎 𠁏 𠁐 𠁑 𠁒 𫝃 𫠼 𫠽 𬻯</w:t>
      </w:r>
      <w:r>
        <w:rPr>
          <w:rStyle w:val="FunctionTok"/>
        </w:rPr>
        <w:t xml:space="preserve">\\</w:t>
      </w:r>
      <w:r>
        <w:br/>
      </w:r>
      <w:r>
        <w:rPr>
          <w:rStyle w:val="NormalTok"/>
        </w:rPr>
        <w:t xml:space="preserve">14 strokes: 𠁓 𠁔 𫠾 𫠿 𬻰</w:t>
      </w:r>
      <w:r>
        <w:rPr>
          <w:rStyle w:val="FunctionTok"/>
        </w:rPr>
        <w:t xml:space="preserve">\\</w:t>
      </w:r>
      <w:r>
        <w:br/>
      </w:r>
      <w:r>
        <w:rPr>
          <w:rStyle w:val="NormalTok"/>
        </w:rPr>
        <w:t xml:space="preserve">15 strokes: 𠁕 𠁗 𠁘 𠁙 𠁚 𠁛 𠁝 𤳏 𪜇 𫡀</w:t>
      </w:r>
      <w:r>
        <w:rPr>
          <w:rStyle w:val="FunctionTok"/>
        </w:rPr>
        <w:t xml:space="preserve">\\</w:t>
      </w:r>
      <w:r>
        <w:br/>
      </w:r>
      <w:r>
        <w:rPr>
          <w:rStyle w:val="NormalTok"/>
        </w:rPr>
        <w:t xml:space="preserve">16 strokes: 𠁖</w:t>
      </w:r>
      <w:r>
        <w:rPr>
          <w:rStyle w:val="FunctionTok"/>
        </w:rPr>
        <w:t xml:space="preserve">\\</w:t>
      </w:r>
      <w:r>
        <w:br/>
      </w:r>
      <w:r>
        <w:rPr>
          <w:rStyle w:val="NormalTok"/>
        </w:rPr>
        <w:t xml:space="preserve">17 strokes: 𠁟 𫡁 𫡂</w:t>
      </w:r>
      <w:r>
        <w:rPr>
          <w:rStyle w:val="FunctionTok"/>
        </w:rPr>
        <w:t xml:space="preserve">\\</w:t>
      </w:r>
      <w:r>
        <w:br/>
      </w:r>
      <w:r>
        <w:rPr>
          <w:rStyle w:val="NormalTok"/>
        </w:rPr>
        <w:t xml:space="preserve">19 strokes: 𠁠</w:t>
      </w:r>
      <w:r>
        <w:rPr>
          <w:rStyle w:val="FunctionTok"/>
        </w:rPr>
        <w:t xml:space="preserve">\\</w:t>
      </w:r>
      <w:r>
        <w:br/>
      </w:r>
      <w:r>
        <w:rPr>
          <w:rStyle w:val="NormalTok"/>
        </w:rPr>
        <w:t xml:space="preserve">21 strokes: 𬻱</w:t>
      </w:r>
      <w:r>
        <w:rPr>
          <w:rStyle w:val="FunctionTok"/>
        </w:rPr>
        <w:t xml:space="preserve">\\</w:t>
      </w:r>
      <w:r>
        <w:br/>
      </w:r>
      <w:r>
        <w:rPr>
          <w:rStyle w:val="KeywordTok"/>
        </w:rPr>
        <w:t xml:space="preserve">\end</w:t>
      </w:r>
      <w:r>
        <w:rPr>
          <w:rStyle w:val="NormalTok"/>
        </w:rPr>
        <w:t xml:space="preserve">{</w:t>
      </w:r>
      <w:r>
        <w:rPr>
          <w:rStyle w:val="ExtensionTok"/>
        </w:rPr>
        <w:t xml:space="preserve">document</w:t>
      </w:r>
      <w:r>
        <w:rPr>
          <w:rStyle w:val="NormalTok"/>
        </w:rPr>
        <w:t xml:space="preserve">}</w:t>
      </w:r>
    </w:p>
    <w:p>
      <w:pPr>
        <w:pStyle w:val="FirstParagraph"/>
      </w:pPr>
      <w:r>
        <w:t xml:space="preserve">If this sample file is processed successfully, you can then modify and adapt it as needed.</w:t>
      </w:r>
    </w:p>
    <w:bookmarkEnd w:id="824"/>
    <w:bookmarkEnd w:id="825"/>
    <w:bookmarkEnd w:id="826"/>
    <w:bookmarkStart w:id="832" w:name="X4deae2c8586fcc457fc934ff16ac7d691cb2e7f"/>
    <w:bookmarkStart w:id="831" w:name="X8228b1762aa027bc235c149be1187601e3f8249"/>
    <w:p>
      <w:pPr>
        <w:pStyle w:val="Heading1"/>
      </w:pPr>
      <w:r>
        <w:rPr>
          <w:rStyle w:val="SectionNumber"/>
        </w:rPr>
        <w:t xml:space="preserve">29</w:t>
      </w:r>
      <w:r>
        <w:tab/>
      </w:r>
      <w:r>
        <w:t xml:space="preserve">Setting up GlyphWiki</w:t>
      </w:r>
    </w:p>
    <w:bookmarkStart w:id="829" w:name="X57594d73ef7332d9e8885977c95e00e1c32cf23"/>
    <w:p>
      <w:pPr>
        <w:pStyle w:val="Heading2"/>
      </w:pPr>
      <w:r>
        <w:rPr>
          <w:rStyle w:val="SectionNumber"/>
        </w:rPr>
        <w:t xml:space="preserve">29.1</w:t>
      </w:r>
      <w:r>
        <w:tab/>
      </w:r>
      <w:r>
        <w:t xml:space="preserve">The BXglyphwiki Package Bundle</w:t>
      </w:r>
    </w:p>
    <w:p>
      <w:pPr>
        <w:pStyle w:val="FirstParagraph"/>
      </w:pPr>
      <w:r>
        <w:t xml:space="preserve">To use Hanazono fonts with LuaLaTeX, refer to the</w:t>
      </w:r>
      <w:r>
        <w:t xml:space="preserve"> </w:t>
      </w:r>
      <w:hyperlink r:id="rId827">
        <w:r>
          <w:rPr>
            <w:rStyle w:val="Hyperlink"/>
          </w:rPr>
          <w:t xml:space="preserve">BXglyphwiki package bundle</w:t>
        </w:r>
      </w:hyperlink>
      <w:r>
        <w:t xml:space="preserve">.</w:t>
      </w:r>
    </w:p>
    <w:p>
      <w:pPr>
        <w:pStyle w:val="BodyText"/>
      </w:pPr>
      <w:r>
        <w:t xml:space="preserve">A</w:t>
      </w:r>
      <w:r>
        <w:t xml:space="preserve"> </w:t>
      </w:r>
      <w:hyperlink r:id="rId828">
        <w:r>
          <w:rPr>
            <w:rStyle w:val="Hyperlink"/>
          </w:rPr>
          <w:t xml:space="preserve">template file</w:t>
        </w:r>
      </w:hyperlink>
      <w:r>
        <w:t xml:space="preserve"> </w:t>
      </w:r>
      <w:r>
        <w:t xml:space="preserve">by toyjack is also available.</w:t>
      </w:r>
    </w:p>
    <w:bookmarkEnd w:id="829"/>
    <w:bookmarkStart w:id="830" w:name="X6fc30e37b09d44e1826eca50f959f13be4401ed"/>
    <w:p>
      <w:pPr>
        <w:pStyle w:val="Heading2"/>
      </w:pPr>
      <w:r>
        <w:rPr>
          <w:rStyle w:val="SectionNumber"/>
        </w:rPr>
        <w:t xml:space="preserve">29.2</w:t>
      </w:r>
      <w:r>
        <w:tab/>
      </w:r>
      <w:r>
        <w:t xml:space="preserve">Sample File for Using bxglyphwiki with LuaLaTeX</w:t>
      </w:r>
    </w:p>
    <w:p>
      <w:pPr>
        <w:pStyle w:val="FirstParagraph"/>
      </w:pPr>
      <w:r>
        <w:t xml:space="preserve">The following is a sample file that demonstrates the use of user-created characters (作字,</w:t>
      </w:r>
      <w:r>
        <w:t xml:space="preserve"> </w:t>
      </w:r>
      <w:r>
        <w:rPr>
          <w:iCs/>
          <w:i/>
        </w:rPr>
        <w:t xml:space="preserve">sakuji</w:t>
      </w:r>
      <w:r>
        <w:t xml:space="preserve">) from GlyphWiki in addition to Hanazono fonts.</w:t>
      </w:r>
    </w:p>
    <w:p>
      <w:pPr>
        <w:pStyle w:val="SourceCode"/>
      </w:pPr>
      <w:r>
        <w:rPr>
          <w:rStyle w:val="BuiltInTok"/>
        </w:rPr>
        <w:t xml:space="preserve">\documentclass</w:t>
      </w:r>
      <w:r>
        <w:rPr>
          <w:rStyle w:val="NormalTok"/>
        </w:rPr>
        <w:t xml:space="preserve">{</w:t>
      </w:r>
      <w:r>
        <w:rPr>
          <w:rStyle w:val="ExtensionTok"/>
        </w:rPr>
        <w:t xml:space="preserve">jlreq</w:t>
      </w:r>
      <w:r>
        <w:rPr>
          <w:rStyle w:val="NormalTok"/>
        </w:rPr>
        <w:t xml:space="preserve">}</w:t>
      </w:r>
      <w:r>
        <w:br/>
      </w:r>
      <w:r>
        <w:rPr>
          <w:rStyle w:val="BuiltInTok"/>
        </w:rPr>
        <w:t xml:space="preserve">\usepackage</w:t>
      </w:r>
      <w:r>
        <w:rPr>
          <w:rStyle w:val="NormalTok"/>
        </w:rPr>
        <w:t xml:space="preserve">{</w:t>
      </w:r>
      <w:r>
        <w:rPr>
          <w:rStyle w:val="ExtensionTok"/>
        </w:rPr>
        <w:t xml:space="preserve">luatexja-fontspec</w:t>
      </w:r>
      <w:r>
        <w:rPr>
          <w:rStyle w:val="NormalTok"/>
        </w:rPr>
        <w:t xml:space="preserve">}</w:t>
      </w:r>
      <w:r>
        <w:br/>
      </w:r>
      <w:r>
        <w:rPr>
          <w:rStyle w:val="CommentTok"/>
        </w:rPr>
        <w:t xml:space="preserve">% A setting where: HanaMinA is used for BMP (Basic Multilingual Plane) characters and HanaMinB is used for SIP (Supplementary Ideographic Plane) characters; however, these are to be replaced by IPAexMincho if possible.</w:t>
      </w:r>
      <w:r>
        <w:br/>
      </w:r>
      <w:r>
        <w:rPr>
          <w:rStyle w:val="FunctionTok"/>
        </w:rPr>
        <w:t xml:space="preserve">\setmainjfont</w:t>
      </w:r>
      <w:r>
        <w:rPr>
          <w:rStyle w:val="NormalTok"/>
        </w:rPr>
        <w:t xml:space="preserve">[AltFont={</w:t>
      </w:r>
      <w:r>
        <w:br/>
      </w:r>
      <w:r>
        <w:rPr>
          <w:rStyle w:val="NormalTok"/>
        </w:rPr>
        <w:t xml:space="preserve">  {Range="20000-"2FFFF, Font=HanaMinB},</w:t>
      </w:r>
      <w:r>
        <w:br/>
      </w:r>
      <w:r>
        <w:rPr>
          <w:rStyle w:val="NormalTok"/>
        </w:rPr>
        <w:t xml:space="preserve">  {Range="0080-"FFFF, Font=IPAexMincho},</w:t>
      </w:r>
      <w:r>
        <w:br/>
      </w:r>
      <w:r>
        <w:rPr>
          <w:rStyle w:val="NormalTok"/>
        </w:rPr>
        <w:t xml:space="preserve">}]{HanaMinA}</w:t>
      </w:r>
      <w:r>
        <w:br/>
      </w:r>
      <w:r>
        <w:rPr>
          <w:rStyle w:val="CommentTok"/>
        </w:rPr>
        <w:t xml:space="preserve">% Hanazono Mincho AFDKO version 2017-06-20</w:t>
      </w:r>
      <w:r>
        <w:br/>
      </w:r>
      <w:r>
        <w:br/>
      </w:r>
      <w:r>
        <w:rPr>
          <w:rStyle w:val="CommentTok"/>
        </w:rPr>
        <w:t xml:space="preserve">% Below are the GlyphWiki settings.</w:t>
      </w:r>
      <w:r>
        <w:br/>
      </w:r>
      <w:r>
        <w:rPr>
          <w:rStyle w:val="BuiltInTok"/>
        </w:rPr>
        <w:t xml:space="preserve">\usepackage</w:t>
      </w:r>
      <w:r>
        <w:rPr>
          <w:rStyle w:val="NormalTok"/>
        </w:rPr>
        <w:t xml:space="preserve">[luatex]{</w:t>
      </w:r>
      <w:r>
        <w:rPr>
          <w:rStyle w:val="ExtensionTok"/>
        </w:rPr>
        <w:t xml:space="preserve">graphicx</w:t>
      </w:r>
      <w:r>
        <w:rPr>
          <w:rStyle w:val="NormalTok"/>
        </w:rPr>
        <w:t xml:space="preserve">}</w:t>
      </w:r>
      <w:r>
        <w:br/>
      </w:r>
      <w:r>
        <w:br/>
      </w:r>
      <w:r>
        <w:rPr>
          <w:rStyle w:val="CommentTok"/>
        </w:rPr>
        <w:t xml:space="preserve">% Use Chinese character forms registered on GlyphWiki in Lualatex.</w:t>
      </w:r>
      <w:r>
        <w:br/>
      </w:r>
      <w:r>
        <w:rPr>
          <w:rStyle w:val="CommentTok"/>
        </w:rPr>
        <w:t xml:space="preserve">% \GWI{zihai-021005}</w:t>
      </w:r>
      <w:r>
        <w:br/>
      </w:r>
      <w:r>
        <w:rPr>
          <w:rStyle w:val="CommentTok"/>
        </w:rPr>
        <w:t xml:space="preserve">% Place bxglyphwiki.lua in the same folder as the tex source file.</w:t>
      </w:r>
      <w:r>
        <w:br/>
      </w:r>
      <w:r>
        <w:rPr>
          <w:rStyle w:val="BuiltInTok"/>
        </w:rPr>
        <w:t xml:space="preserve">\usepackage</w:t>
      </w:r>
      <w:r>
        <w:rPr>
          <w:rStyle w:val="NormalTok"/>
        </w:rPr>
        <w:t xml:space="preserve">[luatex]{</w:t>
      </w:r>
      <w:r>
        <w:rPr>
          <w:rStyle w:val="ExtensionTok"/>
        </w:rPr>
        <w:t xml:space="preserve">bxglyphwiki</w:t>
      </w:r>
      <w:r>
        <w:rPr>
          <w:rStyle w:val="NormalTok"/>
        </w:rPr>
        <w:t xml:space="preserve">}</w:t>
      </w:r>
      <w:r>
        <w:br/>
      </w:r>
      <w:r>
        <w:br/>
      </w:r>
      <w:r>
        <w:rPr>
          <w:rStyle w:val="KeywordTok"/>
        </w:rPr>
        <w:t xml:space="preserve">\begin</w:t>
      </w:r>
      <w:r>
        <w:rPr>
          <w:rStyle w:val="NormalTok"/>
        </w:rPr>
        <w:t xml:space="preserve">{</w:t>
      </w:r>
      <w:r>
        <w:rPr>
          <w:rStyle w:val="ExtensionTok"/>
        </w:rPr>
        <w:t xml:space="preserve">document</w:t>
      </w:r>
      <w:r>
        <w:rPr>
          <w:rStyle w:val="NormalTok"/>
        </w:rPr>
        <w:t xml:space="preserve">}</w:t>
      </w:r>
      <w:r>
        <w:br/>
      </w:r>
      <w:r>
        <w:br/>
      </w:r>
      <w:r>
        <w:rPr>
          <w:rStyle w:val="NormalTok"/>
        </w:rPr>
        <w:t xml:space="preserve">Here's an example of "壽 (u58fd)" from GlyphWiki.</w:t>
      </w:r>
      <w:r>
        <w:br/>
      </w:r>
      <w:r>
        <w:br/>
      </w:r>
      <w:r>
        <w:br/>
      </w:r>
      <w:r>
        <w:rPr>
          <w:rStyle w:val="NormalTok"/>
        </w:rPr>
        <w:t xml:space="preserve">(u58fd-g) (=zihai-024114) is displayed as </w:t>
      </w:r>
      <w:r>
        <w:rPr>
          <w:rStyle w:val="FunctionTok"/>
        </w:rPr>
        <w:t xml:space="preserve">\GWI</w:t>
      </w:r>
      <w:r>
        <w:rPr>
          <w:rStyle w:val="NormalTok"/>
        </w:rPr>
        <w:t xml:space="preserve">{u58fd-g},</w:t>
      </w:r>
      <w:r>
        <w:br/>
      </w:r>
      <w:r>
        <w:rPr>
          <w:rStyle w:val="NormalTok"/>
        </w:rPr>
        <w:t xml:space="preserve">(u58fd-itaiji-009) is displayed as </w:t>
      </w:r>
      <w:r>
        <w:rPr>
          <w:rStyle w:val="FunctionTok"/>
        </w:rPr>
        <w:t xml:space="preserve">\GWI</w:t>
      </w:r>
      <w:r>
        <w:rPr>
          <w:rStyle w:val="NormalTok"/>
        </w:rPr>
        <w:t xml:space="preserve">{u58fd-itaiji-009},</w:t>
      </w:r>
      <w:r>
        <w:br/>
      </w:r>
      <w:r>
        <w:rPr>
          <w:rStyle w:val="NormalTok"/>
        </w:rPr>
        <w:t xml:space="preserve">(u58fd-itaiji-010) is displayed as </w:t>
      </w:r>
      <w:r>
        <w:rPr>
          <w:rStyle w:val="FunctionTok"/>
        </w:rPr>
        <w:t xml:space="preserve">\GWI</w:t>
      </w:r>
      <w:r>
        <w:rPr>
          <w:rStyle w:val="NormalTok"/>
        </w:rPr>
        <w:t xml:space="preserve">{u58fd-itaiji-010}.</w:t>
      </w:r>
      <w:r>
        <w:br/>
      </w:r>
      <w:r>
        <w:br/>
      </w:r>
      <w:r>
        <w:rPr>
          <w:rStyle w:val="KeywordTok"/>
        </w:rPr>
        <w:t xml:space="preserve">\end</w:t>
      </w:r>
      <w:r>
        <w:rPr>
          <w:rStyle w:val="NormalTok"/>
        </w:rPr>
        <w:t xml:space="preserve">{</w:t>
      </w:r>
      <w:r>
        <w:rPr>
          <w:rStyle w:val="ExtensionTok"/>
        </w:rPr>
        <w:t xml:space="preserve">document</w:t>
      </w:r>
      <w:r>
        <w:rPr>
          <w:rStyle w:val="NormalTok"/>
        </w:rPr>
        <w:t xml:space="preserve">}</w:t>
      </w:r>
    </w:p>
    <w:p>
      <w:pPr>
        <w:pStyle w:val="FirstParagraph"/>
      </w:pPr>
      <w:r>
        <w:t xml:space="preserve">If it works fine, then edit this sample file as needed.</w:t>
      </w:r>
    </w:p>
    <w:bookmarkEnd w:id="830"/>
    <w:bookmarkEnd w:id="831"/>
    <w:bookmarkEnd w:id="832"/>
    <w:bookmarkStart w:id="840" w:name="X6978238590655891d50914dae43b9cc8bb98450"/>
    <w:bookmarkStart w:id="839" w:name="Xcf443f17e6f740973eef093ff488c575f56dc8d"/>
    <w:p>
      <w:pPr>
        <w:pStyle w:val="Heading1"/>
      </w:pPr>
      <w:r>
        <w:rPr>
          <w:rStyle w:val="SectionNumber"/>
        </w:rPr>
        <w:t xml:space="preserve">30</w:t>
      </w:r>
      <w:r>
        <w:tab/>
      </w:r>
      <w:r>
        <w:t xml:space="preserve">Setting up</w:t>
      </w:r>
      <w:r>
        <w:t xml:space="preserve"> </w:t>
      </w:r>
      <w:r>
        <w:rPr>
          <w:rStyle w:val="VerbatimChar"/>
        </w:rPr>
        <w:t xml:space="preserve">sfkanbun.sty</w:t>
      </w:r>
    </w:p>
    <w:p>
      <w:pPr>
        <w:pStyle w:val="FirstParagraph"/>
      </w:pPr>
      <w:r>
        <w:t xml:space="preserve">The style file for</w:t>
      </w:r>
      <w:r>
        <w:t xml:space="preserve"> </w:t>
      </w:r>
      <w:r>
        <w:rPr>
          <w:iCs/>
          <w:i/>
        </w:rPr>
        <w:t xml:space="preserve">kunten</w:t>
      </w:r>
      <w:r>
        <w:t xml:space="preserve"> </w:t>
      </w:r>
      <w:r>
        <w:t xml:space="preserve">materials,</w:t>
      </w:r>
      <w:r>
        <w:t xml:space="preserve"> </w:t>
      </w:r>
      <w:r>
        <w:rPr>
          <w:rStyle w:val="VerbatimChar"/>
        </w:rPr>
        <w:t xml:space="preserve">kunten2e.sty</w:t>
      </w:r>
      <w:r>
        <w:t xml:space="preserve">, can be used with upLaTeX but is not compatible with LuaLaTeX. Some existing document files were created using this</w:t>
      </w:r>
      <w:r>
        <w:t xml:space="preserve"> </w:t>
      </w:r>
      <w:r>
        <w:rPr>
          <w:rStyle w:val="VerbatimChar"/>
        </w:rPr>
        <w:t xml:space="preserve">kunten2e.sty</w:t>
      </w:r>
      <w:r>
        <w:t xml:space="preserve"> </w:t>
      </w:r>
      <w:r>
        <w:t xml:space="preserve">style file.</w:t>
      </w:r>
    </w:p>
    <w:p>
      <w:pPr>
        <w:pStyle w:val="BodyText"/>
      </w:pPr>
      <w:r>
        <w:t xml:space="preserve">The sfkanbun package (</w:t>
      </w:r>
      <w:r>
        <w:rPr>
          <w:rStyle w:val="VerbatimChar"/>
        </w:rPr>
        <w:t xml:space="preserve">sfkanbun.sty</w:t>
      </w:r>
      <w:r>
        <w:t xml:space="preserve"> </w:t>
      </w:r>
      <w:r>
        <w:t xml:space="preserve">for Kanbun texts) originates from the work on</w:t>
      </w:r>
      <w:r>
        <w:t xml:space="preserve"> </w:t>
      </w:r>
      <w:hyperlink r:id="rId833">
        <w:r>
          <w:rPr>
            <w:rStyle w:val="Hyperlink"/>
          </w:rPr>
          <w:t xml:space="preserve">Typesetting Kanbun with</w:t>
        </w:r>
        <w:r>
          <w:rPr>
            <w:rStyle w:val="Hyperlink"/>
          </w:rPr>
          <w:t xml:space="preserve"> </w:t>
        </w:r>
        <w:r>
          <w:rPr>
            <w:rStyle w:val="Hyperlink"/>
            <w:iCs/>
            <w:i/>
          </w:rPr>
          <w:t xml:space="preserve">Kundoku</w:t>
        </w:r>
        <w:r>
          <w:rPr>
            <w:rStyle w:val="Hyperlink"/>
          </w:rPr>
          <w:t xml:space="preserve"> </w:t>
        </w:r>
        <w:r>
          <w:rPr>
            <w:rStyle w:val="Hyperlink"/>
          </w:rPr>
          <w:t xml:space="preserve">Marks (漢文の訓点文の組版), featured in</w:t>
        </w:r>
        <w:r>
          <w:rPr>
            <w:rStyle w:val="Hyperlink"/>
          </w:rPr>
          <w:t xml:space="preserve"> </w:t>
        </w:r>
        <w:r>
          <w:rPr>
            <w:rStyle w:val="Hyperlink"/>
          </w:rPr>
          <w:t xml:space="preserve">“</w:t>
        </w:r>
        <w:r>
          <w:rPr>
            <w:rStyle w:val="Hyperlink"/>
          </w:rPr>
          <w:t xml:space="preserve">Introduction to Vertical and Horizontal Document Composition</w:t>
        </w:r>
        <w:r>
          <w:rPr>
            <w:rStyle w:val="Hyperlink"/>
          </w:rPr>
          <w:t xml:space="preserve">”</w:t>
        </w:r>
        <w:r>
          <w:rPr>
            <w:rStyle w:val="Hyperlink"/>
          </w:rPr>
          <w:t xml:space="preserve"> </w:t>
        </w:r>
        <w:r>
          <w:rPr>
            <w:rStyle w:val="Hyperlink"/>
          </w:rPr>
          <w:t xml:space="preserve">(入門・縦横文書術) by Fujita Shinsaku</w:t>
        </w:r>
      </w:hyperlink>
      <w:r>
        <w:t xml:space="preserve">. A modified version of this style file, adapted for LuaLaTeX compatibility and renamed</w:t>
      </w:r>
      <w:r>
        <w:t xml:space="preserve"> </w:t>
      </w:r>
      <w:r>
        <w:rPr>
          <w:rStyle w:val="VerbatimChar"/>
        </w:rPr>
        <w:t xml:space="preserve">sfkanbun-lua.sty</w:t>
      </w:r>
      <w:r>
        <w:t xml:space="preserve">, has been made available at</w:t>
      </w:r>
      <w:r>
        <w:t xml:space="preserve"> </w:t>
      </w:r>
      <w:hyperlink r:id="rId834">
        <w:r>
          <w:rPr>
            <w:rStyle w:val="Hyperlink"/>
          </w:rPr>
          <w:t xml:space="preserve">https://github.com/shikeda/rose</w:t>
        </w:r>
      </w:hyperlink>
      <w:r>
        <w:t xml:space="preserve">.</w:t>
      </w:r>
    </w:p>
    <w:p>
      <w:pPr>
        <w:pStyle w:val="BodyText"/>
      </w:pPr>
      <w:r>
        <w:t xml:space="preserve">Therefore, to minimize changes to existing TeX source files, frequently used macros in</w:t>
      </w:r>
      <w:r>
        <w:t xml:space="preserve"> </w:t>
      </w:r>
      <w:r>
        <w:rPr>
          <w:rStyle w:val="VerbatimChar"/>
        </w:rPr>
        <w:t xml:space="preserve">kunten2e.sty</w:t>
      </w:r>
      <w:r>
        <w:t xml:space="preserve"> </w:t>
      </w:r>
      <w:r>
        <w:t xml:space="preserve">have been mapped to macros in</w:t>
      </w:r>
      <w:r>
        <w:t xml:space="preserve"> </w:t>
      </w:r>
      <w:r>
        <w:rPr>
          <w:rStyle w:val="VerbatimChar"/>
        </w:rPr>
        <w:t xml:space="preserve">sfkanbun.sty</w:t>
      </w:r>
      <w:r>
        <w:t xml:space="preserve"> </w:t>
      </w:r>
      <w:r>
        <w:t xml:space="preserve">that provide equivalent functionality, or compatibility has been otherwise ensured.</w:t>
      </w:r>
    </w:p>
    <w:bookmarkStart w:id="835" w:name="Xf8718490a880a776b4ea4d64e83d657c6dcff20"/>
    <w:p>
      <w:pPr>
        <w:pStyle w:val="Heading2"/>
      </w:pPr>
      <w:r>
        <w:rPr>
          <w:rStyle w:val="SectionNumber"/>
        </w:rPr>
        <w:t xml:space="preserve">30.1</w:t>
      </w:r>
      <w:r>
        <w:tab/>
      </w:r>
      <w:r>
        <w:t xml:space="preserve">Sōgyō (双行 - Double-Line Annotations)</w:t>
      </w:r>
    </w:p>
    <w:p>
      <w:pPr>
        <w:pStyle w:val="FirstParagraph"/>
      </w:pPr>
      <w:r>
        <w:rPr>
          <w:iCs/>
          <w:i/>
        </w:rPr>
        <w:t xml:space="preserve">Sōgyō</w:t>
      </w:r>
      <w:r>
        <w:t xml:space="preserve"> </w:t>
      </w:r>
      <w:r>
        <w:t xml:space="preserve">(双行) refers to a type of</w:t>
      </w:r>
      <w:r>
        <w:t xml:space="preserve"> </w:t>
      </w:r>
      <w:r>
        <w:rPr>
          <w:rStyle w:val="VerbatimChar"/>
          <w:bCs/>
          <w:b/>
        </w:rPr>
        <w:t xml:space="preserve">Interlinear Note</w:t>
      </w:r>
      <w:r>
        <w:t xml:space="preserve"> </w:t>
      </w:r>
      <w:r>
        <w:t xml:space="preserve">(割注,</w:t>
      </w:r>
      <w:r>
        <w:t xml:space="preserve"> </w:t>
      </w:r>
      <w:r>
        <w:rPr>
          <w:iCs/>
          <w:i/>
        </w:rPr>
        <w:t xml:space="preserve">warichū</w:t>
      </w:r>
      <w:r>
        <w:t xml:space="preserve">), specifically one that is typically presented in two lines.</w:t>
      </w:r>
    </w:p>
    <w:p>
      <w:pPr>
        <w:pStyle w:val="BodyText"/>
      </w:pPr>
      <w:r>
        <w:t xml:space="preserve">In</w:t>
      </w:r>
      <w:r>
        <w:t xml:space="preserve"> </w:t>
      </w:r>
      <w:r>
        <w:rPr>
          <w:rStyle w:val="VerbatimChar"/>
        </w:rPr>
        <w:t xml:space="preserve">kunten2e.sty</w:t>
      </w:r>
      <w:r>
        <w:t xml:space="preserve">, this is input as follows:</w:t>
      </w:r>
    </w:p>
    <w:p>
      <w:pPr>
        <w:pStyle w:val="SourceCode"/>
      </w:pPr>
      <w:r>
        <w:rPr>
          <w:rStyle w:val="FunctionTok"/>
        </w:rPr>
        <w:t xml:space="preserve">\sougyou</w:t>
      </w:r>
      <w:r>
        <w:rPr>
          <w:rStyle w:val="NormalTok"/>
        </w:rPr>
        <w:t xml:space="preserve">{right-hand line}{left-hand line}</w:t>
      </w:r>
    </w:p>
    <w:p>
      <w:pPr>
        <w:pStyle w:val="FirstParagraph"/>
      </w:pPr>
      <w:r>
        <w:rPr>
          <w:iCs/>
          <w:i/>
        </w:rPr>
        <w:t xml:space="preserve">(In vertical text, the</w:t>
      </w:r>
      <w:r>
        <w:rPr>
          <w:iCs/>
          <w:i/>
        </w:rPr>
        <w:t xml:space="preserve"> </w:t>
      </w:r>
      <w:r>
        <w:rPr>
          <w:iCs/>
          <w:i/>
        </w:rPr>
        <w:t xml:space="preserve">“</w:t>
      </w:r>
      <w:r>
        <w:rPr>
          <w:iCs/>
          <w:i/>
        </w:rPr>
        <w:t xml:space="preserve">right-hand line</w:t>
      </w:r>
      <w:r>
        <w:rPr>
          <w:iCs/>
          <w:i/>
        </w:rPr>
        <w:t xml:space="preserve">”</w:t>
      </w:r>
      <w:r>
        <w:rPr>
          <w:iCs/>
          <w:i/>
        </w:rPr>
        <w:t xml:space="preserve"> </w:t>
      </w:r>
      <w:r>
        <w:rPr>
          <w:iCs/>
          <w:i/>
        </w:rPr>
        <w:t xml:space="preserve">is typically the first line of the two-line note, and the</w:t>
      </w:r>
      <w:r>
        <w:rPr>
          <w:iCs/>
          <w:i/>
        </w:rPr>
        <w:t xml:space="preserve"> </w:t>
      </w:r>
      <w:r>
        <w:rPr>
          <w:iCs/>
          <w:i/>
        </w:rPr>
        <w:t xml:space="preserve">“</w:t>
      </w:r>
      <w:r>
        <w:rPr>
          <w:iCs/>
          <w:i/>
        </w:rPr>
        <w:t xml:space="preserve">left-hand line</w:t>
      </w:r>
      <w:r>
        <w:rPr>
          <w:iCs/>
          <w:i/>
        </w:rPr>
        <w:t xml:space="preserve">”</w:t>
      </w:r>
      <w:r>
        <w:rPr>
          <w:iCs/>
          <w:i/>
        </w:rPr>
        <w:t xml:space="preserve"> </w:t>
      </w:r>
      <w:r>
        <w:rPr>
          <w:iCs/>
          <w:i/>
        </w:rPr>
        <w:t xml:space="preserve">is the second.)</w:t>
      </w:r>
    </w:p>
    <w:p>
      <w:pPr>
        <w:pStyle w:val="BodyText"/>
      </w:pPr>
      <w:r>
        <w:t xml:space="preserve">In</w:t>
      </w:r>
      <w:r>
        <w:t xml:space="preserve"> </w:t>
      </w:r>
      <w:r>
        <w:rPr>
          <w:rStyle w:val="VerbatimChar"/>
        </w:rPr>
        <w:t xml:space="preserve">sfkanbun.sty</w:t>
      </w:r>
      <w:r>
        <w:t xml:space="preserve">, the</w:t>
      </w:r>
      <w:r>
        <w:t xml:space="preserve"> </w:t>
      </w:r>
      <w:r>
        <w:rPr>
          <w:rStyle w:val="VerbatimChar"/>
        </w:rPr>
        <w:t xml:space="preserve">\tagyobox</w:t>
      </w:r>
      <w:r>
        <w:t xml:space="preserve"> </w:t>
      </w:r>
      <w:r>
        <w:t xml:space="preserve">command (for multi-line interlinear notes) is used:</w:t>
      </w:r>
    </w:p>
    <w:p>
      <w:pPr>
        <w:pStyle w:val="SourceCode"/>
      </w:pPr>
      <w:r>
        <w:rPr>
          <w:rStyle w:val="FunctionTok"/>
        </w:rPr>
        <w:t xml:space="preserve">\tagyobox</w:t>
      </w:r>
      <w:r>
        <w:rPr>
          <w:rStyle w:val="NormalTok"/>
        </w:rPr>
        <w:t xml:space="preserve">{item 1 </w:t>
      </w:r>
      <w:r>
        <w:rPr>
          <w:rStyle w:val="FunctionTok"/>
        </w:rPr>
        <w:t xml:space="preserve">\\</w:t>
      </w:r>
      <w:r>
        <w:rPr>
          <w:rStyle w:val="NormalTok"/>
        </w:rPr>
        <w:t xml:space="preserve"> item 2 </w:t>
      </w:r>
      <w:r>
        <w:rPr>
          <w:rStyle w:val="FunctionTok"/>
        </w:rPr>
        <w:t xml:space="preserve">\\</w:t>
      </w:r>
      <w:r>
        <w:rPr>
          <w:rStyle w:val="NormalTok"/>
        </w:rPr>
        <w:t xml:space="preserve"> ...}</w:t>
      </w:r>
    </w:p>
    <w:p>
      <w:pPr>
        <w:pStyle w:val="FirstParagraph"/>
      </w:pPr>
      <w:r>
        <w:t xml:space="preserve">Since an</w:t>
      </w:r>
      <w:r>
        <w:t xml:space="preserve"> </w:t>
      </w:r>
      <w:r>
        <w:rPr>
          <w:rStyle w:val="VerbatimChar"/>
          <w:bCs/>
          <w:b/>
        </w:rPr>
        <w:t xml:space="preserve">Interlinear Note</w:t>
      </w:r>
      <w:r>
        <w:t xml:space="preserve"> </w:t>
      </w:r>
      <w:r>
        <w:t xml:space="preserve">(</w:t>
      </w:r>
      <w:r>
        <w:rPr>
          <w:iCs/>
          <w:i/>
        </w:rPr>
        <w:t xml:space="preserve">warichū</w:t>
      </w:r>
      <w:r>
        <w:t xml:space="preserve">) often consists of just two lines (corresponding to</w:t>
      </w:r>
      <w:r>
        <w:t xml:space="preserve"> </w:t>
      </w:r>
      <w:r>
        <w:t xml:space="preserve">“</w:t>
      </w:r>
      <w:r>
        <w:t xml:space="preserve">item 1</w:t>
      </w:r>
      <w:r>
        <w:t xml:space="preserve">”</w:t>
      </w:r>
      <w:r>
        <w:t xml:space="preserve"> </w:t>
      </w:r>
      <w:r>
        <w:t xml:space="preserve">and</w:t>
      </w:r>
      <w:r>
        <w:t xml:space="preserve"> </w:t>
      </w:r>
      <w:r>
        <w:t xml:space="preserve">“</w:t>
      </w:r>
      <w:r>
        <w:t xml:space="preserve">item 2</w:t>
      </w:r>
      <w:r>
        <w:t xml:space="preserve">”</w:t>
      </w:r>
      <w:r>
        <w:t xml:space="preserve"> </w:t>
      </w:r>
      <w:r>
        <w:t xml:space="preserve">above), the following custom LaTeX command can be defined to simplify input for such cases:</w:t>
      </w:r>
    </w:p>
    <w:p>
      <w:pPr>
        <w:pStyle w:val="SourceCode"/>
      </w:pPr>
      <w:r>
        <w:rPr>
          <w:rStyle w:val="FunctionTok"/>
        </w:rPr>
        <w:t xml:space="preserve">\newcommand</w:t>
      </w:r>
      <w:r>
        <w:rPr>
          <w:rStyle w:val="NormalTok"/>
        </w:rPr>
        <w:t xml:space="preserve">{</w:t>
      </w:r>
      <w:r>
        <w:rPr>
          <w:rStyle w:val="ExtensionTok"/>
        </w:rPr>
        <w:t xml:space="preserve">\sougyou</w:t>
      </w:r>
      <w:r>
        <w:rPr>
          <w:rStyle w:val="NormalTok"/>
        </w:rPr>
        <w:t xml:space="preserve">}[2]{</w:t>
      </w:r>
      <w:r>
        <w:rPr>
          <w:rStyle w:val="FunctionTok"/>
        </w:rPr>
        <w:t xml:space="preserve">\tagyobox</w:t>
      </w:r>
      <w:r>
        <w:rPr>
          <w:rStyle w:val="NormalTok"/>
        </w:rPr>
        <w:t xml:space="preserve">{#1 </w:t>
      </w:r>
      <w:r>
        <w:rPr>
          <w:rStyle w:val="FunctionTok"/>
        </w:rPr>
        <w:t xml:space="preserve">\\</w:t>
      </w:r>
      <w:r>
        <w:rPr>
          <w:rStyle w:val="NormalTok"/>
        </w:rPr>
        <w:t xml:space="preserve"> #2}}</w:t>
      </w:r>
    </w:p>
    <w:bookmarkEnd w:id="835"/>
    <w:bookmarkStart w:id="836" w:name="X607a805d31b93ae697277e200f7c52b60ea464b"/>
    <w:p>
      <w:pPr>
        <w:pStyle w:val="Heading2"/>
      </w:pPr>
      <w:r>
        <w:rPr>
          <w:rStyle w:val="SectionNumber"/>
        </w:rPr>
        <w:t xml:space="preserve">30.2</w:t>
      </w:r>
      <w:r>
        <w:tab/>
      </w:r>
      <w:r>
        <w:t xml:space="preserve">Nested Double-Line Annotations (副双行,</w:t>
      </w:r>
      <w:r>
        <w:t xml:space="preserve"> </w:t>
      </w:r>
      <w:r>
        <w:rPr>
          <w:iCs/>
          <w:i/>
        </w:rPr>
        <w:t xml:space="preserve">Fukusōgyō</w:t>
      </w:r>
      <w:r>
        <w:t xml:space="preserve">)</w:t>
      </w:r>
    </w:p>
    <w:p>
      <w:pPr>
        <w:pStyle w:val="FirstParagraph"/>
      </w:pPr>
      <w:r>
        <w:t xml:space="preserve">A</w:t>
      </w:r>
      <w:r>
        <w:t xml:space="preserve"> </w:t>
      </w:r>
      <w:r>
        <w:rPr>
          <w:iCs/>
          <w:i/>
        </w:rPr>
        <w:t xml:space="preserve">fukusōgyō</w:t>
      </w:r>
      <w:r>
        <w:t xml:space="preserve"> </w:t>
      </w:r>
      <w:r>
        <w:t xml:space="preserve">(副双行) refers to creating an additional double-line annotation (</w:t>
      </w:r>
      <w:r>
        <w:rPr>
          <w:iCs/>
          <w:i/>
        </w:rPr>
        <w:t xml:space="preserve">sōgyō</w:t>
      </w:r>
      <w:r>
        <w:t xml:space="preserve">) within an existing</w:t>
      </w:r>
      <w:r>
        <w:t xml:space="preserve"> </w:t>
      </w:r>
      <w:r>
        <w:rPr>
          <w:iCs/>
          <w:i/>
        </w:rPr>
        <w:t xml:space="preserve">sōgyō</w:t>
      </w:r>
      <w:r>
        <w:t xml:space="preserve"> </w:t>
      </w:r>
      <w:r>
        <w:t xml:space="preserve">(double-line interlinear note).</w:t>
      </w:r>
      <w:r>
        <w:t xml:space="preserve"> </w:t>
      </w:r>
      <w:r>
        <w:t xml:space="preserve">In</w:t>
      </w:r>
      <w:r>
        <w:t xml:space="preserve"> </w:t>
      </w:r>
      <w:r>
        <w:rPr>
          <w:rStyle w:val="VerbatimChar"/>
        </w:rPr>
        <w:t xml:space="preserve">kunten2e.sty</w:t>
      </w:r>
      <w:r>
        <w:t xml:space="preserve">, this is input as follows:</w:t>
      </w:r>
    </w:p>
    <w:p>
      <w:pPr>
        <w:pStyle w:val="SourceCode"/>
      </w:pPr>
      <w:r>
        <w:rPr>
          <w:rStyle w:val="FunctionTok"/>
        </w:rPr>
        <w:t xml:space="preserve">\hukusougyou</w:t>
      </w:r>
      <w:r>
        <w:rPr>
          <w:rStyle w:val="NormalTok"/>
        </w:rPr>
        <w:t xml:space="preserve">{right-hand line}{left-hand line}</w:t>
      </w:r>
    </w:p>
    <w:p>
      <w:pPr>
        <w:pStyle w:val="FirstParagraph"/>
      </w:pPr>
      <w:r>
        <w:t xml:space="preserve">This functionality can be achieved in</w:t>
      </w:r>
      <w:r>
        <w:t xml:space="preserve"> </w:t>
      </w:r>
      <w:r>
        <w:rPr>
          <w:rStyle w:val="VerbatimChar"/>
        </w:rPr>
        <w:t xml:space="preserve">sfkanbun.sty</w:t>
      </w:r>
      <w:r>
        <w:t xml:space="preserve"> </w:t>
      </w:r>
      <w:r>
        <w:t xml:space="preserve">using its feature for nested multi-line interlinear notes (</w:t>
      </w:r>
      <w:r>
        <w:rPr>
          <w:rStyle w:val="VerbatimChar"/>
        </w:rPr>
        <w:t xml:space="preserve">\fukutagyobox</w:t>
      </w:r>
      <w:r>
        <w:t xml:space="preserve">).</w:t>
      </w:r>
    </w:p>
    <w:p>
      <w:pPr>
        <w:pStyle w:val="SourceCode"/>
      </w:pPr>
      <w:r>
        <w:rPr>
          <w:rStyle w:val="FunctionTok"/>
        </w:rPr>
        <w:t xml:space="preserve">\fukutagyobox</w:t>
      </w:r>
      <w:r>
        <w:rPr>
          <w:rStyle w:val="NormalTok"/>
        </w:rPr>
        <w:t xml:space="preserve">{item 1 </w:t>
      </w:r>
      <w:r>
        <w:rPr>
          <w:rStyle w:val="FunctionTok"/>
        </w:rPr>
        <w:t xml:space="preserve">\\</w:t>
      </w:r>
      <w:r>
        <w:rPr>
          <w:rStyle w:val="NormalTok"/>
        </w:rPr>
        <w:t xml:space="preserve"> item 2 </w:t>
      </w:r>
      <w:r>
        <w:rPr>
          <w:rStyle w:val="FunctionTok"/>
        </w:rPr>
        <w:t xml:space="preserve">\\</w:t>
      </w:r>
      <w:r>
        <w:rPr>
          <w:rStyle w:val="NormalTok"/>
        </w:rPr>
        <w:t xml:space="preserve"> ...}</w:t>
      </w:r>
    </w:p>
    <w:p>
      <w:pPr>
        <w:pStyle w:val="FirstParagraph"/>
      </w:pPr>
      <w:r>
        <w:t xml:space="preserve">Since a nested double-line annotation typically requires only two items (lines), the following custom LaTeX command can be defined to simplify input for such cases:</w:t>
      </w:r>
    </w:p>
    <w:p>
      <w:pPr>
        <w:pStyle w:val="SourceCode"/>
      </w:pPr>
      <w:r>
        <w:rPr>
          <w:rStyle w:val="FunctionTok"/>
        </w:rPr>
        <w:t xml:space="preserve">\newcommand</w:t>
      </w:r>
      <w:r>
        <w:rPr>
          <w:rStyle w:val="NormalTok"/>
        </w:rPr>
        <w:t xml:space="preserve">{</w:t>
      </w:r>
      <w:r>
        <w:rPr>
          <w:rStyle w:val="ExtensionTok"/>
        </w:rPr>
        <w:t xml:space="preserve">\hukusougyou</w:t>
      </w:r>
      <w:r>
        <w:rPr>
          <w:rStyle w:val="NormalTok"/>
        </w:rPr>
        <w:t xml:space="preserve">}[2]{</w:t>
      </w:r>
      <w:r>
        <w:rPr>
          <w:rStyle w:val="FunctionTok"/>
        </w:rPr>
        <w:t xml:space="preserve">\fukutagyobox</w:t>
      </w:r>
      <w:r>
        <w:rPr>
          <w:rStyle w:val="NormalTok"/>
        </w:rPr>
        <w:t xml:space="preserve">{#1 </w:t>
      </w:r>
      <w:r>
        <w:rPr>
          <w:rStyle w:val="FunctionTok"/>
        </w:rPr>
        <w:t xml:space="preserve">\\</w:t>
      </w:r>
      <w:r>
        <w:rPr>
          <w:rStyle w:val="NormalTok"/>
        </w:rPr>
        <w:t xml:space="preserve"> #2}}</w:t>
      </w:r>
    </w:p>
    <w:bookmarkEnd w:id="836"/>
    <w:bookmarkStart w:id="837" w:name="X2e6adde37d68d7a6b426fd3b2462bb44a90676c"/>
    <w:p>
      <w:pPr>
        <w:pStyle w:val="Heading2"/>
      </w:pPr>
      <w:r>
        <w:rPr>
          <w:rStyle w:val="SectionNumber"/>
        </w:rPr>
        <w:t xml:space="preserve">30.3</w:t>
      </w:r>
      <w:r>
        <w:tab/>
      </w:r>
      <w:r>
        <w:t xml:space="preserve">Okurigana and Kaeriten Marks (送り仮名、返り点)</w:t>
      </w:r>
    </w:p>
    <w:p>
      <w:pPr>
        <w:pStyle w:val="FirstParagraph"/>
      </w:pPr>
      <w:r>
        <w:t xml:space="preserve">The</w:t>
      </w:r>
      <w:r>
        <w:t xml:space="preserve"> </w:t>
      </w:r>
      <w:r>
        <w:rPr>
          <w:rStyle w:val="VerbatimChar"/>
        </w:rPr>
        <w:t xml:space="preserve">\kundoku</w:t>
      </w:r>
      <w:r>
        <w:t xml:space="preserve"> </w:t>
      </w:r>
      <w:r>
        <w:t xml:space="preserve">command from</w:t>
      </w:r>
      <w:r>
        <w:t xml:space="preserve"> </w:t>
      </w:r>
      <w:r>
        <w:rPr>
          <w:rStyle w:val="VerbatimChar"/>
        </w:rPr>
        <w:t xml:space="preserve">sfkanbun.sty</w:t>
      </w:r>
      <w:r>
        <w:t xml:space="preserve"> </w:t>
      </w:r>
      <w:r>
        <w:t xml:space="preserve">is useful for typesetting</w:t>
      </w:r>
      <w:r>
        <w:t xml:space="preserve"> </w:t>
      </w:r>
      <w:r>
        <w:rPr>
          <w:iCs/>
          <w:i/>
        </w:rPr>
        <w:t xml:space="preserve">okurigana</w:t>
      </w:r>
      <w:r>
        <w:t xml:space="preserve"> </w:t>
      </w:r>
      <w:r>
        <w:t xml:space="preserve">(送り仮名, inflectional kana endings) and</w:t>
      </w:r>
      <w:r>
        <w:t xml:space="preserve"> </w:t>
      </w:r>
      <w:r>
        <w:rPr>
          <w:iCs/>
          <w:i/>
        </w:rPr>
        <w:t xml:space="preserve">kaeriten</w:t>
      </w:r>
      <w:r>
        <w:t xml:space="preserve"> </w:t>
      </w:r>
      <w:r>
        <w:t xml:space="preserve">(返り点, guiding marks for Japanese reading order of Kanbun). Its syntax is:</w:t>
      </w:r>
    </w:p>
    <w:p>
      <w:pPr>
        <w:pStyle w:val="SourceCode"/>
      </w:pPr>
      <w:r>
        <w:rPr>
          <w:rStyle w:val="FunctionTok"/>
        </w:rPr>
        <w:t xml:space="preserve">\kundoku</w:t>
      </w:r>
      <w:r>
        <w:rPr>
          <w:rStyle w:val="NormalTok"/>
        </w:rPr>
        <w:t xml:space="preserve">[control_options]{base_character}{ruby_text}{okurigana}{kaeriten_mark}[shoulder_kaeriten_mark](punctuation_mark)</w:t>
      </w:r>
    </w:p>
    <w:p>
      <w:pPr>
        <w:pStyle w:val="FirstParagraph"/>
      </w:pPr>
      <w:r>
        <w:t xml:space="preserve">The</w:t>
      </w:r>
      <w:r>
        <w:t xml:space="preserve"> </w:t>
      </w:r>
      <w:r>
        <w:rPr>
          <w:rStyle w:val="VerbatimChar"/>
        </w:rPr>
        <w:t xml:space="preserve">(punctuation_mark)</w:t>
      </w:r>
      <w:r>
        <w:t xml:space="preserve"> </w:t>
      </w:r>
      <w:r>
        <w:t xml:space="preserve">argument is optional.</w:t>
      </w:r>
    </w:p>
    <w:bookmarkEnd w:id="837"/>
    <w:bookmarkStart w:id="838" w:name="Xcf3084a357edf162d86bdf86defdefcf72556e4"/>
    <w:p>
      <w:pPr>
        <w:pStyle w:val="Heading2"/>
      </w:pPr>
      <w:r>
        <w:rPr>
          <w:rStyle w:val="SectionNumber"/>
        </w:rPr>
        <w:t xml:space="preserve">30.4</w:t>
      </w:r>
      <w:r>
        <w:tab/>
      </w:r>
      <w:r>
        <w:t xml:space="preserve">Ruby (ルビ)</w:t>
      </w:r>
    </w:p>
    <w:p>
      <w:pPr>
        <w:pStyle w:val="FirstParagraph"/>
      </w:pPr>
      <w:r>
        <w:t xml:space="preserve">Several macros are available for using ruby (ルビ, small phonetic glosses alongside characters). After experimentation, we decided to use</w:t>
      </w:r>
      <w:r>
        <w:t xml:space="preserve"> </w:t>
      </w:r>
      <w:r>
        <w:rPr>
          <w:rStyle w:val="VerbatimChar"/>
        </w:rPr>
        <w:t xml:space="preserve">luatexja-ruby.sty</w:t>
      </w:r>
      <w:r>
        <w:t xml:space="preserve">.</w:t>
      </w:r>
    </w:p>
    <w:p>
      <w:pPr>
        <w:pStyle w:val="BodyText"/>
      </w:pPr>
      <w:r>
        <w:t xml:space="preserve">The basic syntax is:</w:t>
      </w:r>
      <w:r>
        <w:t xml:space="preserve"> </w:t>
      </w:r>
      <w:r>
        <w:t xml:space="preserve">~</w:t>
      </w:r>
      <w:r>
        <w:rPr>
          <w:strike/>
        </w:rPr>
        <w:t xml:space="preserve">tex</w:t>
      </w:r>
      <w:r>
        <w:rPr>
          <w:strike/>
        </w:rPr>
        <w:t xml:space="preserve"> </w:t>
      </w:r>
      <w:r>
        <w:t xml:space="preserve">~</w:t>
      </w:r>
    </w:p>
    <w:p>
      <w:pPr>
        <w:pStyle w:val="BodyText"/>
      </w:pPr>
      <w:r>
        <w:t xml:space="preserve">In this example, the command specifies that the ruby text</w:t>
      </w:r>
      <w:r>
        <w:t xml:space="preserve"> </w:t>
      </w:r>
      <w:r>
        <w:t xml:space="preserve">‘</w:t>
      </w:r>
      <w:r>
        <w:t xml:space="preserve">おや</w:t>
      </w:r>
      <w:r>
        <w:t xml:space="preserve">’</w:t>
      </w:r>
      <w:r>
        <w:t xml:space="preserve"> </w:t>
      </w:r>
      <w:r>
        <w:t xml:space="preserve">(</w:t>
      </w:r>
      <w:r>
        <w:rPr>
          <w:iCs/>
          <w:i/>
        </w:rPr>
        <w:t xml:space="preserve">oya</w:t>
      </w:r>
      <w:r>
        <w:t xml:space="preserve">) is to be applied to the base character</w:t>
      </w:r>
      <w:r>
        <w:t xml:space="preserve"> </w:t>
      </w:r>
      <w:r>
        <w:t xml:space="preserve">‘</w:t>
      </w:r>
      <w:r>
        <w:t xml:space="preserve">親</w:t>
      </w:r>
      <w:r>
        <w:t xml:space="preserve">’</w:t>
      </w:r>
      <w:r>
        <w:t xml:space="preserve">;</w:t>
      </w:r>
      <w:r>
        <w:t xml:space="preserve"> </w:t>
      </w:r>
      <w:r>
        <w:t xml:space="preserve">‘</w:t>
      </w:r>
      <w:r>
        <w:t xml:space="preserve">も</w:t>
      </w:r>
      <w:r>
        <w:t xml:space="preserve">’</w:t>
      </w:r>
      <w:r>
        <w:t xml:space="preserve"> </w:t>
      </w:r>
      <w:r>
        <w:t xml:space="preserve">(</w:t>
      </w:r>
      <w:r>
        <w:rPr>
          <w:iCs/>
          <w:i/>
        </w:rPr>
        <w:t xml:space="preserve">mo</w:t>
      </w:r>
      <w:r>
        <w:t xml:space="preserve">) to</w:t>
      </w:r>
      <w:r>
        <w:t xml:space="preserve"> </w:t>
      </w:r>
      <w:r>
        <w:t xml:space="preserve">‘</w:t>
      </w:r>
      <w:r>
        <w:t xml:space="preserve">文</w:t>
      </w:r>
      <w:r>
        <w:t xml:space="preserve">’</w:t>
      </w:r>
      <w:r>
        <w:t xml:space="preserve">; and</w:t>
      </w:r>
      <w:r>
        <w:t xml:space="preserve"> </w:t>
      </w:r>
      <w:r>
        <w:t xml:space="preserve">‘</w:t>
      </w:r>
      <w:r>
        <w:t xml:space="preserve">じ</w:t>
      </w:r>
      <w:r>
        <w:t xml:space="preserve">’</w:t>
      </w:r>
      <w:r>
        <w:t xml:space="preserve"> </w:t>
      </w:r>
      <w:r>
        <w:t xml:space="preserve">(</w:t>
      </w:r>
      <w:r>
        <w:rPr>
          <w:iCs/>
          <w:i/>
        </w:rPr>
        <w:t xml:space="preserve">ji</w:t>
      </w:r>
      <w:r>
        <w:t xml:space="preserve">) to</w:t>
      </w:r>
      <w:r>
        <w:t xml:space="preserve"> </w:t>
      </w:r>
      <w:r>
        <w:t xml:space="preserve">‘</w:t>
      </w:r>
      <w:r>
        <w:t xml:space="preserve">字</w:t>
      </w:r>
      <w:r>
        <w:t xml:space="preserve">’</w:t>
      </w:r>
      <w:r>
        <w:t xml:space="preserve">.</w:t>
      </w:r>
    </w:p>
    <w:p>
      <w:pPr>
        <w:pStyle w:val="BodyText"/>
      </w:pPr>
      <w:r>
        <w:t xml:space="preserve">An alias</w:t>
      </w:r>
      <w:r>
        <w:t xml:space="preserve"> </w:t>
      </w:r>
      <w:r>
        <w:rPr>
          <w:rStyle w:val="VerbatimChar"/>
        </w:rPr>
        <w:t xml:space="preserve">\ruby</w:t>
      </w:r>
      <w:r>
        <w:t xml:space="preserve"> </w:t>
      </w:r>
      <w:r>
        <w:t xml:space="preserve">is also defined for this command.</w:t>
      </w:r>
    </w:p>
    <w:p>
      <w:pPr>
        <w:pStyle w:val="BodyText"/>
      </w:pPr>
      <w:r>
        <w:t xml:space="preserve">Although the exact circumstances are no longer recalled, ruby was previously applied using a custom command named</w:t>
      </w:r>
      <w:r>
        <w:t xml:space="preserve"> </w:t>
      </w:r>
      <w:r>
        <w:rPr>
          <w:rStyle w:val="VerbatimChar"/>
        </w:rPr>
        <w:t xml:space="preserve">\ukun</w:t>
      </w:r>
      <w:r>
        <w:t xml:space="preserve">. To avoid rewriting original files that used this command,</w:t>
      </w:r>
      <w:r>
        <w:t xml:space="preserve"> </w:t>
      </w:r>
      <w:r>
        <w:rPr>
          <w:rStyle w:val="VerbatimChar"/>
        </w:rPr>
        <w:t xml:space="preserve">\ukun</w:t>
      </w:r>
      <w:r>
        <w:t xml:space="preserve"> </w:t>
      </w:r>
      <w:r>
        <w:t xml:space="preserve">has been (re)defined as follows:</w:t>
      </w:r>
    </w:p>
    <w:p>
      <w:pPr>
        <w:pStyle w:val="SourceCode"/>
      </w:pPr>
      <w:r>
        <w:rPr>
          <w:rStyle w:val="FunctionTok"/>
        </w:rPr>
        <w:t xml:space="preserve">\newcommand</w:t>
      </w:r>
      <w:r>
        <w:rPr>
          <w:rStyle w:val="NormalTok"/>
        </w:rPr>
        <w:t xml:space="preserve">{</w:t>
      </w:r>
      <w:r>
        <w:rPr>
          <w:rStyle w:val="ExtensionTok"/>
        </w:rPr>
        <w:t xml:space="preserve">\ukun</w:t>
      </w:r>
      <w:r>
        <w:rPr>
          <w:rStyle w:val="NormalTok"/>
        </w:rPr>
        <w:t xml:space="preserve">}[2]{</w:t>
      </w:r>
      <w:r>
        <w:rPr>
          <w:rStyle w:val="FunctionTok"/>
        </w:rPr>
        <w:t xml:space="preserve">\ltjruby</w:t>
      </w:r>
      <w:r>
        <w:rPr>
          <w:rStyle w:val="NormalTok"/>
        </w:rPr>
        <w:t xml:space="preserve">{#1}{#2}}</w:t>
      </w:r>
    </w:p>
    <w:p>
      <w:pPr>
        <w:pStyle w:val="FirstParagraph"/>
      </w:pPr>
      <w:r>
        <w:t xml:space="preserve">Alternatively, all instances of</w:t>
      </w:r>
      <w:r>
        <w:t xml:space="preserve"> </w:t>
      </w:r>
      <w:r>
        <w:rPr>
          <w:rStyle w:val="VerbatimChar"/>
        </w:rPr>
        <w:t xml:space="preserve">\ukun</w:t>
      </w:r>
      <w:r>
        <w:t xml:space="preserve"> </w:t>
      </w:r>
      <w:r>
        <w:t xml:space="preserve">could be globally replaced with</w:t>
      </w:r>
      <w:r>
        <w:t xml:space="preserve"> </w:t>
      </w:r>
      <w:r>
        <w:rPr>
          <w:rStyle w:val="VerbatimChar"/>
        </w:rPr>
        <w:t xml:space="preserve">\ruby</w:t>
      </w:r>
      <w:r>
        <w:t xml:space="preserve">.</w:t>
      </w:r>
    </w:p>
    <w:bookmarkEnd w:id="838"/>
    <w:bookmarkEnd w:id="839"/>
    <w:bookmarkEnd w:id="840"/>
    <w:bookmarkStart w:id="842" w:name="Xde09983edf7e284a068c7c47c542d0cb45660ba"/>
    <w:bookmarkStart w:id="841" w:name="X9dc6272c2eee61a2601769defb23ba0d9c737f3"/>
    <w:p>
      <w:pPr>
        <w:pStyle w:val="Heading1"/>
      </w:pPr>
      <w:r>
        <w:rPr>
          <w:rStyle w:val="SectionNumber"/>
        </w:rPr>
        <w:t xml:space="preserve">31</w:t>
      </w:r>
      <w:r>
        <w:tab/>
      </w:r>
      <w:r>
        <w:t xml:space="preserve">A Memorandum on LuaTeX Typesetting for Old Dictionaries and Kunten Materials</w:t>
      </w:r>
    </w:p>
    <w:p>
      <w:pPr>
        <w:pStyle w:val="FirstParagraph"/>
      </w:pPr>
      <w:r>
        <w:t xml:space="preserve">This document is a memorandum detailing the setup methods for typesetting transcriptions and annotations of old dictionaries and</w:t>
      </w:r>
      <w:r>
        <w:t xml:space="preserve"> </w:t>
      </w:r>
      <w:r>
        <w:rPr>
          <w:iCs/>
          <w:i/>
        </w:rPr>
        <w:t xml:space="preserve">kunten</w:t>
      </w:r>
      <w:r>
        <w:t xml:space="preserve"> </w:t>
      </w:r>
      <w:r>
        <w:t xml:space="preserve">materials. It focuses on using a LuaTeX environment (with TeX Live and VS Code recommended), along with Hanazono Mincho fonts, GlyphWiki, and either</w:t>
      </w:r>
      <w:r>
        <w:t xml:space="preserve"> </w:t>
      </w:r>
      <w:r>
        <w:rPr>
          <w:rStyle w:val="VerbatimChar"/>
        </w:rPr>
        <w:t xml:space="preserve">sfkanbun.sty</w:t>
      </w:r>
      <w:r>
        <w:t xml:space="preserve"> </w:t>
      </w:r>
      <w:r>
        <w:t xml:space="preserve">or a LuaLaTeX-compatible version of</w:t>
      </w:r>
      <w:r>
        <w:t xml:space="preserve"> </w:t>
      </w:r>
      <w:r>
        <w:rPr>
          <w:rStyle w:val="VerbatimChar"/>
        </w:rPr>
        <w:t xml:space="preserve">kunten2e.sty</w:t>
      </w:r>
      <w:r>
        <w:t xml:space="preserve">.</w:t>
      </w:r>
    </w:p>
    <w:p>
      <w:pPr>
        <w:pStyle w:val="BodyText"/>
      </w:pPr>
      <w:r>
        <w:t xml:space="preserve">First, it introduces the</w:t>
      </w:r>
      <w:r>
        <w:t xml:space="preserve"> </w:t>
      </w:r>
      <w:r>
        <w:rPr>
          <w:bCs/>
          <w:b/>
        </w:rPr>
        <w:t xml:space="preserve">key aspects of setting up the LuaLaTeX environment in VS Code</w:t>
      </w:r>
      <w:r>
        <w:t xml:space="preserve"> </w:t>
      </w:r>
      <w:r>
        <w:t xml:space="preserve">(utilizing</w:t>
      </w:r>
      <w:r>
        <w:t xml:space="preserve"> </w:t>
      </w:r>
      <w:r>
        <w:rPr>
          <w:rStyle w:val="VerbatimChar"/>
        </w:rPr>
        <w:t xml:space="preserve">latexmk</w:t>
      </w:r>
      <w:r>
        <w:t xml:space="preserve"> </w:t>
      </w:r>
      <w:r>
        <w:t xml:space="preserve">and the LaTeX Workshop extension) and provides numerous online references for Japanese typesetting.</w:t>
      </w:r>
    </w:p>
    <w:p>
      <w:pPr>
        <w:pStyle w:val="BodyText"/>
      </w:pPr>
      <w:r>
        <w:t xml:space="preserve">Next, it elaborates on</w:t>
      </w:r>
      <w:r>
        <w:t xml:space="preserve"> </w:t>
      </w:r>
      <w:r>
        <w:rPr>
          <w:bCs/>
          <w:b/>
        </w:rPr>
        <w:t xml:space="preserve">typesetting configuration using the</w:t>
      </w:r>
      <w:r>
        <w:rPr>
          <w:bCs/>
          <w:b/>
        </w:rPr>
        <w:t xml:space="preserve"> </w:t>
      </w:r>
      <w:r>
        <w:rPr>
          <w:rStyle w:val="VerbatimChar"/>
          <w:bCs/>
          <w:b/>
        </w:rPr>
        <w:t xml:space="preserve">jlreq</w:t>
      </w:r>
      <w:r>
        <w:rPr>
          <w:bCs/>
          <w:b/>
        </w:rPr>
        <w:t xml:space="preserve"> </w:t>
      </w:r>
      <w:r>
        <w:rPr>
          <w:bCs/>
          <w:b/>
        </w:rPr>
        <w:t xml:space="preserve">document class</w:t>
      </w:r>
      <w:r>
        <w:t xml:space="preserve">. Referencing the style of the journal</w:t>
      </w:r>
      <w:r>
        <w:t xml:space="preserve"> </w:t>
      </w:r>
      <w:r>
        <w:rPr>
          <w:iCs/>
          <w:i/>
        </w:rPr>
        <w:t xml:space="preserve">Kunten-go to Kunten-shiryō</w:t>
      </w:r>
      <w:r>
        <w:t xml:space="preserve"> </w:t>
      </w:r>
      <w:r>
        <w:t xml:space="preserve">(訓点語と訓点資料), this part explains basic page layout settings (such as A4 vertical two-column format, margins, and font sizes), custom layouts for article titles and author names, methods for displaying endnotes, and procedures for creating a Japanese bibliography (sortable by</w:t>
      </w:r>
      <w:r>
        <w:t xml:space="preserve"> </w:t>
      </w:r>
      <w:r>
        <w:rPr>
          <w:iCs/>
          <w:i/>
        </w:rPr>
        <w:t xml:space="preserve">gojūon</w:t>
      </w:r>
      <w:r>
        <w:t xml:space="preserve"> </w:t>
      </w:r>
      <w:r>
        <w:t xml:space="preserve">order) using</w:t>
      </w:r>
      <w:r>
        <w:t xml:space="preserve"> </w:t>
      </w:r>
      <w:r>
        <w:rPr>
          <w:rStyle w:val="VerbatimChar"/>
        </w:rPr>
        <w:t xml:space="preserve">natbib.sty</w:t>
      </w:r>
      <w:r>
        <w:t xml:space="preserve">.</w:t>
      </w:r>
    </w:p>
    <w:p>
      <w:pPr>
        <w:pStyle w:val="BodyText"/>
      </w:pPr>
      <w:r>
        <w:t xml:space="preserve">Finally, under</w:t>
      </w:r>
      <w:r>
        <w:t xml:space="preserve"> </w:t>
      </w:r>
      <w:r>
        <w:rPr>
          <w:bCs/>
          <w:b/>
        </w:rPr>
        <w:t xml:space="preserve">specific methods for creating the transcribed main text</w:t>
      </w:r>
      <w:r>
        <w:t xml:space="preserve">, it presents font settings for Hanazono Mincho and IPAexMincho using</w:t>
      </w:r>
      <w:r>
        <w:t xml:space="preserve"> </w:t>
      </w:r>
      <w:r>
        <w:rPr>
          <w:rStyle w:val="VerbatimChar"/>
        </w:rPr>
        <w:t xml:space="preserve">luatexja-fontspec</w:t>
      </w:r>
      <w:r>
        <w:t xml:space="preserve">, and instructions for configuring the use of GlyphWiki with</w:t>
      </w:r>
      <w:r>
        <w:t xml:space="preserve"> </w:t>
      </w:r>
      <w:r>
        <w:rPr>
          <w:rStyle w:val="VerbatimChar"/>
        </w:rPr>
        <w:t xml:space="preserve">bxglyphwiki.sty</w:t>
      </w:r>
      <w:r>
        <w:t xml:space="preserve">. Furthermore, it demonstrates the usage of</w:t>
      </w:r>
      <w:r>
        <w:t xml:space="preserve"> </w:t>
      </w:r>
      <w:r>
        <w:rPr>
          <w:rStyle w:val="VerbatimChar"/>
        </w:rPr>
        <w:t xml:space="preserve">sfkanbun-lua.sty</w:t>
      </w:r>
      <w:r>
        <w:t xml:space="preserve"> </w:t>
      </w:r>
      <w:r>
        <w:t xml:space="preserve">(a version of Fujita Shinsaku’s</w:t>
      </w:r>
      <w:r>
        <w:t xml:space="preserve"> </w:t>
      </w:r>
      <w:r>
        <w:rPr>
          <w:rStyle w:val="VerbatimChar"/>
        </w:rPr>
        <w:t xml:space="preserve">sfkanbun.sty</w:t>
      </w:r>
      <w:r>
        <w:t xml:space="preserve"> </w:t>
      </w:r>
      <w:r>
        <w:t xml:space="preserve">adapted for LuaLaTeX), command redefinitions to maintain compatibility with</w:t>
      </w:r>
      <w:r>
        <w:t xml:space="preserve"> </w:t>
      </w:r>
      <w:r>
        <w:rPr>
          <w:rStyle w:val="VerbatimChar"/>
        </w:rPr>
        <w:t xml:space="preserve">kunten2e.sty</w:t>
      </w:r>
      <w:r>
        <w:t xml:space="preserve"> </w:t>
      </w:r>
      <w:r>
        <w:t xml:space="preserve">macros (such as</w:t>
      </w:r>
      <w:r>
        <w:t xml:space="preserve"> </w:t>
      </w:r>
      <w:r>
        <w:rPr>
          <w:rStyle w:val="VerbatimChar"/>
        </w:rPr>
        <w:t xml:space="preserve">\sougyou</w:t>
      </w:r>
      <w:r>
        <w:t xml:space="preserve"> </w:t>
      </w:r>
      <w:r>
        <w:t xml:space="preserve">and</w:t>
      </w:r>
      <w:r>
        <w:t xml:space="preserve"> </w:t>
      </w:r>
      <w:r>
        <w:rPr>
          <w:rStyle w:val="VerbatimChar"/>
        </w:rPr>
        <w:t xml:space="preserve">\hukusougyou</w:t>
      </w:r>
      <w:r>
        <w:t xml:space="preserve">), and provides examples and typesetting results for the</w:t>
      </w:r>
      <w:r>
        <w:t xml:space="preserve"> </w:t>
      </w:r>
      <w:r>
        <w:rPr>
          <w:rStyle w:val="VerbatimChar"/>
        </w:rPr>
        <w:t xml:space="preserve">\kundoku</w:t>
      </w:r>
      <w:r>
        <w:t xml:space="preserve"> </w:t>
      </w:r>
      <w:r>
        <w:t xml:space="preserve">command. It also addresses modifications needed to use legacy</w:t>
      </w:r>
      <w:r>
        <w:t xml:space="preserve"> </w:t>
      </w:r>
      <w:r>
        <w:rPr>
          <w:rStyle w:val="VerbatimChar"/>
        </w:rPr>
        <w:t xml:space="preserve">kunten2e.sty</w:t>
      </w:r>
      <w:r>
        <w:t xml:space="preserve"> </w:t>
      </w:r>
      <w:r>
        <w:t xml:space="preserve">files with LuaLaTeX.</w:t>
      </w:r>
    </w:p>
    <w:p>
      <w:pPr>
        <w:pStyle w:val="BodyText"/>
      </w:pPr>
      <w:r>
        <w:rPr>
          <w:bCs/>
          <w:b/>
        </w:rPr>
        <w:t xml:space="preserve">Please refer to the Japanese version for details.</w:t>
      </w:r>
    </w:p>
    <w:bookmarkEnd w:id="841"/>
    <w:bookmarkEnd w:id="842"/>
    <w:bookmarkStart w:id="876" w:name="Xd5cd451a1e48b1920369e0600a868353987ce6e"/>
    <w:bookmarkStart w:id="875" w:name="Xcc89f5a74a4a3b8f419cf4c3ce08f7d4c91fcba"/>
    <w:p>
      <w:pPr>
        <w:pStyle w:val="Heading1"/>
      </w:pPr>
      <w:r>
        <w:rPr>
          <w:rStyle w:val="SectionNumber"/>
        </w:rPr>
        <w:t xml:space="preserve">32</w:t>
      </w:r>
      <w:r>
        <w:tab/>
      </w:r>
      <w:r>
        <w:t xml:space="preserve">Online Tools</w:t>
      </w:r>
    </w:p>
    <w:bookmarkStart w:id="874" w:name="Xcafc655c0e348c12e494a01f795d24479b8a6a0"/>
    <w:p>
      <w:pPr>
        <w:pStyle w:val="Heading2"/>
      </w:pPr>
      <w:r>
        <w:rPr>
          <w:rStyle w:val="SectionNumber"/>
        </w:rPr>
        <w:t xml:space="preserve">32.1</w:t>
      </w:r>
      <w:r>
        <w:tab/>
      </w:r>
      <w:r>
        <w:t xml:space="preserve">Links to frequently used online tools</w:t>
      </w:r>
    </w:p>
    <w:p>
      <w:pPr>
        <w:numPr>
          <w:ilvl w:val="0"/>
          <w:numId w:val="1261"/>
        </w:numPr>
        <w:pStyle w:val="Compact"/>
      </w:pPr>
      <w:hyperlink r:id="rId843">
        <w:r>
          <w:rPr>
            <w:rStyle w:val="Hyperlink"/>
          </w:rPr>
          <w:t xml:space="preserve">Kanji Database Project 漢字データベースプロジェクト</w:t>
        </w:r>
      </w:hyperlink>
    </w:p>
    <w:p>
      <w:pPr>
        <w:numPr>
          <w:ilvl w:val="0"/>
          <w:numId w:val="1261"/>
        </w:numPr>
        <w:pStyle w:val="Compact"/>
      </w:pPr>
      <w:hyperlink r:id="rId844">
        <w:r>
          <w:rPr>
            <w:rStyle w:val="Hyperlink"/>
          </w:rPr>
          <w:t xml:space="preserve">CHISE IDS find 漢字検索</w:t>
        </w:r>
      </w:hyperlink>
    </w:p>
    <w:p>
      <w:pPr>
        <w:numPr>
          <w:ilvl w:val="0"/>
          <w:numId w:val="1261"/>
        </w:numPr>
        <w:pStyle w:val="Compact"/>
      </w:pPr>
      <w:hyperlink r:id="rId845">
        <w:r>
          <w:rPr>
            <w:rStyle w:val="Hyperlink"/>
          </w:rPr>
          <w:t xml:space="preserve">HNG単字検索</w:t>
        </w:r>
      </w:hyperlink>
    </w:p>
    <w:p>
      <w:pPr>
        <w:numPr>
          <w:ilvl w:val="0"/>
          <w:numId w:val="1261"/>
        </w:numPr>
        <w:pStyle w:val="Compact"/>
      </w:pPr>
      <w:hyperlink r:id="rId846">
        <w:r>
          <w:rPr>
            <w:rStyle w:val="Hyperlink"/>
          </w:rPr>
          <w:t xml:space="preserve">GlyphWiki グリフウィキ</w:t>
        </w:r>
      </w:hyperlink>
    </w:p>
    <w:p>
      <w:pPr>
        <w:numPr>
          <w:ilvl w:val="0"/>
          <w:numId w:val="1261"/>
        </w:numPr>
        <w:pStyle w:val="Compact"/>
      </w:pPr>
      <w:hyperlink r:id="rId847">
        <w:r>
          <w:rPr>
            <w:rStyle w:val="Hyperlink"/>
          </w:rPr>
          <w:t xml:space="preserve">Han Morphism System Ver.0.3.1</w:t>
        </w:r>
      </w:hyperlink>
    </w:p>
    <w:p>
      <w:pPr>
        <w:numPr>
          <w:ilvl w:val="0"/>
          <w:numId w:val="1261"/>
        </w:numPr>
        <w:pStyle w:val="Compact"/>
      </w:pPr>
      <w:hyperlink r:id="rId848">
        <w:r>
          <w:rPr>
            <w:rStyle w:val="Hyperlink"/>
          </w:rPr>
          <w:t xml:space="preserve">篇韻データベース</w:t>
        </w:r>
      </w:hyperlink>
    </w:p>
    <w:p>
      <w:pPr>
        <w:numPr>
          <w:ilvl w:val="0"/>
          <w:numId w:val="1261"/>
        </w:numPr>
        <w:pStyle w:val="Compact"/>
      </w:pPr>
      <w:hyperlink r:id="rId849">
        <w:r>
          <w:rPr>
            <w:rStyle w:val="Hyperlink"/>
          </w:rPr>
          <w:t xml:space="preserve">The SAT Daizōkyō Text Database SAT大正新脩大藏經テキストデータベース</w:t>
        </w:r>
      </w:hyperlink>
    </w:p>
    <w:p>
      <w:pPr>
        <w:numPr>
          <w:ilvl w:val="0"/>
          <w:numId w:val="1261"/>
        </w:numPr>
        <w:pStyle w:val="Compact"/>
      </w:pPr>
      <w:hyperlink r:id="rId850">
        <w:r>
          <w:rPr>
            <w:rStyle w:val="Hyperlink"/>
          </w:rPr>
          <w:t xml:space="preserve">拓本文字データベース</w:t>
        </w:r>
      </w:hyperlink>
    </w:p>
    <w:p>
      <w:pPr>
        <w:numPr>
          <w:ilvl w:val="0"/>
          <w:numId w:val="1261"/>
        </w:numPr>
        <w:pStyle w:val="Compact"/>
      </w:pPr>
      <w:hyperlink r:id="rId851">
        <w:r>
          <w:rPr>
            <w:rStyle w:val="Hyperlink"/>
          </w:rPr>
          <w:t xml:space="preserve">3rdpageSearch</w:t>
        </w:r>
      </w:hyperlink>
    </w:p>
    <w:p>
      <w:pPr>
        <w:numPr>
          <w:ilvl w:val="0"/>
          <w:numId w:val="1261"/>
        </w:numPr>
        <w:pStyle w:val="Compact"/>
      </w:pPr>
      <w:hyperlink r:id="rId852">
        <w:r>
          <w:rPr>
            <w:rStyle w:val="Hyperlink"/>
          </w:rPr>
          <w:t xml:space="preserve">一切經音義 徐時儀校注</w:t>
        </w:r>
      </w:hyperlink>
      <w:r>
        <w:t xml:space="preserve">（リンク切れ）</w:t>
      </w:r>
    </w:p>
    <w:p>
      <w:pPr>
        <w:numPr>
          <w:ilvl w:val="0"/>
          <w:numId w:val="1261"/>
        </w:numPr>
        <w:pStyle w:val="Compact"/>
      </w:pPr>
      <w:hyperlink r:id="rId249">
        <w:r>
          <w:rPr>
            <w:rStyle w:val="Hyperlink"/>
          </w:rPr>
          <w:t xml:space="preserve">Chinese Text Project 中國哲學書電子化計劃</w:t>
        </w:r>
      </w:hyperlink>
    </w:p>
    <w:p>
      <w:pPr>
        <w:numPr>
          <w:ilvl w:val="0"/>
          <w:numId w:val="1261"/>
        </w:numPr>
        <w:pStyle w:val="Compact"/>
      </w:pPr>
      <w:hyperlink r:id="rId853">
        <w:r>
          <w:rPr>
            <w:rStyle w:val="Hyperlink"/>
          </w:rPr>
          <w:t xml:space="preserve">漢籍リポジトリ</w:t>
        </w:r>
      </w:hyperlink>
    </w:p>
    <w:p>
      <w:pPr>
        <w:numPr>
          <w:ilvl w:val="0"/>
          <w:numId w:val="1261"/>
        </w:numPr>
        <w:pStyle w:val="Compact"/>
      </w:pPr>
      <w:hyperlink r:id="rId854">
        <w:r>
          <w:rPr>
            <w:rStyle w:val="Hyperlink"/>
          </w:rPr>
          <w:t xml:space="preserve">漢籍リポジトリ・文選</w:t>
        </w:r>
      </w:hyperlink>
    </w:p>
    <w:p>
      <w:pPr>
        <w:numPr>
          <w:ilvl w:val="0"/>
          <w:numId w:val="1261"/>
        </w:numPr>
        <w:pStyle w:val="Compact"/>
      </w:pPr>
      <w:hyperlink r:id="rId855">
        <w:r>
          <w:rPr>
            <w:rStyle w:val="Hyperlink"/>
          </w:rPr>
          <w:t xml:space="preserve">漢典</w:t>
        </w:r>
      </w:hyperlink>
    </w:p>
    <w:p>
      <w:pPr>
        <w:numPr>
          <w:ilvl w:val="0"/>
          <w:numId w:val="1261"/>
        </w:numPr>
        <w:pStyle w:val="Compact"/>
      </w:pPr>
      <w:hyperlink r:id="rId856">
        <w:r>
          <w:rPr>
            <w:rStyle w:val="Hyperlink"/>
          </w:rPr>
          <w:t xml:space="preserve">JapanKnowledge</w:t>
        </w:r>
      </w:hyperlink>
    </w:p>
    <w:p>
      <w:pPr>
        <w:numPr>
          <w:ilvl w:val="0"/>
          <w:numId w:val="1261"/>
        </w:numPr>
        <w:pStyle w:val="Compact"/>
      </w:pPr>
      <w:hyperlink r:id="rId857">
        <w:r>
          <w:rPr>
            <w:rStyle w:val="Hyperlink"/>
          </w:rPr>
          <w:t xml:space="preserve">Japanese pre-modern dictionaries 日本近代辞書・字書集</w:t>
        </w:r>
      </w:hyperlink>
    </w:p>
    <w:p>
      <w:pPr>
        <w:numPr>
          <w:ilvl w:val="0"/>
          <w:numId w:val="1261"/>
        </w:numPr>
        <w:pStyle w:val="Compact"/>
      </w:pPr>
      <w:hyperlink r:id="rId858">
        <w:r>
          <w:rPr>
            <w:rStyle w:val="Hyperlink"/>
          </w:rPr>
          <w:t xml:space="preserve">小學堂文字學資料庫</w:t>
        </w:r>
      </w:hyperlink>
    </w:p>
    <w:p>
      <w:pPr>
        <w:numPr>
          <w:ilvl w:val="0"/>
          <w:numId w:val="1261"/>
        </w:numPr>
        <w:pStyle w:val="Compact"/>
      </w:pPr>
      <w:hyperlink r:id="rId859">
        <w:r>
          <w:rPr>
            <w:rStyle w:val="Hyperlink"/>
          </w:rPr>
          <w:t xml:space="preserve">零時字引</w:t>
        </w:r>
      </w:hyperlink>
    </w:p>
    <w:p>
      <w:pPr>
        <w:numPr>
          <w:ilvl w:val="0"/>
          <w:numId w:val="1261"/>
        </w:numPr>
        <w:pStyle w:val="Compact"/>
      </w:pPr>
      <w:hyperlink r:id="rId860">
        <w:r>
          <w:rPr>
            <w:rStyle w:val="Hyperlink"/>
          </w:rPr>
          <w:t xml:space="preserve">TableConvert</w:t>
        </w:r>
      </w:hyperlink>
    </w:p>
    <w:p>
      <w:pPr>
        <w:numPr>
          <w:ilvl w:val="0"/>
          <w:numId w:val="1261"/>
        </w:numPr>
        <w:pStyle w:val="Compact"/>
      </w:pPr>
      <w:hyperlink r:id="rId861">
        <w:r>
          <w:rPr>
            <w:rStyle w:val="Hyperlink"/>
          </w:rPr>
          <w:t xml:space="preserve">convertio オンライン画像コンバーター</w:t>
        </w:r>
      </w:hyperlink>
    </w:p>
    <w:p>
      <w:pPr>
        <w:numPr>
          <w:ilvl w:val="0"/>
          <w:numId w:val="1261"/>
        </w:numPr>
        <w:pStyle w:val="Compact"/>
      </w:pPr>
      <w:hyperlink r:id="rId862">
        <w:r>
          <w:rPr>
            <w:rStyle w:val="Hyperlink"/>
          </w:rPr>
          <w:t xml:space="preserve">media オンライン画像変換ツール</w:t>
        </w:r>
      </w:hyperlink>
    </w:p>
    <w:p>
      <w:pPr>
        <w:numPr>
          <w:ilvl w:val="0"/>
          <w:numId w:val="1261"/>
        </w:numPr>
        <w:pStyle w:val="Compact"/>
      </w:pPr>
      <w:hyperlink r:id="rId863">
        <w:r>
          <w:rPr>
            <w:rStyle w:val="Hyperlink"/>
          </w:rPr>
          <w:t xml:space="preserve">onlineconvertfree オンライン画像変換</w:t>
        </w:r>
      </w:hyperlink>
    </w:p>
    <w:p>
      <w:pPr>
        <w:numPr>
          <w:ilvl w:val="0"/>
          <w:numId w:val="1261"/>
        </w:numPr>
        <w:pStyle w:val="Compact"/>
      </w:pPr>
      <w:hyperlink r:id="rId864">
        <w:r>
          <w:rPr>
            <w:rStyle w:val="Hyperlink"/>
          </w:rPr>
          <w:t xml:space="preserve">CiNii</w:t>
        </w:r>
      </w:hyperlink>
    </w:p>
    <w:p>
      <w:pPr>
        <w:numPr>
          <w:ilvl w:val="0"/>
          <w:numId w:val="1261"/>
        </w:numPr>
        <w:pStyle w:val="Compact"/>
      </w:pPr>
      <w:hyperlink r:id="rId864">
        <w:r>
          <w:rPr>
            <w:rStyle w:val="Hyperlink"/>
          </w:rPr>
          <w:t xml:space="preserve">NDL</w:t>
        </w:r>
      </w:hyperlink>
    </w:p>
    <w:p>
      <w:pPr>
        <w:numPr>
          <w:ilvl w:val="0"/>
          <w:numId w:val="1261"/>
        </w:numPr>
        <w:pStyle w:val="Compact"/>
      </w:pPr>
      <w:hyperlink r:id="rId865">
        <w:r>
          <w:rPr>
            <w:rStyle w:val="Hyperlink"/>
          </w:rPr>
          <w:t xml:space="preserve">CHJ 日本語歴史コーパス</w:t>
        </w:r>
      </w:hyperlink>
    </w:p>
    <w:p>
      <w:pPr>
        <w:numPr>
          <w:ilvl w:val="0"/>
          <w:numId w:val="1261"/>
        </w:numPr>
        <w:pStyle w:val="Compact"/>
      </w:pPr>
      <w:hyperlink r:id="rId866">
        <w:r>
          <w:rPr>
            <w:rStyle w:val="Hyperlink"/>
          </w:rPr>
          <w:t xml:space="preserve">NINJAL 日本語研究・日本語教育文献データベース</w:t>
        </w:r>
      </w:hyperlink>
    </w:p>
    <w:p>
      <w:pPr>
        <w:numPr>
          <w:ilvl w:val="0"/>
          <w:numId w:val="1261"/>
        </w:numPr>
        <w:pStyle w:val="Compact"/>
      </w:pPr>
      <w:hyperlink r:id="rId867">
        <w:r>
          <w:rPr>
            <w:rStyle w:val="Hyperlink"/>
          </w:rPr>
          <w:t xml:space="preserve">Google Scholar</w:t>
        </w:r>
      </w:hyperlink>
    </w:p>
    <w:p>
      <w:pPr>
        <w:numPr>
          <w:ilvl w:val="0"/>
          <w:numId w:val="1261"/>
        </w:numPr>
        <w:pStyle w:val="Compact"/>
      </w:pPr>
      <w:hyperlink r:id="rId868">
        <w:r>
          <w:rPr>
            <w:rStyle w:val="Hyperlink"/>
          </w:rPr>
          <w:t xml:space="preserve">日本古典籍総合目録データベース</w:t>
        </w:r>
      </w:hyperlink>
    </w:p>
    <w:p>
      <w:pPr>
        <w:numPr>
          <w:ilvl w:val="0"/>
          <w:numId w:val="1261"/>
        </w:numPr>
        <w:pStyle w:val="Compact"/>
      </w:pPr>
      <w:hyperlink r:id="rId869">
        <w:r>
          <w:rPr>
            <w:rStyle w:val="Hyperlink"/>
          </w:rPr>
          <w:t xml:space="preserve">Fujita Shinsaku TeX/LaTeX Page</w:t>
        </w:r>
      </w:hyperlink>
    </w:p>
    <w:p>
      <w:pPr>
        <w:numPr>
          <w:ilvl w:val="0"/>
          <w:numId w:val="1261"/>
        </w:numPr>
        <w:pStyle w:val="Compact"/>
      </w:pPr>
      <w:hyperlink r:id="rId870">
        <w:r>
          <w:rPr>
            <w:rStyle w:val="Hyperlink"/>
          </w:rPr>
          <w:t xml:space="preserve">新旧漢字変換・新舊漢字變換</w:t>
        </w:r>
      </w:hyperlink>
    </w:p>
    <w:p>
      <w:pPr>
        <w:numPr>
          <w:ilvl w:val="0"/>
          <w:numId w:val="1261"/>
        </w:numPr>
        <w:pStyle w:val="Compact"/>
      </w:pPr>
      <w:hyperlink r:id="rId871">
        <w:r>
          <w:rPr>
            <w:rStyle w:val="Hyperlink"/>
          </w:rPr>
          <w:t xml:space="preserve">文選 維基文庫</w:t>
        </w:r>
      </w:hyperlink>
    </w:p>
    <w:p>
      <w:pPr>
        <w:numPr>
          <w:ilvl w:val="0"/>
          <w:numId w:val="1261"/>
        </w:numPr>
        <w:pStyle w:val="Compact"/>
      </w:pPr>
      <w:hyperlink r:id="rId872">
        <w:r>
          <w:rPr>
            <w:rStyle w:val="Hyperlink"/>
          </w:rPr>
          <w:t xml:space="preserve">インターネット上で閲覧できる古辞書一覧</w:t>
        </w:r>
      </w:hyperlink>
    </w:p>
    <w:p>
      <w:pPr>
        <w:numPr>
          <w:ilvl w:val="0"/>
          <w:numId w:val="1261"/>
        </w:numPr>
        <w:pStyle w:val="Compact"/>
      </w:pPr>
      <w:hyperlink r:id="rId873">
        <w:r>
          <w:rPr>
            <w:rStyle w:val="Hyperlink"/>
          </w:rPr>
          <w:t xml:space="preserve">十三経注疏 内閣文庫</w:t>
        </w:r>
      </w:hyperlink>
    </w:p>
    <w:bookmarkEnd w:id="874"/>
    <w:bookmarkEnd w:id="875"/>
    <w:bookmarkEnd w:id="876"/>
    <w:bookmarkStart w:id="885" w:name="Xe1164d218b146e42dfca93acfbdf1f49a1cdd36"/>
    <w:bookmarkStart w:id="884" w:name="Xabd31786b9d9ff59c751c9784aa78150fc335a8"/>
    <w:p>
      <w:pPr>
        <w:pStyle w:val="Heading1"/>
      </w:pPr>
      <w:r>
        <w:rPr>
          <w:rStyle w:val="SectionNumber"/>
        </w:rPr>
        <w:t xml:space="preserve">33</w:t>
      </w:r>
      <w:r>
        <w:tab/>
      </w:r>
      <w:r>
        <w:t xml:space="preserve">Development History</w:t>
      </w:r>
    </w:p>
    <w:p>
      <w:pPr>
        <w:pStyle w:val="FirstParagraph"/>
      </w:pPr>
      <w:r>
        <w:t xml:space="preserve">Note that while the explanation provided here overlaps in part with what is stated in the paper by Shōju Ikeda, Liu Guanwei, Jung Munho, Zhang Xinfang, and Li Yuan,</w:t>
      </w:r>
      <w:r>
        <w:t xml:space="preserve"> </w:t>
      </w:r>
      <w:r>
        <w:t xml:space="preserve">“</w:t>
      </w:r>
      <w:r>
        <w:t xml:space="preserve">Full-text Database of</w:t>
      </w:r>
      <w:r>
        <w:t xml:space="preserve"> </w:t>
      </w:r>
      <w:r>
        <w:rPr>
          <w:iCs/>
          <w:i/>
        </w:rPr>
        <w:t xml:space="preserve">Ruijū Myōgishō</w:t>
      </w:r>
      <w:r>
        <w:t xml:space="preserve">, Kanchi-in MS : A Look at Development Methods and Calculating the Number of Headwords.</w:t>
      </w:r>
      <w:r>
        <w:t xml:space="preserve">”</w:t>
      </w:r>
      <w:r>
        <w:t xml:space="preserve"> </w:t>
      </w:r>
      <w:r>
        <w:t xml:space="preserve">(</w:t>
      </w:r>
      <w:r>
        <w:rPr>
          <w:iCs/>
          <w:i/>
        </w:rPr>
        <w:t xml:space="preserve">Kuntengo to Kuten Shiryō</w:t>
      </w:r>
      <w:r>
        <w:t xml:space="preserve"> </w:t>
      </w:r>
      <w:r>
        <w:t xml:space="preserve">144, 2020), it has been completely overhauled and rewritten by the first author, Ikeda, who organized the terminology and substantially added subsequent research findings.</w:t>
      </w:r>
    </w:p>
    <w:bookmarkStart w:id="877" w:name="X5fd842d7a33d1ed05514b54e80fe6b5be97446e"/>
    <w:p>
      <w:pPr>
        <w:pStyle w:val="Heading2"/>
      </w:pPr>
      <w:r>
        <w:rPr>
          <w:rStyle w:val="SectionNumber"/>
        </w:rPr>
        <w:t xml:space="preserve">33.1</w:t>
      </w:r>
      <w:r>
        <w:tab/>
      </w:r>
      <w:r>
        <w:t xml:space="preserve">Database Construction Process</w:t>
      </w:r>
    </w:p>
    <w:p>
      <w:pPr>
        <w:pStyle w:val="FirstParagraph"/>
      </w:pPr>
      <w:r>
        <w:t xml:space="preserve">The</w:t>
      </w:r>
      <w:r>
        <w:t xml:space="preserve"> </w:t>
      </w:r>
      <w:r>
        <w:rPr>
          <w:iCs/>
          <w:i/>
        </w:rPr>
        <w:t xml:space="preserve">Ruijū Myōgishō</w:t>
      </w:r>
      <w:r>
        <w:t xml:space="preserve"> </w:t>
      </w:r>
      <w:r>
        <w:t xml:space="preserve">of the Kanchi-in manuscript is an old handwritten manuscript, and because it contains an extremely large number of difficult characters, we proceeded with database construction using the following steps.</w:t>
      </w:r>
    </w:p>
    <w:p>
      <w:pPr>
        <w:pStyle w:val="BodyText"/>
      </w:pPr>
      <w:r>
        <w:rPr>
          <w:bCs/>
          <w:b/>
        </w:rPr>
        <w:t xml:space="preserve">Step 1:</w:t>
      </w:r>
      <w:r>
        <w:t xml:space="preserve"> </w:t>
      </w:r>
      <w:r>
        <w:t xml:space="preserve">Scan the facsimile edition and cut out each listed character to create an image database of the</w:t>
      </w:r>
      <w:r>
        <w:t xml:space="preserve"> </w:t>
      </w:r>
      <w:r>
        <w:rPr>
          <w:iCs/>
          <w:i/>
        </w:rPr>
        <w:t xml:space="preserve">Ruijū Myōgishō</w:t>
      </w:r>
      <w:r>
        <w:t xml:space="preserve"> </w:t>
      </w:r>
      <w:r>
        <w:t xml:space="preserve">of the Kanchi-in manuscript. The image files of the listed characters are named according to the location of the listed character. This image file name will later be used as the listed character ID.</w:t>
      </w:r>
    </w:p>
    <w:p>
      <w:pPr>
        <w:pStyle w:val="BodyText"/>
      </w:pPr>
      <w:r>
        <w:rPr>
          <w:bCs/>
          <w:b/>
        </w:rPr>
        <w:t xml:space="preserve">Step 2:</w:t>
      </w:r>
      <w:r>
        <w:t xml:space="preserve"> </w:t>
      </w:r>
      <w:r>
        <w:t xml:space="preserve">Add the location information to the existing</w:t>
      </w:r>
      <w:r>
        <w:t xml:space="preserve"> </w:t>
      </w:r>
      <w:r>
        <w:rPr>
          <w:iCs/>
          <w:i/>
        </w:rPr>
        <w:t xml:space="preserve">Tenrei Banshō Meigi</w:t>
      </w:r>
      <w:r>
        <w:t xml:space="preserve"> </w:t>
      </w:r>
      <w:r>
        <w:t xml:space="preserve">database by referring to the</w:t>
      </w:r>
      <w:r>
        <w:t xml:space="preserve"> </w:t>
      </w:r>
      <w:r>
        <w:t xml:space="preserve">“</w:t>
      </w:r>
      <w:r>
        <w:t xml:space="preserve">Kanji Index</w:t>
      </w:r>
      <w:r>
        <w:t xml:space="preserve">”</w:t>
      </w:r>
      <w:r>
        <w:t xml:space="preserve"> </w:t>
      </w:r>
      <w:r>
        <w:t xml:space="preserve">included in Masamune Atsuo’s</w:t>
      </w:r>
      <w:r>
        <w:t xml:space="preserve"> </w:t>
      </w:r>
      <w:r>
        <w:rPr>
          <w:iCs/>
          <w:i/>
        </w:rPr>
        <w:t xml:space="preserve">Ruijū Myōgishō, Volume 2</w:t>
      </w:r>
      <w:r>
        <w:t xml:space="preserve"> </w:t>
      </w:r>
      <w:r>
        <w:t xml:space="preserve">(Kazama Shobō, 1955). Input the location information from the</w:t>
      </w:r>
      <w:r>
        <w:t xml:space="preserve"> </w:t>
      </w:r>
      <w:r>
        <w:t xml:space="preserve">“</w:t>
      </w:r>
      <w:r>
        <w:t xml:space="preserve">Kanji Index</w:t>
      </w:r>
      <w:r>
        <w:t xml:space="preserve">”</w:t>
      </w:r>
      <w:r>
        <w:t xml:space="preserve"> </w:t>
      </w:r>
      <w:r>
        <w:t xml:space="preserve">into the</w:t>
      </w:r>
      <w:r>
        <w:t xml:space="preserve"> </w:t>
      </w:r>
      <w:r>
        <w:rPr>
          <w:iCs/>
          <w:i/>
        </w:rPr>
        <w:t xml:space="preserve">Tenrei Banshō Meigi</w:t>
      </w:r>
      <w:r>
        <w:t xml:space="preserve"> </w:t>
      </w:r>
      <w:r>
        <w:t xml:space="preserve">data rearranged in the order of the</w:t>
      </w:r>
      <w:r>
        <w:t xml:space="preserve"> </w:t>
      </w:r>
      <w:r>
        <w:rPr>
          <w:iCs/>
          <w:i/>
        </w:rPr>
        <w:t xml:space="preserve">Dai Kanwa Jiten</w:t>
      </w:r>
      <w:r>
        <w:t xml:space="preserve"> </w:t>
      </w:r>
      <w:r>
        <w:t xml:space="preserve">index numbers compiled by Morohashi Tetsuji. Then, rearrange it according to the order of locations in the Kanchi-in manuscript, collate it with the text of the Kanchi-in manuscript, and add the page numbers and character order of the Kanchi-in manuscript that are not found in the</w:t>
      </w:r>
      <w:r>
        <w:t xml:space="preserve"> </w:t>
      </w:r>
      <w:r>
        <w:t xml:space="preserve">“</w:t>
      </w:r>
      <w:r>
        <w:t xml:space="preserve">Kanji Index.</w:t>
      </w:r>
      <w:r>
        <w:t xml:space="preserve">”</w:t>
      </w:r>
    </w:p>
    <w:p>
      <w:pPr>
        <w:pStyle w:val="BodyText"/>
      </w:pPr>
      <w:r>
        <w:rPr>
          <w:bCs/>
          <w:b/>
        </w:rPr>
        <w:t xml:space="preserve">Step 3:</w:t>
      </w:r>
      <w:r>
        <w:t xml:space="preserve"> </w:t>
      </w:r>
      <w:r>
        <w:t xml:space="preserve">Take in various information included in the</w:t>
      </w:r>
      <w:r>
        <w:t xml:space="preserve"> </w:t>
      </w:r>
      <w:r>
        <w:rPr>
          <w:iCs/>
          <w:i/>
        </w:rPr>
        <w:t xml:space="preserve">Tenrei Banshō Meigi</w:t>
      </w:r>
      <w:r>
        <w:t xml:space="preserve"> </w:t>
      </w:r>
      <w:r>
        <w:t xml:space="preserve">database (</w:t>
      </w:r>
      <w:r>
        <w:rPr>
          <w:iCs/>
          <w:i/>
        </w:rPr>
        <w:t xml:space="preserve">Dai Kanwa Jiten</w:t>
      </w:r>
      <w:r>
        <w:t xml:space="preserve"> </w:t>
      </w:r>
      <w:r>
        <w:t xml:space="preserve">index numbers, Unicode numbers, kanji characters, location information in the</w:t>
      </w:r>
      <w:r>
        <w:t xml:space="preserve"> </w:t>
      </w:r>
      <w:r>
        <w:rPr>
          <w:iCs/>
          <w:i/>
        </w:rPr>
        <w:t xml:space="preserve">Tenrei Banshō Meigi</w:t>
      </w:r>
      <w:r>
        <w:t xml:space="preserve">) and the corresponding location information of the</w:t>
      </w:r>
      <w:r>
        <w:t xml:space="preserve"> </w:t>
      </w:r>
      <w:r>
        <w:rPr>
          <w:iCs/>
          <w:i/>
        </w:rPr>
        <w:t xml:space="preserve">Ruijū Myōgishō</w:t>
      </w:r>
      <w:r>
        <w:t xml:space="preserve"> </w:t>
      </w:r>
      <w:r>
        <w:t xml:space="preserve">Kanchi-in manuscript created in Step 2, into the</w:t>
      </w:r>
      <w:r>
        <w:t xml:space="preserve"> </w:t>
      </w:r>
      <w:r>
        <w:rPr>
          <w:iCs/>
          <w:i/>
        </w:rPr>
        <w:t xml:space="preserve">Ruijū Myōgishō</w:t>
      </w:r>
      <w:r>
        <w:t xml:space="preserve"> </w:t>
      </w:r>
      <w:r>
        <w:t xml:space="preserve">Kanchi-in manuscript image database (created in Step 1) to create an input database for the</w:t>
      </w:r>
      <w:r>
        <w:t xml:space="preserve"> </w:t>
      </w:r>
      <w:r>
        <w:rPr>
          <w:iCs/>
          <w:i/>
        </w:rPr>
        <w:t xml:space="preserve">Ruijū Myōgishō</w:t>
      </w:r>
      <w:r>
        <w:t xml:space="preserve"> </w:t>
      </w:r>
      <w:r>
        <w:t xml:space="preserve">Kanchi-in manuscript text.</w:t>
      </w:r>
    </w:p>
    <w:p>
      <w:pPr>
        <w:pStyle w:val="BodyText"/>
      </w:pPr>
      <w:r>
        <w:rPr>
          <w:bCs/>
          <w:b/>
        </w:rPr>
        <w:t xml:space="preserve">Step 4:</w:t>
      </w:r>
      <w:r>
        <w:t xml:space="preserve"> </w:t>
      </w:r>
      <w:r>
        <w:t xml:space="preserve">While referring to the facsimile edition of the</w:t>
      </w:r>
      <w:r>
        <w:t xml:space="preserve"> </w:t>
      </w:r>
      <w:r>
        <w:rPr>
          <w:iCs/>
          <w:i/>
        </w:rPr>
        <w:t xml:space="preserve">Ruijū Myōgishō</w:t>
      </w:r>
      <w:r>
        <w:t xml:space="preserve"> </w:t>
      </w:r>
      <w:r>
        <w:t xml:space="preserve">Kanchi-in manuscript (Tenri Library Rare Books Series, Japanese Books Section, Volumes 32-34) and the</w:t>
      </w:r>
      <w:r>
        <w:t xml:space="preserve"> </w:t>
      </w:r>
      <w:r>
        <w:rPr>
          <w:iCs/>
          <w:i/>
        </w:rPr>
        <w:t xml:space="preserve">Ruijū Myōgishō</w:t>
      </w:r>
      <w:r>
        <w:t xml:space="preserve"> </w:t>
      </w:r>
      <w:r>
        <w:t xml:space="preserve">Kanchi-in manuscript image database, add the text information for the listed characters and their explanations (</w:t>
      </w:r>
      <w:r>
        <w:t xml:space="preserve">“</w:t>
      </w:r>
      <w:r>
        <w:t xml:space="preserve">chūmon/chūbun</w:t>
      </w:r>
      <w:r>
        <w:t xml:space="preserve">”</w:t>
      </w:r>
      <w:r>
        <w:t xml:space="preserve">) to the input database for the</w:t>
      </w:r>
      <w:r>
        <w:t xml:space="preserve"> </w:t>
      </w:r>
      <w:r>
        <w:rPr>
          <w:iCs/>
          <w:i/>
        </w:rPr>
        <w:t xml:space="preserve">Ruijū Myōgishō</w:t>
      </w:r>
      <w:r>
        <w:t xml:space="preserve"> </w:t>
      </w:r>
      <w:r>
        <w:t xml:space="preserve">Kanchi-in manuscript text created in Step 3.</w:t>
      </w:r>
    </w:p>
    <w:p>
      <w:pPr>
        <w:pStyle w:val="BodyText"/>
      </w:pPr>
      <w:r>
        <w:rPr>
          <w:bCs/>
          <w:b/>
        </w:rPr>
        <w:t xml:space="preserve">Step 5:</w:t>
      </w:r>
      <w:r>
        <w:t xml:space="preserve"> </w:t>
      </w:r>
      <w:r>
        <w:t xml:space="preserve">Integrate the</w:t>
      </w:r>
      <w:r>
        <w:t xml:space="preserve"> </w:t>
      </w:r>
      <w:r>
        <w:rPr>
          <w:iCs/>
          <w:i/>
        </w:rPr>
        <w:t xml:space="preserve">Ruijū Myōgishō</w:t>
      </w:r>
      <w:r>
        <w:t xml:space="preserve"> </w:t>
      </w:r>
      <w:r>
        <w:t xml:space="preserve">Kanchi-in manuscript image database and the</w:t>
      </w:r>
      <w:r>
        <w:t xml:space="preserve"> </w:t>
      </w:r>
      <w:r>
        <w:rPr>
          <w:iCs/>
          <w:i/>
        </w:rPr>
        <w:t xml:space="preserve">Ruijū Myōgishō</w:t>
      </w:r>
      <w:r>
        <w:t xml:space="preserve"> </w:t>
      </w:r>
      <w:r>
        <w:t xml:space="preserve">Kanchi-in manuscript text database to form the</w:t>
      </w:r>
      <w:r>
        <w:t xml:space="preserve"> </w:t>
      </w:r>
      <w:r>
        <w:rPr>
          <w:iCs/>
          <w:i/>
        </w:rPr>
        <w:t xml:space="preserve">Ruijū Myōgishō</w:t>
      </w:r>
      <w:r>
        <w:t xml:space="preserve"> </w:t>
      </w:r>
      <w:r>
        <w:t xml:space="preserve">Kanchi-in manuscript database. Then, check and revise the text content using the newly published color facsimile edition of the</w:t>
      </w:r>
      <w:r>
        <w:t xml:space="preserve"> </w:t>
      </w:r>
      <w:r>
        <w:rPr>
          <w:iCs/>
          <w:i/>
        </w:rPr>
        <w:t xml:space="preserve">Ruijū Myōgishō</w:t>
      </w:r>
      <w:r>
        <w:t xml:space="preserve"> </w:t>
      </w:r>
      <w:r>
        <w:t xml:space="preserve">Kanchi-in manuscript (New Tenri Library Rare Books Series, Volumes 9-11). When checking the text content, also distinguish between compound word entries and variant character entries in the listed items, and distinguish between font annotations, pronunciation annotations, meaning annotations, and Japanese glosses in the explanations, and add this information.</w:t>
      </w:r>
    </w:p>
    <w:p>
      <w:pPr>
        <w:pStyle w:val="BodyText"/>
      </w:pPr>
      <w:r>
        <w:rPr>
          <w:bCs/>
          <w:b/>
        </w:rPr>
        <w:t xml:space="preserve">Step 6:</w:t>
      </w:r>
      <w:r>
        <w:t xml:space="preserve"> </w:t>
      </w:r>
      <w:r>
        <w:t xml:space="preserve">Publish the completed</w:t>
      </w:r>
      <w:r>
        <w:t xml:space="preserve"> </w:t>
      </w:r>
      <w:r>
        <w:rPr>
          <w:iCs/>
          <w:i/>
        </w:rPr>
        <w:t xml:space="preserve">Ruijū Myōgishō</w:t>
      </w:r>
      <w:r>
        <w:t xml:space="preserve"> </w:t>
      </w:r>
      <w:r>
        <w:t xml:space="preserve">Kanchi-in manuscript database on the internet and provide a search service.</w:t>
      </w:r>
    </w:p>
    <w:bookmarkEnd w:id="877"/>
    <w:bookmarkStart w:id="883" w:name="X9c0ddc1a9037acb0cf895b7201e4cfb37998a88"/>
    <w:p>
      <w:pPr>
        <w:pStyle w:val="Heading2"/>
      </w:pPr>
      <w:r>
        <w:rPr>
          <w:rStyle w:val="SectionNumber"/>
        </w:rPr>
        <w:t xml:space="preserve">33.2</w:t>
      </w:r>
      <w:r>
        <w:tab/>
      </w:r>
      <w:r>
        <w:t xml:space="preserve">Online Information Provision</w:t>
      </w:r>
    </w:p>
    <w:p>
      <w:pPr>
        <w:pStyle w:val="FirstParagraph"/>
      </w:pPr>
      <w:r>
        <w:t xml:space="preserve">HDIC’s online information provision consists of three parts: the main site, the search screen, and the text data. The main site is available at the following URL and summarizes the overview of the Integrated Database of Hanzi Dictionaries in Early Japan (HDIC) (in Japanese, Chinese, and English), a list of research results, links to related sites, etc.</w:t>
      </w:r>
      <w:r>
        <w:t xml:space="preserve"> </w:t>
      </w:r>
      <w:hyperlink r:id="rId878">
        <w:r>
          <w:rPr>
            <w:rStyle w:val="Hyperlink"/>
          </w:rPr>
          <w:t xml:space="preserve">https://hdic.jp</w:t>
        </w:r>
      </w:hyperlink>
    </w:p>
    <w:p>
      <w:pPr>
        <w:pStyle w:val="BodyText"/>
      </w:pPr>
      <w:r>
        <w:t xml:space="preserve">The search screen is available at the following URL, where you can use the HDIC Viewer to search the Integrated Database of Hanzi Dictionaries in Early Japan (HDIC). The HDIC Viewer is maintained and managed by</w:t>
      </w:r>
      <w:r>
        <w:t xml:space="preserve"> </w:t>
      </w:r>
      <w:hyperlink r:id="rId879">
        <w:r>
          <w:rPr>
            <w:rStyle w:val="Hyperlink"/>
          </w:rPr>
          <w:t xml:space="preserve">Liu Guanwei</w:t>
        </w:r>
      </w:hyperlink>
      <w:r>
        <w:t xml:space="preserve"> </w:t>
      </w:r>
      <w:r>
        <w:t xml:space="preserve">and allows searches not only on personal computers but also on smartphones.</w:t>
      </w:r>
      <w:r>
        <w:t xml:space="preserve"> </w:t>
      </w:r>
      <w:hyperlink r:id="rId880">
        <w:r>
          <w:rPr>
            <w:rStyle w:val="Hyperlink"/>
          </w:rPr>
          <w:t xml:space="preserve">https://viewer.hdic.jp</w:t>
        </w:r>
      </w:hyperlink>
    </w:p>
    <w:p>
      <w:pPr>
        <w:pStyle w:val="BodyText"/>
      </w:pPr>
      <w:r>
        <w:t xml:space="preserve">We would like to express our gratitude to</w:t>
      </w:r>
      <w:r>
        <w:t xml:space="preserve"> </w:t>
      </w:r>
      <w:hyperlink r:id="rId881">
        <w:r>
          <w:rPr>
            <w:rStyle w:val="Hyperlink"/>
          </w:rPr>
          <w:t xml:space="preserve">Tomohiko Morioka</w:t>
        </w:r>
      </w:hyperlink>
      <w:r>
        <w:t xml:space="preserve"> </w:t>
      </w:r>
      <w:r>
        <w:t xml:space="preserve">for his technical support in maintaining and managing the hdic.jp website.</w:t>
      </w:r>
    </w:p>
    <w:p>
      <w:pPr>
        <w:pStyle w:val="BodyText"/>
      </w:pPr>
      <w:r>
        <w:t xml:space="preserve">The text data created by the Integrated Database of Hanzi Dictionaries in Early Japan (HDIC) is available at</w:t>
      </w:r>
      <w:r>
        <w:t xml:space="preserve"> </w:t>
      </w:r>
      <w:hyperlink r:id="rId250">
        <w:r>
          <w:rPr>
            <w:rStyle w:val="Hyperlink"/>
          </w:rPr>
          <w:t xml:space="preserve">https://github.com/shikeda/HDIC</w:t>
        </w:r>
      </w:hyperlink>
      <w:r>
        <w:t xml:space="preserve">, which preserves records of data revisions and provides the latest versions of the full-text databases for the Song Dynasty edition of the</w:t>
      </w:r>
      <w:r>
        <w:t xml:space="preserve"> </w:t>
      </w:r>
      <w:r>
        <w:rPr>
          <w:iCs/>
          <w:i/>
        </w:rPr>
        <w:t xml:space="preserve">Yupian</w:t>
      </w:r>
      <w:r>
        <w:t xml:space="preserve">, the Kōzan-ji manuscript of the</w:t>
      </w:r>
      <w:r>
        <w:t xml:space="preserve"> </w:t>
      </w:r>
      <w:r>
        <w:rPr>
          <w:iCs/>
          <w:i/>
        </w:rPr>
        <w:t xml:space="preserve">Tenrei Banshō Meigi</w:t>
      </w:r>
      <w:r>
        <w:t xml:space="preserve">, and the Tenji manuscript of the</w:t>
      </w:r>
      <w:r>
        <w:t xml:space="preserve"> </w:t>
      </w:r>
      <w:r>
        <w:rPr>
          <w:iCs/>
          <w:i/>
        </w:rPr>
        <w:t xml:space="preserve">Shinsen Jikyō</w:t>
      </w:r>
      <w:r>
        <w:t xml:space="preserve">.</w:t>
      </w:r>
    </w:p>
    <w:p>
      <w:pPr>
        <w:pStyle w:val="BodyText"/>
      </w:pPr>
      <w:r>
        <w:t xml:space="preserve">The KRM data specifically underwent a specification change in March 2025, and its current full-text database is published separately at</w:t>
      </w:r>
      <w:r>
        <w:t xml:space="preserve"> </w:t>
      </w:r>
      <w:hyperlink r:id="rId24">
        <w:r>
          <w:rPr>
            <w:rStyle w:val="Hyperlink"/>
          </w:rPr>
          <w:t xml:space="preserve">https://github.com/shikeda/krm</w:t>
        </w:r>
      </w:hyperlink>
      <w:r>
        <w:t xml:space="preserve"> </w:t>
      </w:r>
      <w:r>
        <w:t xml:space="preserve">(see</w:t>
      </w:r>
      <w:r>
        <w:t xml:space="preserve"> </w:t>
      </w:r>
      <w:hyperlink r:id="rId882">
        <w:r>
          <w:rPr>
            <w:rStyle w:val="Hyperlink"/>
          </w:rPr>
          <w:t xml:space="preserve">Resource Documented</w:t>
        </w:r>
      </w:hyperlink>
      <w:r>
        <w:t xml:space="preserve"> </w:t>
      </w:r>
      <w:r>
        <w:t xml:space="preserve">for the current version and citation).</w:t>
      </w:r>
    </w:p>
    <w:p>
      <w:pPr>
        <w:pStyle w:val="BodyText"/>
      </w:pPr>
      <w:r>
        <w:t xml:space="preserve">Please note that the above URLs are subject to change in the future. Maintaining and managing the constructed data is a significant challenge.</w:t>
      </w:r>
    </w:p>
    <w:bookmarkEnd w:id="883"/>
    <w:bookmarkEnd w:id="884"/>
    <w:bookmarkEnd w:id="885"/>
    <w:sectPr>
      <w:headerReference r:id="rId9" w:type="even"/>
      <w:headerReference r:id="rId10" w:type="default"/>
      <w:footerReference r:id="rId11" w:type="even"/>
      <w:footerReference r:id="rId12" w:type="default"/>
      <w:pgSz w:h="16838" w:w="11906"/>
      <w:pgMar w:bottom="1417" w:footer="709" w:gutter="0" w:header="709" w:left="1701" w:right="1701" w:top="141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Version 0.9</w:t>
    </w:r>
    <w:r>
      <w:tab/>
    </w:r>
    <w:fldSimple w:instr="PAGE">
      <w:r>
        <w:t>1</w:t>
      </w:r>
    </w:fldSimple>
    <w:r>
      <w:tab/>
      <w:t>July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Version 0.9</w:t>
    </w:r>
    <w:r>
      <w:tab/>
    </w:r>
    <w:fldSimple w:instr="PAGE">
      <w:r>
        <w:t>1</w:t>
      </w:r>
    </w:fldSimple>
    <w:r>
      <w:tab/>
      <w:t>July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5">
    <w:p>
      <w:pPr>
        <w:pStyle w:val="FootnoteText"/>
      </w:pPr>
      <w:r>
        <w:rPr>
          <w:rStyle w:val="FootnoteReference"/>
        </w:rPr>
        <w:footnoteRef/>
      </w:r>
      <w:r>
        <w:t xml:space="preserve"> </w:t>
      </w:r>
      <w:r>
        <w:t xml:space="preserve">These figures differ in some respects from those given in Ikeda, Shōju, Liú Guānwěi, Jung Munho, Zhāng Xīnfāng, and Lǐ Yuán,</w:t>
      </w:r>
      <w:r>
        <w:t xml:space="preserve"> </w:t>
      </w:r>
      <w:r>
        <w:t xml:space="preserve">“</w:t>
      </w:r>
      <w:r>
        <w:t xml:space="preserve">Kanchi-in bon</w:t>
      </w:r>
      <w:r>
        <w:t xml:space="preserve"> </w:t>
      </w:r>
      <w:r>
        <w:rPr>
          <w:iCs/>
          <w:i/>
        </w:rPr>
        <w:t xml:space="preserve">Ruiju Myōgishō</w:t>
      </w:r>
      <w:r>
        <w:t xml:space="preserve"> </w:t>
      </w:r>
      <w:r>
        <w:t xml:space="preserve">Zenbun Tekisuto Dētabēsu: Sono Kōchiku Hōhō to Keishutsu Kōmokusu-tō no Keiryō</w:t>
      </w:r>
      <w:r>
        <w:t xml:space="preserve">”</w:t>
      </w:r>
      <w:r>
        <w:t xml:space="preserve"> </w:t>
      </w:r>
      <w:r>
        <w:t xml:space="preserve">(</w:t>
      </w:r>
      <w:r>
        <w:rPr>
          <w:iCs/>
          <w:i/>
        </w:rPr>
        <w:t xml:space="preserve">Kuntengo to Kunten Shiryō</w:t>
      </w:r>
      <w:r>
        <w:t xml:space="preserve"> </w:t>
      </w:r>
      <w:r>
        <w:t xml:space="preserve">144, 2020): 105–129, owing to subsequent corrections made after further review; this does not affect the overall picture.</w:t>
      </w:r>
    </w:p>
  </w:footnote>
  <w:footnote w:id="143">
    <w:p>
      <w:pPr>
        <w:pStyle w:val="FootnoteText"/>
      </w:pPr>
      <w:r>
        <w:rPr>
          <w:rStyle w:val="FootnoteReference"/>
        </w:rPr>
        <w:footnoteRef/>
      </w:r>
      <w:r>
        <w:t xml:space="preserve"> </w:t>
      </w:r>
      <w:r>
        <w:t xml:space="preserve">Harumichi Ishizuka, Shoju Ikeda, Jun Shirai, and Tomokazu Takada,</w:t>
      </w:r>
      <w:r>
        <w:t xml:space="preserve"> </w:t>
      </w:r>
      <w:r>
        <w:t xml:space="preserve">“</w:t>
      </w:r>
      <w:r>
        <w:t xml:space="preserve">The data-base focusing on the standard of writing Chinese characters in Dunhuang manuscripts,</w:t>
      </w:r>
      <w:r>
        <w:t xml:space="preserve">”</w:t>
      </w:r>
      <w:r>
        <w:t xml:space="preserve"> </w:t>
      </w:r>
      <w:r>
        <w:t xml:space="preserve">in</w:t>
      </w:r>
      <w:r>
        <w:t xml:space="preserve"> </w:t>
      </w:r>
      <w:r>
        <w:rPr>
          <w:iCs/>
          <w:i/>
        </w:rPr>
        <w:t xml:space="preserve">Proceedings of the Nara Symposium for Digital Silk Roads</w:t>
      </w:r>
      <w:r>
        <w:t xml:space="preserve">: December 10-12, 2003, Nara-ken New Public Hall, Nara, Japan, ed. Kinji Ono (Tokyo: National Institute of Informatics, 2004), 133.</w:t>
      </w:r>
    </w:p>
  </w:footnote>
  <w:footnote w:id="147">
    <w:p>
      <w:pPr>
        <w:pStyle w:val="FootnoteText"/>
      </w:pPr>
      <w:r>
        <w:rPr>
          <w:rStyle w:val="FootnoteReference"/>
        </w:rPr>
        <w:footnoteRef/>
      </w:r>
      <w:r>
        <w:t xml:space="preserve"> </w:t>
      </w:r>
      <w:r>
        <w:t xml:space="preserve">Sakai, Kenji.</w:t>
      </w:r>
      <w:r>
        <w:t xml:space="preserve"> </w:t>
      </w:r>
      <w:r>
        <w:t xml:space="preserve">“</w:t>
      </w:r>
      <w:r>
        <w:t xml:space="preserve">Ruiju Myōgishō no Jijun to Bushu Hairetsu</w:t>
      </w:r>
      <w:r>
        <w:t xml:space="preserve">”</w:t>
      </w:r>
      <w:r>
        <w:t xml:space="preserve"> </w:t>
      </w:r>
      <w:r>
        <w:t xml:space="preserve">(Character Order and Radical Arrangement in the</w:t>
      </w:r>
      <w:r>
        <w:t xml:space="preserve"> </w:t>
      </w:r>
      <w:r>
        <w:rPr>
          <w:iCs/>
          <w:i/>
        </w:rPr>
        <w:t xml:space="preserve">Ruiju Myōgishō</w:t>
      </w:r>
      <w:r>
        <w:t xml:space="preserve">). In</w:t>
      </w:r>
      <w:r>
        <w:t xml:space="preserve"> </w:t>
      </w:r>
      <w:r>
        <w:rPr>
          <w:iCs/>
          <w:i/>
        </w:rPr>
        <w:t xml:space="preserve">Honpō Jishoshi Ronsō: Yamada Yoshio Tsuioku</w:t>
      </w:r>
      <w:r>
        <w:t xml:space="preserve"> </w:t>
      </w:r>
      <w:r>
        <w:t xml:space="preserve">(Collected Papers on the History of Dictionaries in Japan: In Memory of Yamada Yoshio), edited by Yamada Tadao, 191–258. Tokyo: Sanseidō, 1967.</w:t>
      </w:r>
    </w:p>
  </w:footnote>
  <w:footnote w:id="206">
    <w:p>
      <w:pPr>
        <w:pStyle w:val="FootnoteText"/>
      </w:pPr>
      <w:r>
        <w:rPr>
          <w:rStyle w:val="FootnoteReference"/>
        </w:rPr>
        <w:footnoteRef/>
      </w:r>
      <w:r>
        <w:t xml:space="preserve"> </w:t>
      </w:r>
      <w:r>
        <w:t xml:space="preserve">The term 再割注 (</w:t>
      </w:r>
      <w:r>
        <w:rPr>
          <w:iCs/>
          <w:i/>
        </w:rPr>
        <w:t xml:space="preserve">saiwarichū</w:t>
      </w:r>
      <w:r>
        <w:t xml:space="preserve">), or 再夾注 (</w:t>
      </w:r>
      <w:r>
        <w:rPr>
          <w:iCs/>
          <w:i/>
        </w:rPr>
        <w:t xml:space="preserve">zàijiāzhù</w:t>
      </w:r>
      <w:r>
        <w:t xml:space="preserve"> </w:t>
      </w:r>
      <w:r>
        <w:t xml:space="preserve">in Chinese), implies a</w:t>
      </w:r>
      <w:r>
        <w:t xml:space="preserve"> </w:t>
      </w:r>
      <w:r>
        <w:t xml:space="preserve">“</w:t>
      </w:r>
      <w:r>
        <w:t xml:space="preserve">re-application</w:t>
      </w:r>
      <w:r>
        <w:t xml:space="preserve">”</w:t>
      </w:r>
      <w:r>
        <w:t xml:space="preserve"> </w:t>
      </w:r>
      <w:r>
        <w:t xml:space="preserve">of an interlinear-style gloss, often to a character already within a gloss.</w:t>
      </w:r>
    </w:p>
  </w:footnote>
  <w:footnote w:id="281">
    <w:p>
      <w:pPr>
        <w:pStyle w:val="FootnoteText"/>
      </w:pPr>
      <w:r>
        <w:rPr>
          <w:rStyle w:val="FootnoteReference"/>
        </w:rPr>
        <w:footnoteRef/>
      </w:r>
      <w:r>
        <w:t xml:space="preserve"> </w:t>
      </w:r>
      <w:r>
        <w:t xml:space="preserve">In this table and those that follow, the term</w:t>
      </w:r>
      <w:r>
        <w:t xml:space="preserve"> </w:t>
      </w:r>
      <w:r>
        <w:t xml:space="preserve">“</w:t>
      </w:r>
      <w:r>
        <w:t xml:space="preserve">部</w:t>
      </w:r>
      <w:r>
        <w:t xml:space="preserve">”</w:t>
      </w:r>
      <w:r>
        <w:t xml:space="preserve"> </w:t>
      </w:r>
      <w:r>
        <w:t xml:space="preserve">(Radical) is used. This is a revision from</w:t>
      </w:r>
      <w:r>
        <w:t xml:space="preserve"> </w:t>
      </w:r>
      <w:r>
        <w:t xml:space="preserve">“</w:t>
      </w:r>
      <w:r>
        <w:t xml:space="preserve">篇</w:t>
      </w:r>
      <w:r>
        <w:t xml:space="preserve">”</w:t>
      </w:r>
      <w:r>
        <w:t xml:space="preserve"> </w:t>
      </w:r>
      <w:r>
        <w:t xml:space="preserve">(</w:t>
      </w:r>
      <w:r>
        <w:rPr>
          <w:iCs/>
          <w:i/>
        </w:rPr>
        <w:t xml:space="preserve">hen</w:t>
      </w:r>
      <w:r>
        <w:t xml:space="preserve">), which the author (Ikeda) had previously employed in papers and other publications.</w:t>
      </w:r>
    </w:p>
  </w:footnote>
  <w:footnote w:id="505">
    <w:p>
      <w:pPr>
        <w:pStyle w:val="FootnoteText"/>
      </w:pPr>
      <w:r>
        <w:rPr>
          <w:rStyle w:val="FootnoteReference"/>
        </w:rPr>
        <w:footnoteRef/>
      </w:r>
      <w:r>
        <w:t xml:space="preserve"> </w:t>
      </w:r>
      <w:r>
        <w:t xml:space="preserve">Lee Kyeong Won,</w:t>
      </w:r>
      <w:r>
        <w:t xml:space="preserve"> </w:t>
      </w:r>
      <w:r>
        <w:rPr>
          <w:iCs/>
          <w:i/>
        </w:rPr>
        <w:t xml:space="preserve">Zui-Tang Ziyangxue Yanjiu</w:t>
      </w:r>
      <w:r>
        <w:t xml:space="preserve"> </w:t>
      </w:r>
      <w:r>
        <w:t xml:space="preserve">(隋唐字様學研究; A Study of Sui and Tang Dynasty Character Lexicography), PhD diss., National Taiwan Normal University, Graduate Institute of Chinese, 1997.</w:t>
      </w:r>
    </w:p>
  </w:footnote>
  <w:footnote w:id="506">
    <w:p>
      <w:pPr>
        <w:pStyle w:val="FootnoteText"/>
      </w:pPr>
      <w:r>
        <w:rPr>
          <w:rStyle w:val="FootnoteReference"/>
        </w:rPr>
        <w:footnoteRef/>
      </w:r>
      <w:r>
        <w:t xml:space="preserve"> </w:t>
      </w:r>
      <w:r>
        <w:t xml:space="preserve">Zhang Xinfang,</w:t>
      </w:r>
      <w:r>
        <w:t xml:space="preserve"> </w:t>
      </w:r>
      <w:r>
        <w:t xml:space="preserve">“</w:t>
      </w:r>
      <w:r>
        <w:t xml:space="preserve">Chūmonchū no Kanji Jitai no Kisai kara Mita Kaihenbon-kei</w:t>
      </w:r>
      <w:r>
        <w:t xml:space="preserve"> </w:t>
      </w:r>
      <w:r>
        <w:rPr>
          <w:iCs/>
          <w:i/>
        </w:rPr>
        <w:t xml:space="preserve">Ruiju Myōgishō</w:t>
      </w:r>
      <w:r>
        <w:t xml:space="preserve">”</w:t>
      </w:r>
      <w:r>
        <w:t xml:space="preserve"> </w:t>
      </w:r>
      <w:r>
        <w:t xml:space="preserve">(注文中の漢字字体の記載からみた改編本系『類聚名義抄』; The Revised-Compilation Lineage of the</w:t>
      </w:r>
      <w:r>
        <w:t xml:space="preserve"> </w:t>
      </w:r>
      <w:r>
        <w:rPr>
          <w:iCs/>
          <w:i/>
        </w:rPr>
        <w:t xml:space="preserve">Ruiju Myōgishō</w:t>
      </w:r>
      <w:r>
        <w:t xml:space="preserve"> </w:t>
      </w:r>
      <w:r>
        <w:t xml:space="preserve">as Seen from the Notation of Chinese Character Forms within the Original Glosses),</w:t>
      </w:r>
      <w:r>
        <w:t xml:space="preserve"> </w:t>
      </w:r>
      <w:r>
        <w:rPr>
          <w:iCs/>
          <w:i/>
        </w:rPr>
        <w:t xml:space="preserve">Hokkaidō Daigaku Daigakuin Bungaku Kenkyūka Kenkyū Ronshū</w:t>
      </w:r>
      <w:r>
        <w:t xml:space="preserve"> </w:t>
      </w:r>
      <w:r>
        <w:t xml:space="preserve">(北海道大学大学院文学研究科研究論集; Hokkaido University Graduate School of Letters Research Bulletin) 17 (2017).</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KRM Documentation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KRM Documentation</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evenAndOddHeaders/>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88" w:lineRule="auto"/>
    </w:pPr>
    <w:rPr>
      <w:rFonts w:ascii="Cambria" w:cs="Cambria" w:eastAsia="Yu Mincho" w:hAnsi="Cambria"/>
      <w:color w:val="000000"/>
      <w:sz w:val="22"/>
      <w:szCs w:val="22"/>
    </w:rPr>
  </w:style>
  <w:style w:styleId="BodyText" w:type="paragraph">
    <w:name w:val="Body Text"/>
    <w:basedOn w:val="Normal"/>
    <w:link w:val="BodyTextChar"/>
    <w:pPr>
      <w:spacing w:after="160" w:before="0" w:line="300" w:lineRule="auto"/>
    </w:pPr>
    <w:qFormat/>
    <w:rPr>
      <w:rFonts w:ascii="Cambria" w:cs="Cambria" w:eastAsia="Yu Mincho" w:hAnsi="Cambria"/>
      <w:color w:val="000000"/>
      <w:sz w:val="22"/>
      <w:szCs w:val="22"/>
    </w:rPr>
  </w:style>
  <w:style w:customStyle="1" w:styleId="FirstParagraph" w:type="paragraph">
    <w:name w:val="First Paragraph"/>
    <w:basedOn w:val="BodyText"/>
    <w:next w:val="BodyText"/>
    <w:qFormat/>
    <w:pPr>
      <w:spacing w:after="160" w:before="0" w:line="300" w:lineRule="auto"/>
    </w:pPr>
    <w:rPr>
      <w:rFonts w:ascii="Cambria" w:cs="Cambria" w:eastAsia="Yu Mincho" w:hAnsi="Cambria"/>
      <w:color w:val="000000"/>
      <w:sz w:val="22"/>
      <w:szCs w:val="22"/>
    </w:rPr>
  </w:style>
  <w:style w:customStyle="1" w:styleId="Compact" w:type="paragraph">
    <w:name w:val="Compact"/>
    <w:basedOn w:val="BodyText"/>
    <w:qFormat/>
    <w:pPr>
      <w:spacing w:after="40" w:before="40" w:line="288" w:lineRule="auto"/>
    </w:pPr>
    <w:rPr>
      <w:rFonts w:ascii="Cambria" w:cs="Cambria" w:eastAsia="Yu Mincho" w:hAnsi="Cambria"/>
      <w:color w:val="000000"/>
      <w:sz w:val="21"/>
      <w:szCs w:val="21"/>
    </w:rPr>
  </w:style>
  <w:style w:styleId="Title" w:type="paragraph">
    <w:name w:val="Title"/>
    <w:basedOn w:val="Normal"/>
    <w:next w:val="BodyText"/>
    <w:qFormat/>
    <w:pPr>
      <w:keepNext/>
      <w:keepLines/>
      <w:spacing w:after="360" w:before="0" w:line="264" w:lineRule="auto"/>
      <w:jc w:val="center"/>
    </w:pPr>
    <w:rPr>
      <w:rFonts w:ascii="Calibri" w:asciiTheme="majorHAnsi" w:cs="Calibri" w:cstheme="majorBidi" w:eastAsia="Yu Gothic" w:eastAsiaTheme="majorEastAsia" w:hAnsi="Calibri" w:hAnsiTheme="majorHAnsi"/>
      <w:b/>
      <w:bCs/>
      <w:color w:val="1A1A1A"/>
      <w:sz w:val="64"/>
      <w:szCs w:val="64"/>
    </w:rPr>
  </w:style>
  <w:style w:styleId="Subtitle" w:type="paragraph">
    <w:name w:val="Subtitle"/>
    <w:basedOn w:val="Title"/>
    <w:next w:val="BodyText"/>
    <w:qFormat/>
    <w:pPr>
      <w:keepNext/>
      <w:keepLines/>
      <w:spacing w:after="720" w:before="0" w:line="288" w:lineRule="auto"/>
      <w:jc w:val="center"/>
    </w:pPr>
    <w:rPr>
      <w:rFonts w:ascii="Calibri" w:cs="Calibri" w:eastAsia="Yu Gothic" w:hAnsi="Calibri"/>
      <w:b w:val="0"/>
      <w:color w:val="595959"/>
      <w:sz w:val="32"/>
      <w:szCs w:val="32"/>
    </w:rPr>
  </w:style>
  <w:style w:customStyle="1" w:styleId="Author" w:type="paragraph">
    <w:name w:val="Author"/>
    <w:next w:val="BodyText"/>
    <w:qFormat/>
    <w:pPr>
      <w:keepNext/>
      <w:keepLines/>
      <w:spacing w:after="80" w:before="0" w:line="288" w:lineRule="auto"/>
      <w:jc w:val="center"/>
    </w:pPr>
    <w:rPr>
      <w:rFonts w:ascii="Calibri" w:cs="Calibri" w:eastAsia="Yu Gothic" w:hAnsi="Calibri"/>
      <w:b w:val="0"/>
      <w:color w:val="1A1A1A"/>
      <w:sz w:val="26"/>
      <w:szCs w:val="26"/>
    </w:rPr>
  </w:style>
  <w:style w:styleId="Date" w:type="paragraph">
    <w:name w:val="Date"/>
    <w:next w:val="BodyText"/>
    <w:qFormat/>
    <w:pPr>
      <w:keepNext/>
      <w:keepLines/>
      <w:spacing w:after="80" w:before="0" w:line="288" w:lineRule="auto"/>
      <w:jc w:val="center"/>
    </w:pPr>
    <w:rPr>
      <w:rFonts w:ascii="Calibri" w:cs="Calibri" w:eastAsia="Yu Gothic" w:hAnsi="Calibri"/>
      <w:i/>
      <w:color w:val="595959"/>
      <w:sz w:val="22"/>
      <w:szCs w:val="22"/>
    </w:rPr>
  </w:style>
  <w:style w:customStyle="1" w:styleId="AbstractTitle" w:type="paragraph">
    <w:name w:val="Abstract Title"/>
    <w:basedOn w:val="Normal"/>
    <w:next w:val="Abstract"/>
    <w:qFormat/>
    <w:pPr>
      <w:keepNext/>
      <w:keepLines/>
      <w:jc w:val="center"/>
      <w:spacing w:after="0" w:before="300"/>
    </w:pPr>
    <w:rPr>
      <w:rFonts w:ascii="Calibri" w:cs="Calibri" w:eastAsia="Yu Gothic" w:hAnsi="Calibri"/>
      <w:color w:val="1A1A1A"/>
      <w:sz w:val="24"/>
      <w:szCs w:val="24"/>
      <w:b/>
    </w:rPr>
  </w:style>
  <w:style w:customStyle="1" w:styleId="Abstract" w:type="paragraph">
    <w:name w:val="Abstract"/>
    <w:basedOn w:val="Normal"/>
    <w:next w:val="BodyText"/>
    <w:qFormat/>
    <w:pPr>
      <w:keepNext/>
      <w:keepLines/>
      <w:spacing w:after="300" w:before="100"/>
      <w:jc w:val="center"/>
    </w:pPr>
    <w:rPr>
      <w:rFonts w:ascii="Cambria" w:cs="Cambria" w:eastAsia="Yu Mincho" w:hAnsi="Cambria"/>
      <w:i/>
      <w:color w:val="595959"/>
      <w:sz w:val="21"/>
      <w:szCs w:val="21"/>
    </w:rPr>
  </w:style>
  <w:style w:styleId="Bibliography" w:type="paragraph">
    <w:name w:val="Bibliography"/>
    <w:basedOn w:val="Normal"/>
    <w:next w:val="Bibliography"/>
    <w:qFormat/>
    <w:pPr>
      <w:spacing w:after="120" w:line="276" w:lineRule="auto"/>
      <w:ind w:hanging="454" w:left="454"/>
    </w:pPr>
    <w:rPr>
      <w:rFonts w:ascii="Cambria" w:cs="Cambria" w:eastAsia="Yu Mincho" w:hAnsi="Cambria"/>
      <w:color w:val="000000"/>
      <w:sz w:val="21"/>
      <w:szCs w:val="21"/>
    </w:rPr>
  </w:style>
  <w:style w:styleId="Heading1" w:type="paragraph">
    <w:name w:val="Heading 1"/>
    <w:basedOn w:val="Normal"/>
    <w:next w:val="BodyText"/>
    <w:uiPriority w:val="9"/>
    <w:qFormat/>
    <w:pPr>
      <w:keepNext/>
      <w:keepLines/>
      <w:pageBreakBefore/>
      <w:pBdr>
        <w:bottom w:color="BFBFBF" w:space="6" w:sz="6" w:val="single"/>
      </w:pBdr>
      <w:spacing w:after="280" w:before="0" w:line="264" w:lineRule="auto"/>
      <w:outlineLvl w:val="0"/>
    </w:pPr>
    <w:rPr>
      <w:rFonts w:ascii="Calibri" w:asciiTheme="majorHAnsi" w:cs="Calibri" w:cstheme="majorBidi" w:eastAsia="Yu Gothic" w:eastAsiaTheme="majorEastAsia" w:hAnsi="Calibri" w:hAnsiTheme="majorHAnsi"/>
      <w:b/>
      <w:bCs/>
      <w:color w:val="1A1A1A"/>
      <w:sz w:val="32"/>
      <w:szCs w:val="32"/>
    </w:rPr>
  </w:style>
  <w:style w:styleId="Heading2" w:type="paragraph">
    <w:name w:val="Heading 2"/>
    <w:basedOn w:val="Normal"/>
    <w:next w:val="BodyText"/>
    <w:uiPriority w:val="9"/>
    <w:unhideWhenUsed/>
    <w:qFormat/>
    <w:pPr>
      <w:keepNext/>
      <w:keepLines/>
      <w:spacing w:after="160" w:before="400" w:line="264" w:lineRule="auto"/>
      <w:outlineLvl w:val="1"/>
    </w:pPr>
    <w:rPr>
      <w:rFonts w:ascii="Calibri" w:asciiTheme="majorHAnsi" w:cs="Calibri" w:cstheme="majorBidi" w:eastAsia="Yu Gothic" w:eastAsiaTheme="majorEastAsia" w:hAnsi="Calibri" w:hAnsiTheme="majorHAnsi"/>
      <w:b/>
      <w:bCs/>
      <w:color w:val="1A1A1A"/>
      <w:sz w:val="28"/>
      <w:szCs w:val="28"/>
    </w:rPr>
  </w:style>
  <w:style w:styleId="Heading3" w:type="paragraph">
    <w:name w:val="Heading 3"/>
    <w:basedOn w:val="Normal"/>
    <w:next w:val="BodyText"/>
    <w:uiPriority w:val="9"/>
    <w:unhideWhenUsed/>
    <w:qFormat/>
    <w:pPr>
      <w:keepNext/>
      <w:keepLines/>
      <w:spacing w:after="120" w:before="280" w:line="264" w:lineRule="auto"/>
      <w:outlineLvl w:val="2"/>
    </w:pPr>
    <w:rPr>
      <w:rFonts w:ascii="Calibri" w:asciiTheme="majorHAnsi" w:cs="Calibri" w:cstheme="majorBidi" w:eastAsia="Yu Gothic" w:eastAsiaTheme="majorEastAsia" w:hAnsi="Calibri" w:hAnsiTheme="majorHAnsi"/>
      <w:b/>
      <w:bCs/>
      <w:color w:val="1A1A1A"/>
      <w:sz w:val="24"/>
      <w:szCs w:val="24"/>
    </w:rPr>
  </w:style>
  <w:style w:styleId="Heading4" w:type="paragraph">
    <w:name w:val="Heading 4"/>
    <w:basedOn w:val="Normal"/>
    <w:next w:val="BodyText"/>
    <w:uiPriority w:val="9"/>
    <w:unhideWhenUsed/>
    <w:qFormat/>
    <w:pPr>
      <w:keepNext/>
      <w:keepLines/>
      <w:spacing w:after="80" w:before="200" w:line="264" w:lineRule="auto"/>
      <w:outlineLvl w:val="3"/>
    </w:pPr>
    <w:rPr>
      <w:rFonts w:ascii="Calibri" w:asciiTheme="majorHAnsi" w:cs="Calibri" w:cstheme="majorBidi" w:eastAsia="Yu Gothic" w:eastAsiaTheme="majorEastAsia" w:hAnsi="Calibri" w:hAnsiTheme="majorHAnsi"/>
      <w:i/>
      <w:b/>
      <w:bCs/>
      <w:color w:val="1A1A1A"/>
      <w:sz w:val="22"/>
      <w:szCs w:val="22"/>
    </w:rPr>
  </w:style>
  <w:style w:styleId="Heading5" w:type="paragraph">
    <w:name w:val="Heading 5"/>
    <w:basedOn w:val="Normal"/>
    <w:next w:val="BodyText"/>
    <w:uiPriority w:val="9"/>
    <w:unhideWhenUsed/>
    <w:qFormat/>
    <w:pPr>
      <w:keepNext/>
      <w:keepLines/>
      <w:spacing w:after="80" w:before="160" w:line="264" w:lineRule="auto"/>
      <w:outlineLvl w:val="4"/>
    </w:pPr>
    <w:rPr>
      <w:rFonts w:ascii="Calibri" w:asciiTheme="majorHAnsi" w:cs="Calibri" w:cstheme="majorBidi" w:eastAsia="Yu Gothic" w:eastAsiaTheme="majorEastAsia" w:hAnsi="Calibri" w:hAnsiTheme="majorHAnsi"/>
      <w:b/>
      <w:i/>
      <w:iCs/>
      <w:color w:val="595959"/>
      <w:sz w:val="21"/>
      <w:szCs w:val="21"/>
    </w:rPr>
  </w:style>
  <w:style w:styleId="Heading6" w:type="paragraph">
    <w:name w:val="Heading 6"/>
    <w:basedOn w:val="Normal"/>
    <w:next w:val="BodyText"/>
    <w:uiPriority w:val="9"/>
    <w:unhideWhenUsed/>
    <w:qFormat/>
    <w:pPr>
      <w:keepNext/>
      <w:keepLines/>
      <w:spacing w:after="80" w:before="160" w:line="264" w:lineRule="auto"/>
      <w:outlineLvl w:val="5"/>
    </w:pPr>
    <w:rPr>
      <w:rFonts w:ascii="Calibri" w:asciiTheme="majorHAnsi" w:cs="Calibri" w:cstheme="majorBidi" w:eastAsia="Yu Gothic" w:eastAsiaTheme="majorEastAsia" w:hAnsi="Calibri" w:hAnsiTheme="majorHAnsi"/>
      <w:b/>
      <w:i/>
      <w:color w:val="595959"/>
      <w:sz w:val="21"/>
      <w:szCs w:val="21"/>
    </w:rPr>
  </w:style>
  <w:style w:styleId="Heading7" w:type="paragraph">
    <w:name w:val="Heading 7"/>
    <w:basedOn w:val="Normal"/>
    <w:next w:val="BodyText"/>
    <w:uiPriority w:val="9"/>
    <w:unhideWhenUsed/>
    <w:qFormat/>
    <w:pPr>
      <w:keepNext/>
      <w:keepLines/>
      <w:spacing w:after="80" w:before="160" w:line="264" w:lineRule="auto"/>
      <w:outlineLvl w:val="6"/>
    </w:pPr>
    <w:rPr>
      <w:rFonts w:ascii="Calibri" w:asciiTheme="majorHAnsi" w:cs="Calibri" w:cstheme="majorBidi" w:eastAsia="Yu Gothic" w:eastAsiaTheme="majorEastAsia" w:hAnsi="Calibri" w:hAnsiTheme="majorHAnsi"/>
      <w:b/>
      <w:i/>
      <w:color w:val="595959"/>
      <w:sz w:val="21"/>
      <w:szCs w:val="21"/>
    </w:rPr>
  </w:style>
  <w:style w:styleId="Heading8" w:type="paragraph">
    <w:name w:val="Heading 8"/>
    <w:basedOn w:val="Normal"/>
    <w:next w:val="BodyText"/>
    <w:uiPriority w:val="9"/>
    <w:unhideWhenUsed/>
    <w:qFormat/>
    <w:pPr>
      <w:keepNext/>
      <w:keepLines/>
      <w:spacing w:after="80" w:before="160" w:line="264" w:lineRule="auto"/>
      <w:outlineLvl w:val="7"/>
    </w:pPr>
    <w:rPr>
      <w:rFonts w:ascii="Calibri" w:asciiTheme="majorHAnsi" w:cs="Calibri" w:cstheme="majorBidi" w:eastAsia="Yu Gothic" w:eastAsiaTheme="majorEastAsia" w:hAnsi="Calibri" w:hAnsiTheme="majorHAnsi"/>
      <w:b/>
      <w:i/>
      <w:color w:val="595959"/>
      <w:sz w:val="21"/>
      <w:szCs w:val="21"/>
    </w:rPr>
  </w:style>
  <w:style w:styleId="Heading9" w:type="paragraph">
    <w:name w:val="Heading 9"/>
    <w:basedOn w:val="Normal"/>
    <w:next w:val="BodyText"/>
    <w:uiPriority w:val="9"/>
    <w:unhideWhenUsed/>
    <w:qFormat/>
    <w:pPr>
      <w:keepNext/>
      <w:keepLines/>
      <w:spacing w:after="80" w:before="160" w:line="264" w:lineRule="auto"/>
      <w:outlineLvl w:val="8"/>
    </w:pPr>
    <w:rPr>
      <w:rFonts w:ascii="Calibri" w:asciiTheme="majorHAnsi" w:cs="Calibri" w:cstheme="majorBidi" w:eastAsia="Yu Gothic" w:eastAsiaTheme="majorEastAsia" w:hAnsi="Calibri" w:hAnsiTheme="majorHAnsi"/>
      <w:b/>
      <w:i/>
      <w:color w:val="595959"/>
      <w:sz w:val="21"/>
      <w:szCs w:val="21"/>
    </w:rPr>
  </w:style>
  <w:style w:styleId="BlockText" w:type="paragraph">
    <w:name w:val="Block Text"/>
    <w:basedOn w:val="BodyText"/>
    <w:next w:val="BodyText"/>
    <w:uiPriority w:val="9"/>
    <w:unhideWhenUsed/>
    <w:qFormat/>
    <w:pPr>
      <w:spacing w:after="100" w:before="100"/>
      <w:ind w:firstLine="0" w:left="454" w:right="454"/>
    </w:pPr>
    <w:rPr>
      <w:rFonts w:ascii="Cambria" w:cs="Cambria" w:eastAsia="Yu Mincho" w:hAnsi="Cambria"/>
      <w:i/>
      <w:color w:val="595959"/>
      <w:sz w:val="21"/>
      <w:szCs w:val="21"/>
    </w:rPr>
  </w:style>
  <w:style w:styleId="FootnoteText" w:type="paragraph">
    <w:name w:val="Footnote Text"/>
    <w:basedOn w:val="Normal"/>
    <w:next w:val="FootnoteText"/>
    <w:uiPriority w:val="9"/>
    <w:unhideWhenUsed/>
    <w:qFormat/>
    <w:rPr>
      <w:rFonts w:ascii="Cambria" w:cs="Cambria" w:eastAsia="Yu Mincho" w:hAnsi="Cambria"/>
      <w:color w:val="000000"/>
      <w:sz w:val="19"/>
      <w:szCs w:val="19"/>
    </w:rPr>
  </w:style>
  <w:style w:default="1" w:styleId="DefaultParagraphFont" w:type="character">
    <w:name w:val="Default Paragraph Font"/>
    <w:semiHidden/>
    <w:unhideWhenUsed/>
  </w:style>
  <w:style w:default="1" w:styleId="Table" w:type="table">
    <w:name w:val="Table"/>
    <w:basedOn w:val="TableNormal"/>
    <w:semiHidden/>
    <w:unhideWhenUsed/>
    <w:qFormat/>
    <w:rPr>
      <w:rFonts w:ascii="Cambria" w:cs="Cambria" w:eastAsia="Yu Mincho" w:hAnsi="Cambria"/>
      <w:color w:val="000000"/>
      <w:sz w:val="20"/>
      <w:szCs w:val="20"/>
    </w:rPr>
    <w:tblPr>
      <w:tblInd w:type="dxa" w:w="0"/>
      <w:tblCellMar>
        <w:top w:type="dxa" w:w="60"/>
        <w:left w:type="dxa" w:w="120"/>
        <w:bottom w:type="dxa" w:w="60"/>
        <w:right w:type="dxa" w:w="120"/>
      </w:tblCellMa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tblStylePr w:type="firstRow">
      <w:rPr>
        <w:b/>
      </w:rPr>
      <w:tblPr>
        <w:jc w:val="left"/>
        <w:tblInd w:type="dxa" w:w="0"/>
      </w:tblPr>
      <w:trPr>
        <w:jc w:val="left"/>
      </w:trPr>
      <w:tcPr>
        <w:vAlign w:val="bottom"/>
        <w:tcBorders>
          <w:bottom w:val="single"/>
        </w:tcBorders>
        <w:shd w:color="auto" w:fill="F2F2F2" w:val="clear"/>
      </w:tcPr>
    </w:tblStylePr>
  </w:style>
  <w:style w:customStyle="1" w:styleId="DefinitionTerm" w:type="paragraph">
    <w:name w:val="Definition Term"/>
    <w:basedOn w:val="Normal"/>
    <w:next w:val="Definition"/>
    <w:pPr>
      <w:keepNext/>
      <w:keepLines/>
      <w:spacing w:after="0"/>
    </w:pPr>
    <w:rPr>
      <w:rFonts w:ascii="Cambria" w:cs="Cambria" w:eastAsia="Yu Mincho" w:hAnsi="Cambria"/>
      <w:b/>
      <w:color w:val="1A1A1A"/>
      <w:sz w:val="22"/>
      <w:szCs w:val="22"/>
    </w:rPr>
  </w:style>
  <w:style w:customStyle="1" w:styleId="Definition" w:type="paragraph">
    <w:name w:val="Definition"/>
    <w:basedOn w:val="Normal"/>
    <w:pPr>
      <w:ind w:left="454"/>
    </w:pPr>
    <w:rPr>
      <w:rFonts w:ascii="Cambria" w:cs="Cambria" w:eastAsia="Yu Mincho" w:hAnsi="Cambria"/>
      <w:color w:val="000000"/>
      <w:sz w:val="22"/>
      <w:szCs w:val="22"/>
    </w:rPr>
  </w:style>
  <w:style w:styleId="Caption" w:type="paragraph">
    <w:name w:val="Caption"/>
    <w:basedOn w:val="Normal"/>
    <w:link w:val="BodyTextChar"/>
    <w:pPr>
      <w:spacing w:after="200" w:before="80" w:line="276" w:lineRule="auto"/>
      <w:jc w:val="center"/>
    </w:pPr>
    <w:rPr>
      <w:rFonts w:ascii="Calibri" w:cs="Calibri" w:eastAsia="Yu Gothic" w:hAnsi="Calibri"/>
      <w:i/>
      <w:color w:val="595959"/>
      <w:sz w:val="19"/>
      <w:szCs w:val="19"/>
    </w:rPr>
  </w:style>
  <w:style w:customStyle="1" w:styleId="TableCaption" w:type="paragraph">
    <w:name w:val="Table Caption"/>
    <w:basedOn w:val="Caption"/>
    <w:pPr>
      <w:keepNext/>
      <w:spacing w:after="200" w:before="80" w:line="276" w:lineRule="auto"/>
      <w:jc w:val="center"/>
    </w:pPr>
    <w:rPr>
      <w:rFonts w:ascii="Calibri" w:cs="Calibri" w:eastAsia="Yu Gothic" w:hAnsi="Calibri"/>
      <w:i/>
      <w:color w:val="595959"/>
      <w:sz w:val="19"/>
      <w:szCs w:val="19"/>
    </w:rPr>
  </w:style>
  <w:style w:customStyle="1" w:styleId="ImageCaption" w:type="paragraph">
    <w:name w:val="Image Caption"/>
    <w:basedOn w:val="Caption"/>
    <w:pPr>
      <w:spacing w:after="200" w:before="80" w:line="276" w:lineRule="auto"/>
      <w:jc w:val="center"/>
    </w:pPr>
    <w:rPr>
      <w:rFonts w:ascii="Calibri" w:cs="Calibri" w:eastAsia="Yu Gothic" w:hAnsi="Calibri"/>
      <w:i/>
      <w:color w:val="595959"/>
      <w:sz w:val="19"/>
      <w:szCs w:val="19"/>
    </w:rPr>
  </w:style>
  <w:style w:customStyle="1" w:styleId="Figure" w:type="paragraph">
    <w:name w:val="Figure"/>
    <w:basedOn w:val="Normal"/>
    <w:pPr>
      <w:spacing w:after="40" w:before="200"/>
      <w:jc w:val="center"/>
    </w:pPr>
  </w:style>
  <w:style w:customStyle="1" w:styleId="CaptionedFigure" w:type="paragraph">
    <w:name w:val="Captioned Figure"/>
    <w:basedOn w:val="Figure"/>
    <w:pPr>
      <w:keepNext/>
      <w:spacing w:after="40" w:before="200"/>
      <w:jc w:val="center"/>
    </w:pPr>
  </w:style>
  <w:style w:customStyle="1" w:styleId="BodyTextChar" w:type="character">
    <w:name w:val="Body Text Char"/>
    <w:basedOn w:val="DefaultParagraphFont"/>
    <w:link w:val="BodyText"/>
    <w:rPr>
      <w:rFonts w:ascii="Cambria" w:cs="Cambria" w:eastAsia="Yu Mincho" w:hAnsi="Cambria"/>
    </w:rPr>
  </w:style>
  <w:style w:customStyle="1" w:styleId="VerbatimChar" w:type="character">
    <w:name w:val="Verbatim Char"/>
    <w:basedOn w:val="BodyTextChar"/>
    <w:rPr>
      <w:rFonts w:ascii="Consolas" w:cs="Consolas" w:eastAsia="MS Gothic" w:hAnsi="Consolas"/>
      <w:color w:val="2B2B2B"/>
      <w:sz w:val="20"/>
      <w:shd w:color="auto" w:fill="F2F2F2" w:val="clear"/>
    </w:rPr>
  </w:style>
  <w:style w:customStyle="1" w:styleId="SectionNumber" w:type="character">
    <w:name w:val="Section Number"/>
    <w:basedOn w:val="BodyTextChar"/>
    <w:rPr>
      <w:rFonts w:ascii="Calibri" w:cs="Calibri" w:eastAsia="Yu Gothic" w:hAnsi="Calibri"/>
      <w:b/>
      <w:color w:val="1A1A1A"/>
    </w:rPr>
  </w:style>
  <w:style w:styleId="FootnoteReference" w:type="character">
    <w:name w:val="Footnote Reference"/>
    <w:basedOn w:val="BodyTextChar"/>
    <w:rPr>
      <w:vertAlign w:val="superscript"/>
    </w:rPr>
  </w:style>
  <w:style w:styleId="Hyperlink" w:type="character">
    <w:name w:val="Hyperlink"/>
    <w:basedOn w:val="BodyTextChar"/>
    <w:rPr>
      <w:color w:val="0563C1"/>
      <w:u w:val="single"/>
    </w:rPr>
  </w:style>
  <w:style w:styleId="TOCHeading" w:type="paragraph">
    <w:name w:val="TOC Heading"/>
    <w:basedOn w:val="Heading1"/>
    <w:next w:val="BodyText"/>
    <w:uiPriority w:val="39"/>
    <w:unhideWhenUsed/>
    <w:qFormat/>
    <w:pPr>
      <w:pageBreakBefore/>
      <w:pBdr>
        <w:bottom w:color="BFBFBF" w:space="6" w:sz="6" w:val="single"/>
      </w:pBdr>
      <w:spacing w:after="360" w:before="0" w:line="264" w:lineRule="auto"/>
      <w:outlineLvl w:val="9"/>
    </w:pPr>
    <w:rPr>
      <w:rFonts w:ascii="Calibri" w:asciiTheme="majorHAnsi" w:cs="Calibri" w:cstheme="majorBidi" w:eastAsia="Yu Gothic" w:eastAsiaTheme="majorEastAsia" w:hAnsi="Calibri" w:hAnsiTheme="majorHAnsi"/>
      <w:b/>
      <w:bCs w:val="0"/>
      <w:color w:val="1A1A1A"/>
      <w:sz w:val="32"/>
      <w:szCs w:val="32"/>
    </w:rPr>
  </w:style>
  <w:style w:customStyle="1" w:styleId="SourceCode" w:type="paragraph">
    <w:name w:val="Source Code"/>
    <w:basedOn w:val="Normal"/>
    <w:pPr>
      <w:shd w:color="auto" w:fill="F2F2F2" w:val="clear"/>
      <w:spacing w:after="120" w:before="120" w:line="300" w:lineRule="auto"/>
      <w:ind w:left="227" w:right="227"/>
    </w:pPr>
    <w:rPr>
      <w:rFonts w:ascii="Consolas" w:cs="Consolas" w:eastAsia="MS Gothic" w:hAnsi="Consolas"/>
      <w:color w:val="2B2B2B"/>
      <w:sz w:val="19"/>
      <w:szCs w:val="19"/>
    </w:rPr>
  </w:style>
  <w:style w:customStyle="1" w:styleId="TOC1" w:type="paragraph">
    <w:name w:val="TOC 1"/>
    <w:basedOn w:val="Normal"/>
    <w:qFormat/>
    <w:pPr>
      <w:tabs>
        <w:tab w:leader="dot" w:pos="8504" w:val="right"/>
      </w:tabs>
      <w:spacing w:after="80" w:before="40" w:line="276" w:lineRule="auto"/>
      <w:ind w:left="0"/>
    </w:pPr>
    <w:rPr>
      <w:rFonts w:ascii="Calibri" w:cs="Calibri" w:eastAsia="Yu Gothic" w:hAnsi="Calibri"/>
      <w:b/>
      <w:i w:val="0"/>
      <w:color w:val="1A1A1A"/>
      <w:sz w:val="24"/>
      <w:szCs w:val="24"/>
    </w:rPr>
  </w:style>
  <w:style w:customStyle="1" w:styleId="TOC2" w:type="paragraph">
    <w:name w:val="TOC 2"/>
    <w:basedOn w:val="Normal"/>
    <w:qFormat/>
    <w:pPr>
      <w:tabs>
        <w:tab w:leader="dot" w:pos="8504" w:val="right"/>
      </w:tabs>
      <w:spacing w:after="80" w:before="40" w:line="276" w:lineRule="auto"/>
      <w:ind w:left="340"/>
    </w:pPr>
    <w:rPr>
      <w:rFonts w:ascii="Calibri" w:cs="Calibri" w:eastAsia="Yu Gothic" w:hAnsi="Calibri"/>
      <w:b w:val="0"/>
      <w:i w:val="0"/>
      <w:color w:val="000000"/>
      <w:sz w:val="22"/>
      <w:szCs w:val="22"/>
    </w:rPr>
  </w:style>
  <w:style w:customStyle="1" w:styleId="TOC3" w:type="paragraph">
    <w:name w:val="TOC 3"/>
    <w:basedOn w:val="Normal"/>
    <w:qFormat/>
    <w:pPr>
      <w:tabs>
        <w:tab w:leader="dot" w:pos="8504" w:val="right"/>
      </w:tabs>
      <w:spacing w:after="80" w:before="40" w:line="276" w:lineRule="auto"/>
      <w:ind w:left="680"/>
    </w:pPr>
    <w:rPr>
      <w:rFonts w:ascii="Calibri" w:cs="Calibri" w:eastAsia="Yu Gothic" w:hAnsi="Calibri"/>
      <w:b w:val="0"/>
      <w:i w:val="0"/>
      <w:color w:val="000000"/>
      <w:sz w:val="21"/>
      <w:szCs w:val="21"/>
    </w:rPr>
  </w:style>
  <w:style w:customStyle="1" w:styleId="TOC4" w:type="paragraph">
    <w:name w:val="TOC 4"/>
    <w:basedOn w:val="Normal"/>
    <w:qFormat/>
    <w:pPr>
      <w:tabs>
        <w:tab w:leader="dot" w:pos="8504" w:val="right"/>
      </w:tabs>
      <w:spacing w:after="80" w:before="40" w:line="276" w:lineRule="auto"/>
      <w:ind w:left="1020"/>
    </w:pPr>
    <w:rPr>
      <w:rFonts w:ascii="Calibri" w:cs="Calibri" w:eastAsia="Yu Gothic" w:hAnsi="Calibri"/>
      <w:b w:val="0"/>
      <w:i/>
      <w:color w:val="000000"/>
      <w:sz w:val="20"/>
      <w:szCs w:val="20"/>
    </w:rPr>
  </w:style>
  <w:style w:customStyle="1" w:styleId="Header" w:type="paragraph">
    <w:name w:val="header"/>
    <w:basedOn w:val="Normal"/>
    <w:pPr>
      <w:pBdr>
        <w:bottom w:color="D9D9D9" w:space="6" w:sz="4" w:val="single"/>
      </w:pBdr>
      <w:spacing w:after="0" w:line="240" w:lineRule="auto"/>
    </w:pPr>
    <w:rPr>
      <w:rFonts w:ascii="Calibri" w:cs="Calibri" w:eastAsia="Yu Gothic" w:hAnsi="Calibri"/>
      <w:color w:val="595959"/>
      <w:sz w:val="18"/>
      <w:szCs w:val="18"/>
    </w:rPr>
  </w:style>
  <w:style w:customStyle="1" w:styleId="Footer" w:type="paragraph">
    <w:name w:val="footer"/>
    <w:basedOn w:val="Normal"/>
    <w:pPr>
      <w:pBdr>
        <w:top w:color="D9D9D9" w:space="6" w:sz="4" w:val="single"/>
      </w:pBdr>
      <w:tabs>
        <w:tab w:pos="4252" w:val="center"/>
        <w:tab w:pos="8504" w:val="right"/>
      </w:tabs>
      <w:spacing w:before="0" w:line="240" w:lineRule="auto"/>
    </w:pPr>
    <w:rPr>
      <w:rFonts w:ascii="Calibri" w:cs="Calibri" w:eastAsia="Yu Gothic" w:hAnsi="Calibri"/>
      <w:color w:val="595959"/>
      <w:sz w:val="18"/>
      <w:szCs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footer1.xml" Type="http://schemas.openxmlformats.org/officeDocument/2006/relationships/footer" /><Relationship Id="rId12" Target="footer2.xml" Type="http://schemas.openxmlformats.org/officeDocument/2006/relationships/footer" /><Relationship Type="http://schemas.openxmlformats.org/officeDocument/2006/relationships/image" Id="rId405" Target="media/rId405.png" /><Relationship Type="http://schemas.openxmlformats.org/officeDocument/2006/relationships/image" Id="rId741" Target="media/rId741.png" /><Relationship Type="http://schemas.openxmlformats.org/officeDocument/2006/relationships/image" Id="rId745" Target="media/rId745.png" /><Relationship Type="http://schemas.openxmlformats.org/officeDocument/2006/relationships/image" Id="rId749" Target="media/rId749.png" /><Relationship Type="http://schemas.openxmlformats.org/officeDocument/2006/relationships/image" Id="rId753" Target="media/rId753.png" /><Relationship Type="http://schemas.openxmlformats.org/officeDocument/2006/relationships/image" Id="rId757" Target="media/rId757.png" /><Relationship Type="http://schemas.openxmlformats.org/officeDocument/2006/relationships/image" Id="rId761" Target="media/rId761.png" /><Relationship Type="http://schemas.openxmlformats.org/officeDocument/2006/relationships/image" Id="rId765" Target="media/rId765.png" /><Relationship Type="http://schemas.openxmlformats.org/officeDocument/2006/relationships/image" Id="rId769" Target="media/rId769.png" /><Relationship Type="http://schemas.openxmlformats.org/officeDocument/2006/relationships/image" Id="rId772" Target="media/rId772.png" /><Relationship Type="http://schemas.openxmlformats.org/officeDocument/2006/relationships/image" Id="rId776" Target="media/rId776.png" /><Relationship Type="http://schemas.openxmlformats.org/officeDocument/2006/relationships/image" Id="rId780" Target="media/rId780.png" /><Relationship Type="http://schemas.openxmlformats.org/officeDocument/2006/relationships/image" Id="rId783" Target="media/rId783.png" /><Relationship Type="http://schemas.openxmlformats.org/officeDocument/2006/relationships/image" Id="rId787" Target="media/rId787.png" /><Relationship Type="http://schemas.openxmlformats.org/officeDocument/2006/relationships/image" Id="rId791" Target="media/rId791.png" /><Relationship Type="http://schemas.openxmlformats.org/officeDocument/2006/relationships/image" Id="rId795" Target="media/rId795.png" /><Relationship Type="http://schemas.openxmlformats.org/officeDocument/2006/relationships/image" Id="rId799" Target="media/rId799.png" /><Relationship Type="http://schemas.openxmlformats.org/officeDocument/2006/relationships/image" Id="rId231" Target="media/rId231.png" /><Relationship Type="http://schemas.openxmlformats.org/officeDocument/2006/relationships/image" Id="rId329" Target="media/rId329.png" /><Relationship Type="http://schemas.openxmlformats.org/officeDocument/2006/relationships/image" Id="rId332" Target="media/rId332.png" /><Relationship Type="http://schemas.openxmlformats.org/officeDocument/2006/relationships/image" Id="rId335" Target="media/rId335.png" /><Relationship Type="http://schemas.openxmlformats.org/officeDocument/2006/relationships/image" Id="rId338" Target="media/rId338.png" /><Relationship Type="http://schemas.openxmlformats.org/officeDocument/2006/relationships/image" Id="rId341" Target="media/rId341.png" /><Relationship Type="http://schemas.openxmlformats.org/officeDocument/2006/relationships/image" Id="rId344" Target="media/rId344.png" /><Relationship Type="http://schemas.openxmlformats.org/officeDocument/2006/relationships/image" Id="rId384" Target="media/rId384.png" /><Relationship Type="http://schemas.openxmlformats.org/officeDocument/2006/relationships/image" Id="rId387" Target="media/rId387.png" /><Relationship Type="http://schemas.openxmlformats.org/officeDocument/2006/relationships/image" Id="rId390" Target="media/rId390.png" /><Relationship Type="http://schemas.openxmlformats.org/officeDocument/2006/relationships/image" Id="rId393" Target="media/rId393.png" /><Relationship Type="http://schemas.openxmlformats.org/officeDocument/2006/relationships/image" Id="rId420" Target="media/rId420.png" /><Relationship Type="http://schemas.openxmlformats.org/officeDocument/2006/relationships/image" Id="rId423" Target="media/rId423.png" /><Relationship Type="http://schemas.openxmlformats.org/officeDocument/2006/relationships/image" Id="rId426" Target="media/rId426.png" /><Relationship Type="http://schemas.openxmlformats.org/officeDocument/2006/relationships/image" Id="rId429" Target="media/rId429.png" /><Relationship Type="http://schemas.openxmlformats.org/officeDocument/2006/relationships/image" Id="rId432" Target="media/rId432.png" /><Relationship Type="http://schemas.openxmlformats.org/officeDocument/2006/relationships/image" Id="rId435" Target="media/rId435.png" /><Relationship Type="http://schemas.openxmlformats.org/officeDocument/2006/relationships/image" Id="rId438" Target="media/rId438.png" /><Relationship Type="http://schemas.openxmlformats.org/officeDocument/2006/relationships/image" Id="rId441" Target="media/rId441.png" /><Relationship Type="http://schemas.openxmlformats.org/officeDocument/2006/relationships/image" Id="rId450" Target="media/rId450.png" /><Relationship Type="http://schemas.openxmlformats.org/officeDocument/2006/relationships/image" Id="rId453" Target="media/rId453.png" /><Relationship Type="http://schemas.openxmlformats.org/officeDocument/2006/relationships/image" Id="rId456" Target="media/rId456.png" /><Relationship Type="http://schemas.openxmlformats.org/officeDocument/2006/relationships/image" Id="rId459" Target="media/rId459.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615" Target="media/rId615.png" /><Relationship Type="http://schemas.openxmlformats.org/officeDocument/2006/relationships/image" Id="rId618" Target="media/rId618.png" /><Relationship Type="http://schemas.openxmlformats.org/officeDocument/2006/relationships/image" Id="rId621" Target="media/rId621.png" /><Relationship Type="http://schemas.openxmlformats.org/officeDocument/2006/relationships/image" Id="rId624" Target="media/rId624.png" /><Relationship Type="http://schemas.openxmlformats.org/officeDocument/2006/relationships/image" Id="rId627" Target="media/rId627.png" /><Relationship Type="http://schemas.openxmlformats.org/officeDocument/2006/relationships/image" Id="rId630" Target="media/rId630.png" /><Relationship Type="http://schemas.openxmlformats.org/officeDocument/2006/relationships/image" Id="rId187" Target="media/rId187.png" /><Relationship Type="http://schemas.openxmlformats.org/officeDocument/2006/relationships/image" Id="rId184" Target="media/rId184.png" /><Relationship Type="http://schemas.openxmlformats.org/officeDocument/2006/relationships/image" Id="rId291" Target="media/rId291.png" /><Relationship Type="http://schemas.openxmlformats.org/officeDocument/2006/relationships/image" Id="rId294" Target="media/rId294.png" /><Relationship Type="http://schemas.openxmlformats.org/officeDocument/2006/relationships/image" Id="rId297" Target="media/rId297.png" /><Relationship Type="http://schemas.openxmlformats.org/officeDocument/2006/relationships/image" Id="rId509" Target="media/rId509.png" /><Relationship Type="http://schemas.openxmlformats.org/officeDocument/2006/relationships/image" Id="rId512" Target="media/rId512.png" /><Relationship Type="http://schemas.openxmlformats.org/officeDocument/2006/relationships/image" Id="rId515" Target="media/rId515.png" /><Relationship Type="http://schemas.openxmlformats.org/officeDocument/2006/relationships/image" Id="rId518" Target="media/rId518.png" /><Relationship Type="http://schemas.openxmlformats.org/officeDocument/2006/relationships/image" Id="rId521" Target="media/rId521.png" /><Relationship Type="http://schemas.openxmlformats.org/officeDocument/2006/relationships/image" Id="rId537" Target="media/rId537.png" /><Relationship Type="http://schemas.openxmlformats.org/officeDocument/2006/relationships/image" Id="rId524" Target="media/rId524.png" /><Relationship Type="http://schemas.openxmlformats.org/officeDocument/2006/relationships/image" Id="rId571" Target="media/rId571.png" /><Relationship Type="http://schemas.openxmlformats.org/officeDocument/2006/relationships/image" Id="rId736" Target="media/rId736.png" /><Relationship Type="http://schemas.openxmlformats.org/officeDocument/2006/relationships/image" Id="rId669" Target="media/rId669.png" /><Relationship Type="http://schemas.openxmlformats.org/officeDocument/2006/relationships/image" Id="rId672" Target="media/rId672.png" /><Relationship Type="http://schemas.openxmlformats.org/officeDocument/2006/relationships/image" Id="rId676" Target="media/rId676.png" /><Relationship Type="http://schemas.openxmlformats.org/officeDocument/2006/relationships/image" Id="rId680" Target="media/rId680.png" /><Relationship Type="http://schemas.openxmlformats.org/officeDocument/2006/relationships/image" Id="rId692" Target="media/rId692.png" /><Relationship Type="http://schemas.openxmlformats.org/officeDocument/2006/relationships/image" Id="rId696" Target="media/rId696.png" /><Relationship Type="http://schemas.openxmlformats.org/officeDocument/2006/relationships/image" Id="rId700" Target="media/rId700.png" /><Relationship Type="http://schemas.openxmlformats.org/officeDocument/2006/relationships/image" Id="rId703" Target="media/rId703.png" /><Relationship Type="http://schemas.openxmlformats.org/officeDocument/2006/relationships/image" Id="rId710" Target="media/rId710.png" /><Relationship Type="http://schemas.openxmlformats.org/officeDocument/2006/relationships/image" Id="rId714" Target="media/rId714.png" /><Relationship Type="http://schemas.openxmlformats.org/officeDocument/2006/relationships/image" Id="rId717" Target="media/rId717.png" /><Relationship Type="http://schemas.openxmlformats.org/officeDocument/2006/relationships/image" Id="rId723" Target="media/rId723.png" /><Relationship Type="http://schemas.openxmlformats.org/officeDocument/2006/relationships/image" Id="rId727" Target="media/rId727.png" /><Relationship Type="http://schemas.openxmlformats.org/officeDocument/2006/relationships/image" Id="rId731" Target="media/rId731.png" /><Relationship Type="http://schemas.openxmlformats.org/officeDocument/2006/relationships/image" Id="rId464" Target="media/rId464.png" /><Relationship Type="http://schemas.openxmlformats.org/officeDocument/2006/relationships/image" Id="rId467" Target="media/rId467.png" /><Relationship Type="http://schemas.openxmlformats.org/officeDocument/2006/relationships/image" Id="rId470" Target="media/rId470.png" /><Relationship Type="http://schemas.openxmlformats.org/officeDocument/2006/relationships/image" Id="rId473" Target="media/rId473.png" /><Relationship Type="http://schemas.openxmlformats.org/officeDocument/2006/relationships/image" Id="rId476" Target="media/rId476.png" /><Relationship Type="http://schemas.openxmlformats.org/officeDocument/2006/relationships/image" Id="rId568" Target="media/rId568.png" /><Relationship Type="http://schemas.openxmlformats.org/officeDocument/2006/relationships/image" Id="rId683" Target="media/rId683.png" /><Relationship Type="http://schemas.openxmlformats.org/officeDocument/2006/relationships/image" Id="rId259" Target="media/rId259.png" /><Relationship Type="http://schemas.openxmlformats.org/officeDocument/2006/relationships/image" Id="rId408" Target="media/rId408.png" /><Relationship Type="http://schemas.openxmlformats.org/officeDocument/2006/relationships/image" Id="rId411" Target="media/rId411.png" /><Relationship Type="http://schemas.openxmlformats.org/officeDocument/2006/relationships/image" Id="rId562" Target="media/rId562.png" /><Relationship Type="http://schemas.openxmlformats.org/officeDocument/2006/relationships/image" Id="rId559" Target="media/rId559.png" /><Relationship Type="http://schemas.openxmlformats.org/officeDocument/2006/relationships/image" Id="rId265" Target="media/rId265.png" /><Relationship Type="http://schemas.openxmlformats.org/officeDocument/2006/relationships/image" Id="rId350" Target="media/rId350.png" /><Relationship Type="http://schemas.openxmlformats.org/officeDocument/2006/relationships/image" Id="rId356" Target="media/rId356.png" /><Relationship Type="http://schemas.openxmlformats.org/officeDocument/2006/relationships/image" Id="rId353" Target="media/rId353.png" /><Relationship Type="http://schemas.openxmlformats.org/officeDocument/2006/relationships/image" Id="rId359" Target="media/rId359.png" /><Relationship Type="http://schemas.openxmlformats.org/officeDocument/2006/relationships/image" Id="rId362" Target="media/rId362.png" /><Relationship Type="http://schemas.openxmlformats.org/officeDocument/2006/relationships/image" Id="rId612" Target="media/rId612.png" /><Relationship Type="http://schemas.openxmlformats.org/officeDocument/2006/relationships/image" Id="rId262" Target="media/rId262.png" /><Relationship Type="http://schemas.openxmlformats.org/officeDocument/2006/relationships/image" Id="rId706" Target="media/rId706.png" /><Relationship Type="http://schemas.openxmlformats.org/officeDocument/2006/relationships/image" Id="rId414" Target="media/rId414.png" /><Relationship Type="http://schemas.openxmlformats.org/officeDocument/2006/relationships/image" Id="rId347" Target="media/rId347.png" /><Relationship Type="http://schemas.openxmlformats.org/officeDocument/2006/relationships/image" Id="rId256" Target="media/rId256.png" /><Relationship Type="http://schemas.openxmlformats.org/officeDocument/2006/relationships/image" Id="rId417" Target="media/rId417.png" /><Relationship Type="http://schemas.openxmlformats.org/officeDocument/2006/relationships/image" Id="rId565" Target="media/rId565.png" /><Relationship Type="http://schemas.openxmlformats.org/officeDocument/2006/relationships/image" Id="rId542" Target="media/rId542.png" /><Relationship Type="http://schemas.openxmlformats.org/officeDocument/2006/relationships/image" Id="rId268" Target="media/rId268.png" /><Relationship Type="http://schemas.openxmlformats.org/officeDocument/2006/relationships/image" Id="rId365" Target="media/rId365.png" /><Relationship Type="http://schemas.openxmlformats.org/officeDocument/2006/relationships/image" Id="rId688" Target="media/rId688.png" /><Relationship Type="http://schemas.openxmlformats.org/officeDocument/2006/relationships/image" Id="rId307" Target="media/rId307.png" /><Relationship Type="http://schemas.openxmlformats.org/officeDocument/2006/relationships/image" Id="rId60" Target="media/rId60.png" /><Relationship Type="http://schemas.openxmlformats.org/officeDocument/2006/relationships/image" Id="rId57" Target="media/rId57.png" /><Relationship Type="http://schemas.openxmlformats.org/officeDocument/2006/relationships/hyperlink" Id="rId158" Target="../02-data-overview/" TargetMode="External" /><Relationship Type="http://schemas.openxmlformats.org/officeDocument/2006/relationships/hyperlink" Id="rId47" Target="./02-01-main/" TargetMode="External" /><Relationship Type="http://schemas.openxmlformats.org/officeDocument/2006/relationships/hyperlink" Id="rId48" Target="./02-02-notes/" TargetMode="External" /><Relationship Type="http://schemas.openxmlformats.org/officeDocument/2006/relationships/hyperlink" Id="rId49" Target="./02-03-headword-chars/" TargetMode="External" /><Relationship Type="http://schemas.openxmlformats.org/officeDocument/2006/relationships/hyperlink" Id="rId50" Target="./02-04-wakun/" TargetMode="External" /><Relationship Type="http://schemas.openxmlformats.org/officeDocument/2006/relationships/hyperlink" Id="rId51" Target="./02-05-definitions/" TargetMode="External" /><Relationship Type="http://schemas.openxmlformats.org/officeDocument/2006/relationships/hyperlink" Id="rId53" Target="./02-06-pronunciations/" TargetMode="External" /><Relationship Type="http://schemas.openxmlformats.org/officeDocument/2006/relationships/hyperlink" Id="rId54" Target="./02-07-ndl/" TargetMode="External" /><Relationship Type="http://schemas.openxmlformats.org/officeDocument/2006/relationships/hyperlink" Id="rId112" Target="./03-01-data-structure/" TargetMode="External" /><Relationship Type="http://schemas.openxmlformats.org/officeDocument/2006/relationships/hyperlink" Id="rId113" Target="./03-02-types-of-entries/" TargetMode="External" /><Relationship Type="http://schemas.openxmlformats.org/officeDocument/2006/relationships/hyperlink" Id="rId114" Target="./03-03-concepts-char/" TargetMode="External" /><Relationship Type="http://schemas.openxmlformats.org/officeDocument/2006/relationships/hyperlink" Id="rId115" Target="./03-04-data-example/" TargetMode="External" /><Relationship Type="http://schemas.openxmlformats.org/officeDocument/2006/relationships/hyperlink" Id="rId159" Target="./04-01-id/" TargetMode="External" /><Relationship Type="http://schemas.openxmlformats.org/officeDocument/2006/relationships/hyperlink" Id="rId160" Target="./04-02-char/" TargetMode="External" /><Relationship Type="http://schemas.openxmlformats.org/officeDocument/2006/relationships/hyperlink" Id="rId161" Target="./04-03-handling/" TargetMode="External" /><Relationship Type="http://schemas.openxmlformats.org/officeDocument/2006/relationships/hyperlink" Id="rId220" Target="./05-01-basic-policy/" TargetMode="External" /><Relationship Type="http://schemas.openxmlformats.org/officeDocument/2006/relationships/hyperlink" Id="rId221" Target="./05-02-headword-count/" TargetMode="External" /><Relationship Type="http://schemas.openxmlformats.org/officeDocument/2006/relationships/hyperlink" Id="rId222" Target="./05-03-jitaichu-formats/" TargetMode="External" /><Relationship Type="http://schemas.openxmlformats.org/officeDocument/2006/relationships/hyperlink" Id="rId223" Target="./05-04-onchu-problems/" TargetMode="External" /><Relationship Type="http://schemas.openxmlformats.org/officeDocument/2006/relationships/hyperlink" Id="rId224" Target="./05-05-gichu-quantity/" TargetMode="External" /><Relationship Type="http://schemas.openxmlformats.org/officeDocument/2006/relationships/hyperlink" Id="rId225" Target="./05-06-wakun-materials/" TargetMode="External" /><Relationship Type="http://schemas.openxmlformats.org/officeDocument/2006/relationships/hyperlink" Id="rId226" Target="./05-07-annotation-examples/" TargetMode="External" /><Relationship Type="http://schemas.openxmlformats.org/officeDocument/2006/relationships/hyperlink" Id="rId809" Target="./06-01-hanazono-mincho/" TargetMode="External" /><Relationship Type="http://schemas.openxmlformats.org/officeDocument/2006/relationships/hyperlink" Id="rId810" Target="./06-02-glyphwiki/" TargetMode="External" /><Relationship Type="http://schemas.openxmlformats.org/officeDocument/2006/relationships/hyperlink" Id="rId811" Target="./06-03-sfkanbun-sty/" TargetMode="External" /><Relationship Type="http://schemas.openxmlformats.org/officeDocument/2006/relationships/hyperlink" Id="rId812" Target="./06-04-vscode-texlive/" TargetMode="External" /><Relationship Type="http://schemas.openxmlformats.org/officeDocument/2006/relationships/hyperlink" Id="rId813" Target="./06-05-online-tools/" TargetMode="External" /><Relationship Type="http://schemas.openxmlformats.org/officeDocument/2006/relationships/hyperlink" Id="rId98" Target="/docs/krm/08-case-studies/08-05-dhsjr/" TargetMode="External" /><Relationship Type="http://schemas.openxmlformats.org/officeDocument/2006/relationships/hyperlink" Id="rId882" Target="/en/docs/krm/#resource-documented" TargetMode="External" /><Relationship Type="http://schemas.openxmlformats.org/officeDocument/2006/relationships/hyperlink" Id="rId151" Target="/en/docs/krm/02-data-overview/" TargetMode="External" /><Relationship Type="http://schemas.openxmlformats.org/officeDocument/2006/relationships/hyperlink" Id="rId169" Target="/en/docs/krm/02-data-overview/02-03-headword-chars/" TargetMode="External" /><Relationship Type="http://schemas.openxmlformats.org/officeDocument/2006/relationships/hyperlink" Id="rId122" Target="/en/docs/krm/04-entry-input/" TargetMode="External" /><Relationship Type="http://schemas.openxmlformats.org/officeDocument/2006/relationships/hyperlink" Id="rId175" Target="/en/docs/krm/04-entry-input/04-02-char/" TargetMode="External" /><Relationship Type="http://schemas.openxmlformats.org/officeDocument/2006/relationships/hyperlink" Id="rId118" Target="/en/docs/krm/04-entry-input/04-03-handling/" TargetMode="External" /><Relationship Type="http://schemas.openxmlformats.org/officeDocument/2006/relationships/hyperlink" Id="rId849" Target="http://21dzk.l.u-tokyo.ac.jp/SAT" TargetMode="External" /><Relationship Type="http://schemas.openxmlformats.org/officeDocument/2006/relationships/hyperlink" Id="rId859" Target="http://cdn.rawgit.com/g0v/z0y/v3/" TargetMode="External" /><Relationship Type="http://schemas.openxmlformats.org/officeDocument/2006/relationships/hyperlink" Id="rId851" Target="http://code.cside.com" TargetMode="External" /><Relationship Type="http://schemas.openxmlformats.org/officeDocument/2006/relationships/hyperlink" Id="rId850" Target="http://coe21.zinbun.kyoto-u.ac.jp/djvuchar" TargetMode="External" /><Relationship Type="http://schemas.openxmlformats.org/officeDocument/2006/relationships/hyperlink" Id="rId462" Target="http://dl.ndl.go.jp/info:ndljp/pid/2586899/18" TargetMode="External" /><Relationship Type="http://schemas.openxmlformats.org/officeDocument/2006/relationships/hyperlink" Id="rId494" Target="http://dl.ndl.go.jp/info:ndljp/pid/2586900/19" TargetMode="External" /><Relationship Type="http://schemas.openxmlformats.org/officeDocument/2006/relationships/hyperlink" Id="rId495" Target="http://dl.ndl.go.jp/info:ndljp/pid/2586900/23" TargetMode="External" /><Relationship Type="http://schemas.openxmlformats.org/officeDocument/2006/relationships/hyperlink" Id="rId496" Target="http://dl.ndl.go.jp/info:ndljp/pid/2586900/28" TargetMode="External" /><Relationship Type="http://schemas.openxmlformats.org/officeDocument/2006/relationships/hyperlink" Id="rId497" Target="http://dl.ndl.go.jp/info:ndljp/pid/2586900/29" TargetMode="External" /><Relationship Type="http://schemas.openxmlformats.org/officeDocument/2006/relationships/hyperlink" Id="rId498" Target="http://dl.ndl.go.jp/info:ndljp/pid/2586900/44" TargetMode="External" /><Relationship Type="http://schemas.openxmlformats.org/officeDocument/2006/relationships/hyperlink" Id="rId493" Target="http://dl.ndl.go.jp/info:ndljp/pid/2586900/8" TargetMode="External" /><Relationship Type="http://schemas.openxmlformats.org/officeDocument/2006/relationships/hyperlink" Id="rId819" Target="http://fonts.jp/hanazono/" TargetMode="External" /><Relationship Type="http://schemas.openxmlformats.org/officeDocument/2006/relationships/hyperlink" Id="rId846" Target="http://glyphwiki.org" TargetMode="External" /><Relationship Type="http://schemas.openxmlformats.org/officeDocument/2006/relationships/hyperlink" Id="rId843" Target="http://kanji-database.sourceforge.net" TargetMode="External" /><Relationship Type="http://schemas.openxmlformats.org/officeDocument/2006/relationships/hyperlink" Id="rId845" Target="http://search.hng-data.org" TargetMode="External" /><Relationship Type="http://schemas.openxmlformats.org/officeDocument/2006/relationships/hyperlink" Id="rId848" Target="http://suzukish.s252.xrea.com/search" TargetMode="External" /><Relationship Type="http://schemas.openxmlformats.org/officeDocument/2006/relationships/hyperlink" Id="rId852" Target="http://tls.uni-hd.de/xuanying.html" TargetMode="External" /><Relationship Type="http://schemas.openxmlformats.org/officeDocument/2006/relationships/hyperlink" Id="rId844" Target="http://www.chise.org/ids-find" TargetMode="External" /><Relationship Type="http://schemas.openxmlformats.org/officeDocument/2006/relationships/hyperlink" Id="rId855" Target="http://www.zdic.net" TargetMode="External" /><Relationship Type="http://schemas.openxmlformats.org/officeDocument/2006/relationships/hyperlink" Id="rId847" Target="http://www2.dhii.jp:3000" TargetMode="External" /><Relationship Type="http://schemas.openxmlformats.org/officeDocument/2006/relationships/hyperlink" Id="rId858" Target="http://xiaoxue.iis.sinica.edu.tw" TargetMode="External" /><Relationship Type="http://schemas.openxmlformats.org/officeDocument/2006/relationships/hyperlink" Id="rId833" Target="http://xymtex.com/fujitas/kanbun/kanbunex.html" TargetMode="External" /><Relationship Type="http://schemas.openxmlformats.org/officeDocument/2006/relationships/hyperlink" Id="rId869" Target="http://xymtex.com/fujitas2/texlatex/index.html" TargetMode="External" /><Relationship Type="http://schemas.openxmlformats.org/officeDocument/2006/relationships/hyperlink" Id="rId868" Target="https://base1.nijl.ac.jp/~tkoten/" TargetMode="External" /><Relationship Type="http://schemas.openxmlformats.org/officeDocument/2006/relationships/hyperlink" Id="rId866" Target="https://bibdb.ninjal.ac.jp/bunken/ja/" TargetMode="External" /><Relationship Type="http://schemas.openxmlformats.org/officeDocument/2006/relationships/hyperlink" Id="rId864" Target="https://cir.nii.ac.jp/" TargetMode="External" /><Relationship Type="http://schemas.openxmlformats.org/officeDocument/2006/relationships/hyperlink" Id="rId865" Target="https://clrd.ninjal.ac.jp/chj/" TargetMode="External" /><Relationship Type="http://schemas.openxmlformats.org/officeDocument/2006/relationships/hyperlink" Id="rId861" Target="https://convertio.co/ja/image-converter/" TargetMode="External" /><Relationship Type="http://schemas.openxmlformats.org/officeDocument/2006/relationships/hyperlink" Id="rId249" Target="https://ctext.org/dictionary.pl?if=en" TargetMode="External" /><Relationship Type="http://schemas.openxmlformats.org/officeDocument/2006/relationships/hyperlink" Id="rId821" Target="https://ctext.org/dictionary.pl?if=en&amp;rad=1" TargetMode="External" /><Relationship Type="http://schemas.openxmlformats.org/officeDocument/2006/relationships/hyperlink" Id="rId284" Target="https://dl.ndl.go.jp/info:ndljp/pid/2586891/10" TargetMode="External" /><Relationship Type="http://schemas.openxmlformats.org/officeDocument/2006/relationships/hyperlink" Id="rId285" Target="https://dl.ndl.go.jp/info:ndljp/pid/2586891/31" TargetMode="External" /><Relationship Type="http://schemas.openxmlformats.org/officeDocument/2006/relationships/hyperlink" Id="rId103" Target="https://dl.ndl.go.jp/info:ndljp/pid/2586891/6" TargetMode="External" /><Relationship Type="http://schemas.openxmlformats.org/officeDocument/2006/relationships/hyperlink" Id="rId104" Target="https://dl.ndl.go.jp/info:ndljp/pid/2586891/7" TargetMode="External" /><Relationship Type="http://schemas.openxmlformats.org/officeDocument/2006/relationships/hyperlink" Id="rId289" Target="https://dl.ndl.go.jp/info:ndljp/pid/2586892/19" TargetMode="External" /><Relationship Type="http://schemas.openxmlformats.org/officeDocument/2006/relationships/hyperlink" Id="rId287" Target="https://dl.ndl.go.jp/info:ndljp/pid/2586892/27" TargetMode="External" /><Relationship Type="http://schemas.openxmlformats.org/officeDocument/2006/relationships/hyperlink" Id="rId288" Target="https://dl.ndl.go.jp/info:ndljp/pid/2586892/32" TargetMode="External" /><Relationship Type="http://schemas.openxmlformats.org/officeDocument/2006/relationships/hyperlink" Id="rId306" Target="https://dl.ndl.go.jp/info:ndljp/pid/2586893/10" TargetMode="External" /><Relationship Type="http://schemas.openxmlformats.org/officeDocument/2006/relationships/hyperlink" Id="rId312" Target="https://dl.ndl.go.jp/info:ndljp/pid/2586893/22" TargetMode="External" /><Relationship Type="http://schemas.openxmlformats.org/officeDocument/2006/relationships/hyperlink" Id="rId313" Target="https://dl.ndl.go.jp/info:ndljp/pid/2586893/34" TargetMode="External" /><Relationship Type="http://schemas.openxmlformats.org/officeDocument/2006/relationships/hyperlink" Id="rId314" Target="https://dl.ndl.go.jp/info:ndljp/pid/2586893/55" TargetMode="External" /><Relationship Type="http://schemas.openxmlformats.org/officeDocument/2006/relationships/hyperlink" Id="rId316" Target="https://dl.ndl.go.jp/info:ndljp/pid/2586894/23" TargetMode="External" /><Relationship Type="http://schemas.openxmlformats.org/officeDocument/2006/relationships/hyperlink" Id="rId317" Target="https://dl.ndl.go.jp/info:ndljp/pid/2586894/24" TargetMode="External" /><Relationship Type="http://schemas.openxmlformats.org/officeDocument/2006/relationships/hyperlink" Id="rId318" Target="https://dl.ndl.go.jp/info:ndljp/pid/2586894/30" TargetMode="External" /><Relationship Type="http://schemas.openxmlformats.org/officeDocument/2006/relationships/hyperlink" Id="rId320" Target="https://dl.ndl.go.jp/info:ndljp/pid/2586895/20" TargetMode="External" /><Relationship Type="http://schemas.openxmlformats.org/officeDocument/2006/relationships/hyperlink" Id="rId321" Target="https://dl.ndl.go.jp/info:ndljp/pid/2586895/4" TargetMode="External" /><Relationship Type="http://schemas.openxmlformats.org/officeDocument/2006/relationships/hyperlink" Id="rId322" Target="https://dl.ndl.go.jp/info:ndljp/pid/2586895/42" TargetMode="External" /><Relationship Type="http://schemas.openxmlformats.org/officeDocument/2006/relationships/hyperlink" Id="rId324" Target="https://dl.ndl.go.jp/info:ndljp/pid/2586896/10" TargetMode="External" /><Relationship Type="http://schemas.openxmlformats.org/officeDocument/2006/relationships/hyperlink" Id="rId325" Target="https://dl.ndl.go.jp/info:ndljp/pid/2586896/46" TargetMode="External" /><Relationship Type="http://schemas.openxmlformats.org/officeDocument/2006/relationships/hyperlink" Id="rId327" Target="https://dl.ndl.go.jp/info:ndljp/pid/2586897/32" TargetMode="External" /><Relationship Type="http://schemas.openxmlformats.org/officeDocument/2006/relationships/hyperlink" Id="rId328" Target="https://dl.ndl.go.jp/info:ndljp/pid/2586897/37" TargetMode="External" /><Relationship Type="http://schemas.openxmlformats.org/officeDocument/2006/relationships/hyperlink" Id="rId380" Target="https://dl.ndl.go.jp/info:ndljp/pid/2586897/38" TargetMode="External" /><Relationship Type="http://schemas.openxmlformats.org/officeDocument/2006/relationships/hyperlink" Id="rId382" Target="https://dl.ndl.go.jp/info:ndljp/pid/2586897/67" TargetMode="External" /><Relationship Type="http://schemas.openxmlformats.org/officeDocument/2006/relationships/hyperlink" Id="rId404" Target="https://dl.ndl.go.jp/info:ndljp/pid/2586898/54" TargetMode="External" /><Relationship Type="http://schemas.openxmlformats.org/officeDocument/2006/relationships/hyperlink" Id="rId448" Target="https://dl.ndl.go.jp/info:ndljp/pid/2586898/59" TargetMode="External" /><Relationship Type="http://schemas.openxmlformats.org/officeDocument/2006/relationships/hyperlink" Id="rId25" Target="https://doi.org/10.5281/zenodo.15481563" TargetMode="External" /><Relationship Type="http://schemas.openxmlformats.org/officeDocument/2006/relationships/hyperlink" Id="rId154" Target="https://github.com/shikeda" TargetMode="External" /><Relationship Type="http://schemas.openxmlformats.org/officeDocument/2006/relationships/hyperlink" Id="rId250" Target="https://github.com/shikeda/HDIC" TargetMode="External" /><Relationship Type="http://schemas.openxmlformats.org/officeDocument/2006/relationships/hyperlink" Id="rId52" Target="https://github.com/shikeda/HDIC/KRM_definitions.tsv" TargetMode="External" /><Relationship Type="http://schemas.openxmlformats.org/officeDocument/2006/relationships/hyperlink" Id="rId55" Target="https://github.com/shikeda/HDIC/KRM_ndl.tsv" TargetMode="External" /><Relationship Type="http://schemas.openxmlformats.org/officeDocument/2006/relationships/hyperlink" Id="rId24" Target="https://github.com/shikeda/krm" TargetMode="External" /><Relationship Type="http://schemas.openxmlformats.org/officeDocument/2006/relationships/hyperlink" Id="rId65" Target="https://github.com/shikeda/krm/" TargetMode="External" /><Relationship Type="http://schemas.openxmlformats.org/officeDocument/2006/relationships/hyperlink" Id="rId834" Target="https://github.com/shikeda/rose" TargetMode="External" /><Relationship Type="http://schemas.openxmlformats.org/officeDocument/2006/relationships/hyperlink" Id="rId828" Target="https://github.com/toyjack/template_lualatex_wikiglyphwiki" TargetMode="External" /><Relationship Type="http://schemas.openxmlformats.org/officeDocument/2006/relationships/hyperlink" Id="rId827" Target="https://github.com/zr-tex8r/BXglyphwiki" TargetMode="External" /><Relationship Type="http://schemas.openxmlformats.org/officeDocument/2006/relationships/hyperlink" Id="rId135" Target="https://glyphwiki.org/" TargetMode="External" /><Relationship Type="http://schemas.openxmlformats.org/officeDocument/2006/relationships/hyperlink" Id="rId234" Target="https://glyphwiki.org/wiki/u50c5" TargetMode="External" /><Relationship Type="http://schemas.openxmlformats.org/officeDocument/2006/relationships/hyperlink" Id="rId878" Target="https://hdic.jp" TargetMode="External" /><Relationship Type="http://schemas.openxmlformats.org/officeDocument/2006/relationships/hyperlink" Id="rId872" Target="https://hjl.hatenablog.com/entry/2020/03/09/120000#f-9db82ab4" TargetMode="External" /><Relationship Type="http://schemas.openxmlformats.org/officeDocument/2006/relationships/hyperlink" Id="rId856" Target="https://japanknowledge.com/" TargetMode="External" /><Relationship Type="http://schemas.openxmlformats.org/officeDocument/2006/relationships/hyperlink" Id="rId857" Target="https://joao-roiz.jp/JPDICT/search" TargetMode="External" /><Relationship Type="http://schemas.openxmlformats.org/officeDocument/2006/relationships/hyperlink" Id="rId863" Target="https://onlineconvertfree.com/ja/converter/images/" TargetMode="External" /><Relationship Type="http://schemas.openxmlformats.org/officeDocument/2006/relationships/hyperlink" Id="rId879" Target="https://researchmap.jp/liuguanwei?lang=en" TargetMode="External" /><Relationship Type="http://schemas.openxmlformats.org/officeDocument/2006/relationships/hyperlink" Id="rId881" Target="https://researchmap.jp/morioka-tomohiko?lang=en" TargetMode="External" /><Relationship Type="http://schemas.openxmlformats.org/officeDocument/2006/relationships/hyperlink" Id="rId867" Target="https://scholar.google.co.jp/" TargetMode="External" /><Relationship Type="http://schemas.openxmlformats.org/officeDocument/2006/relationships/hyperlink" Id="rId237" Target="https://search.hng-data.org/search" TargetMode="External" /><Relationship Type="http://schemas.openxmlformats.org/officeDocument/2006/relationships/hyperlink" Id="rId21" Target="https://shikeda.github.io/" TargetMode="External" /><Relationship Type="http://schemas.openxmlformats.org/officeDocument/2006/relationships/hyperlink" Id="rId22" Target="https://shikeda.github.io/docs/krm/" TargetMode="External" /><Relationship Type="http://schemas.openxmlformats.org/officeDocument/2006/relationships/hyperlink" Id="rId248" Target="https://suzukish.sakura.ne.jp/search/" TargetMode="External" /><Relationship Type="http://schemas.openxmlformats.org/officeDocument/2006/relationships/hyperlink" Id="rId251" Target="https://suzukish.sakura.ne.jp/search/yupian/search_top.php" TargetMode="External" /><Relationship Type="http://schemas.openxmlformats.org/officeDocument/2006/relationships/hyperlink" Id="rId860" Target="https://tableconvert.com/" TargetMode="External" /><Relationship Type="http://schemas.openxmlformats.org/officeDocument/2006/relationships/hyperlink" Id="rId817" Target="https://texwiki.texjp.org/?TeX%20Live" TargetMode="External" /><Relationship Type="http://schemas.openxmlformats.org/officeDocument/2006/relationships/hyperlink" Id="rId880" Target="https://viewer.hdic.jp" TargetMode="External" /><Relationship Type="http://schemas.openxmlformats.org/officeDocument/2006/relationships/hyperlink" Id="rId870" Target="https://www.benricho.org/moji_conv/13.html" TargetMode="External" /><Relationship Type="http://schemas.openxmlformats.org/officeDocument/2006/relationships/hyperlink" Id="rId547" Target="https://www.chise.org/est/view/character/&#28404;" TargetMode="External" /><Relationship Type="http://schemas.openxmlformats.org/officeDocument/2006/relationships/hyperlink" Id="rId182" Target="https://www.chise.org/ids-find" TargetMode="External" /><Relationship Type="http://schemas.openxmlformats.org/officeDocument/2006/relationships/hyperlink" Id="rId873" Target="https://www.digital.archives.go.jp/DAS/meta/listPhoto?LANG=default&amp;BID=F1000000000000094179&amp;ID=&amp;TYPE=dljpeg" TargetMode="External" /><Relationship Type="http://schemas.openxmlformats.org/officeDocument/2006/relationships/hyperlink" Id="rId381" Target="https://www.google.com/search?q=https://dl.ndl.go.jp/info:ndljp/pid/1126592/132" TargetMode="External" /><Relationship Type="http://schemas.openxmlformats.org/officeDocument/2006/relationships/hyperlink" Id="rId145" Target="https://www.hng-data.org" TargetMode="External" /><Relationship Type="http://schemas.openxmlformats.org/officeDocument/2006/relationships/hyperlink" Id="rId853" Target="https://www.kanripo.org/" TargetMode="External" /><Relationship Type="http://schemas.openxmlformats.org/officeDocument/2006/relationships/hyperlink" Id="rId854" Target="https://www.kanripo.org/text/KR4h0001/" TargetMode="External" /><Relationship Type="http://schemas.openxmlformats.org/officeDocument/2006/relationships/hyperlink" Id="rId862" Target="https://www.media.io/jp/image-converter.html" TargetMode="External" /><Relationship Type="http://schemas.openxmlformats.org/officeDocument/2006/relationships/hyperlink" Id="rId871" Target="https://zh.wikisource.org/wiki/%E6%98%AD%E6%98%8E%E6%96%87%E9%81%B8/%E5%8D%B71" TargetMode="External" /><Relationship Type="http://schemas.openxmlformats.org/officeDocument/2006/relationships/hyperlink" Id="rId20" Target="mailto:ikeda.shoju@gmail.com" TargetMode="External" /></Relationships>
</file>

<file path=word/_rels/footnotes.xml.rels><?xml version="1.0" encoding="UTF-8"?><Relationships xmlns="http://schemas.openxmlformats.org/package/2006/relationships"><Relationship Type="http://schemas.openxmlformats.org/officeDocument/2006/relationships/hyperlink" Id="rId158" Target="../02-data-overview/" TargetMode="External" /><Relationship Type="http://schemas.openxmlformats.org/officeDocument/2006/relationships/hyperlink" Id="rId47" Target="./02-01-main/" TargetMode="External" /><Relationship Type="http://schemas.openxmlformats.org/officeDocument/2006/relationships/hyperlink" Id="rId48" Target="./02-02-notes/" TargetMode="External" /><Relationship Type="http://schemas.openxmlformats.org/officeDocument/2006/relationships/hyperlink" Id="rId49" Target="./02-03-headword-chars/" TargetMode="External" /><Relationship Type="http://schemas.openxmlformats.org/officeDocument/2006/relationships/hyperlink" Id="rId50" Target="./02-04-wakun/" TargetMode="External" /><Relationship Type="http://schemas.openxmlformats.org/officeDocument/2006/relationships/hyperlink" Id="rId51" Target="./02-05-definitions/" TargetMode="External" /><Relationship Type="http://schemas.openxmlformats.org/officeDocument/2006/relationships/hyperlink" Id="rId53" Target="./02-06-pronunciations/" TargetMode="External" /><Relationship Type="http://schemas.openxmlformats.org/officeDocument/2006/relationships/hyperlink" Id="rId54" Target="./02-07-ndl/" TargetMode="External" /><Relationship Type="http://schemas.openxmlformats.org/officeDocument/2006/relationships/hyperlink" Id="rId112" Target="./03-01-data-structure/" TargetMode="External" /><Relationship Type="http://schemas.openxmlformats.org/officeDocument/2006/relationships/hyperlink" Id="rId113" Target="./03-02-types-of-entries/" TargetMode="External" /><Relationship Type="http://schemas.openxmlformats.org/officeDocument/2006/relationships/hyperlink" Id="rId114" Target="./03-03-concepts-char/" TargetMode="External" /><Relationship Type="http://schemas.openxmlformats.org/officeDocument/2006/relationships/hyperlink" Id="rId115" Target="./03-04-data-example/" TargetMode="External" /><Relationship Type="http://schemas.openxmlformats.org/officeDocument/2006/relationships/hyperlink" Id="rId159" Target="./04-01-id/" TargetMode="External" /><Relationship Type="http://schemas.openxmlformats.org/officeDocument/2006/relationships/hyperlink" Id="rId160" Target="./04-02-char/" TargetMode="External" /><Relationship Type="http://schemas.openxmlformats.org/officeDocument/2006/relationships/hyperlink" Id="rId161" Target="./04-03-handling/" TargetMode="External" /><Relationship Type="http://schemas.openxmlformats.org/officeDocument/2006/relationships/hyperlink" Id="rId220" Target="./05-01-basic-policy/" TargetMode="External" /><Relationship Type="http://schemas.openxmlformats.org/officeDocument/2006/relationships/hyperlink" Id="rId221" Target="./05-02-headword-count/" TargetMode="External" /><Relationship Type="http://schemas.openxmlformats.org/officeDocument/2006/relationships/hyperlink" Id="rId222" Target="./05-03-jitaichu-formats/" TargetMode="External" /><Relationship Type="http://schemas.openxmlformats.org/officeDocument/2006/relationships/hyperlink" Id="rId223" Target="./05-04-onchu-problems/" TargetMode="External" /><Relationship Type="http://schemas.openxmlformats.org/officeDocument/2006/relationships/hyperlink" Id="rId224" Target="./05-05-gichu-quantity/" TargetMode="External" /><Relationship Type="http://schemas.openxmlformats.org/officeDocument/2006/relationships/hyperlink" Id="rId225" Target="./05-06-wakun-materials/" TargetMode="External" /><Relationship Type="http://schemas.openxmlformats.org/officeDocument/2006/relationships/hyperlink" Id="rId226" Target="./05-07-annotation-examples/" TargetMode="External" /><Relationship Type="http://schemas.openxmlformats.org/officeDocument/2006/relationships/hyperlink" Id="rId809" Target="./06-01-hanazono-mincho/" TargetMode="External" /><Relationship Type="http://schemas.openxmlformats.org/officeDocument/2006/relationships/hyperlink" Id="rId810" Target="./06-02-glyphwiki/" TargetMode="External" /><Relationship Type="http://schemas.openxmlformats.org/officeDocument/2006/relationships/hyperlink" Id="rId811" Target="./06-03-sfkanbun-sty/" TargetMode="External" /><Relationship Type="http://schemas.openxmlformats.org/officeDocument/2006/relationships/hyperlink" Id="rId812" Target="./06-04-vscode-texlive/" TargetMode="External" /><Relationship Type="http://schemas.openxmlformats.org/officeDocument/2006/relationships/hyperlink" Id="rId813" Target="./06-05-online-tools/" TargetMode="External" /><Relationship Type="http://schemas.openxmlformats.org/officeDocument/2006/relationships/hyperlink" Id="rId98" Target="/docs/krm/08-case-studies/08-05-dhsjr/" TargetMode="External" /><Relationship Type="http://schemas.openxmlformats.org/officeDocument/2006/relationships/hyperlink" Id="rId882" Target="/en/docs/krm/#resource-documented" TargetMode="External" /><Relationship Type="http://schemas.openxmlformats.org/officeDocument/2006/relationships/hyperlink" Id="rId151" Target="/en/docs/krm/02-data-overview/" TargetMode="External" /><Relationship Type="http://schemas.openxmlformats.org/officeDocument/2006/relationships/hyperlink" Id="rId169" Target="/en/docs/krm/02-data-overview/02-03-headword-chars/" TargetMode="External" /><Relationship Type="http://schemas.openxmlformats.org/officeDocument/2006/relationships/hyperlink" Id="rId122" Target="/en/docs/krm/04-entry-input/" TargetMode="External" /><Relationship Type="http://schemas.openxmlformats.org/officeDocument/2006/relationships/hyperlink" Id="rId175" Target="/en/docs/krm/04-entry-input/04-02-char/" TargetMode="External" /><Relationship Type="http://schemas.openxmlformats.org/officeDocument/2006/relationships/hyperlink" Id="rId118" Target="/en/docs/krm/04-entry-input/04-03-handling/" TargetMode="External" /><Relationship Type="http://schemas.openxmlformats.org/officeDocument/2006/relationships/hyperlink" Id="rId849" Target="http://21dzk.l.u-tokyo.ac.jp/SAT" TargetMode="External" /><Relationship Type="http://schemas.openxmlformats.org/officeDocument/2006/relationships/hyperlink" Id="rId859" Target="http://cdn.rawgit.com/g0v/z0y/v3/" TargetMode="External" /><Relationship Type="http://schemas.openxmlformats.org/officeDocument/2006/relationships/hyperlink" Id="rId851" Target="http://code.cside.com" TargetMode="External" /><Relationship Type="http://schemas.openxmlformats.org/officeDocument/2006/relationships/hyperlink" Id="rId850" Target="http://coe21.zinbun.kyoto-u.ac.jp/djvuchar" TargetMode="External" /><Relationship Type="http://schemas.openxmlformats.org/officeDocument/2006/relationships/hyperlink" Id="rId462" Target="http://dl.ndl.go.jp/info:ndljp/pid/2586899/18" TargetMode="External" /><Relationship Type="http://schemas.openxmlformats.org/officeDocument/2006/relationships/hyperlink" Id="rId494" Target="http://dl.ndl.go.jp/info:ndljp/pid/2586900/19" TargetMode="External" /><Relationship Type="http://schemas.openxmlformats.org/officeDocument/2006/relationships/hyperlink" Id="rId495" Target="http://dl.ndl.go.jp/info:ndljp/pid/2586900/23" TargetMode="External" /><Relationship Type="http://schemas.openxmlformats.org/officeDocument/2006/relationships/hyperlink" Id="rId496" Target="http://dl.ndl.go.jp/info:ndljp/pid/2586900/28" TargetMode="External" /><Relationship Type="http://schemas.openxmlformats.org/officeDocument/2006/relationships/hyperlink" Id="rId497" Target="http://dl.ndl.go.jp/info:ndljp/pid/2586900/29" TargetMode="External" /><Relationship Type="http://schemas.openxmlformats.org/officeDocument/2006/relationships/hyperlink" Id="rId498" Target="http://dl.ndl.go.jp/info:ndljp/pid/2586900/44" TargetMode="External" /><Relationship Type="http://schemas.openxmlformats.org/officeDocument/2006/relationships/hyperlink" Id="rId493" Target="http://dl.ndl.go.jp/info:ndljp/pid/2586900/8" TargetMode="External" /><Relationship Type="http://schemas.openxmlformats.org/officeDocument/2006/relationships/hyperlink" Id="rId819" Target="http://fonts.jp/hanazono/" TargetMode="External" /><Relationship Type="http://schemas.openxmlformats.org/officeDocument/2006/relationships/hyperlink" Id="rId846" Target="http://glyphwiki.org" TargetMode="External" /><Relationship Type="http://schemas.openxmlformats.org/officeDocument/2006/relationships/hyperlink" Id="rId843" Target="http://kanji-database.sourceforge.net" TargetMode="External" /><Relationship Type="http://schemas.openxmlformats.org/officeDocument/2006/relationships/hyperlink" Id="rId845" Target="http://search.hng-data.org" TargetMode="External" /><Relationship Type="http://schemas.openxmlformats.org/officeDocument/2006/relationships/hyperlink" Id="rId848" Target="http://suzukish.s252.xrea.com/search" TargetMode="External" /><Relationship Type="http://schemas.openxmlformats.org/officeDocument/2006/relationships/hyperlink" Id="rId852" Target="http://tls.uni-hd.de/xuanying.html" TargetMode="External" /><Relationship Type="http://schemas.openxmlformats.org/officeDocument/2006/relationships/hyperlink" Id="rId844" Target="http://www.chise.org/ids-find" TargetMode="External" /><Relationship Type="http://schemas.openxmlformats.org/officeDocument/2006/relationships/hyperlink" Id="rId855" Target="http://www.zdic.net" TargetMode="External" /><Relationship Type="http://schemas.openxmlformats.org/officeDocument/2006/relationships/hyperlink" Id="rId847" Target="http://www2.dhii.jp:3000" TargetMode="External" /><Relationship Type="http://schemas.openxmlformats.org/officeDocument/2006/relationships/hyperlink" Id="rId858" Target="http://xiaoxue.iis.sinica.edu.tw" TargetMode="External" /><Relationship Type="http://schemas.openxmlformats.org/officeDocument/2006/relationships/hyperlink" Id="rId833" Target="http://xymtex.com/fujitas/kanbun/kanbunex.html" TargetMode="External" /><Relationship Type="http://schemas.openxmlformats.org/officeDocument/2006/relationships/hyperlink" Id="rId869" Target="http://xymtex.com/fujitas2/texlatex/index.html" TargetMode="External" /><Relationship Type="http://schemas.openxmlformats.org/officeDocument/2006/relationships/hyperlink" Id="rId868" Target="https://base1.nijl.ac.jp/~tkoten/" TargetMode="External" /><Relationship Type="http://schemas.openxmlformats.org/officeDocument/2006/relationships/hyperlink" Id="rId866" Target="https://bibdb.ninjal.ac.jp/bunken/ja/" TargetMode="External" /><Relationship Type="http://schemas.openxmlformats.org/officeDocument/2006/relationships/hyperlink" Id="rId864" Target="https://cir.nii.ac.jp/" TargetMode="External" /><Relationship Type="http://schemas.openxmlformats.org/officeDocument/2006/relationships/hyperlink" Id="rId865" Target="https://clrd.ninjal.ac.jp/chj/" TargetMode="External" /><Relationship Type="http://schemas.openxmlformats.org/officeDocument/2006/relationships/hyperlink" Id="rId861" Target="https://convertio.co/ja/image-converter/" TargetMode="External" /><Relationship Type="http://schemas.openxmlformats.org/officeDocument/2006/relationships/hyperlink" Id="rId249" Target="https://ctext.org/dictionary.pl?if=en" TargetMode="External" /><Relationship Type="http://schemas.openxmlformats.org/officeDocument/2006/relationships/hyperlink" Id="rId821" Target="https://ctext.org/dictionary.pl?if=en&amp;rad=1" TargetMode="External" /><Relationship Type="http://schemas.openxmlformats.org/officeDocument/2006/relationships/hyperlink" Id="rId284" Target="https://dl.ndl.go.jp/info:ndljp/pid/2586891/10" TargetMode="External" /><Relationship Type="http://schemas.openxmlformats.org/officeDocument/2006/relationships/hyperlink" Id="rId285" Target="https://dl.ndl.go.jp/info:ndljp/pid/2586891/31" TargetMode="External" /><Relationship Type="http://schemas.openxmlformats.org/officeDocument/2006/relationships/hyperlink" Id="rId103" Target="https://dl.ndl.go.jp/info:ndljp/pid/2586891/6" TargetMode="External" /><Relationship Type="http://schemas.openxmlformats.org/officeDocument/2006/relationships/hyperlink" Id="rId104" Target="https://dl.ndl.go.jp/info:ndljp/pid/2586891/7" TargetMode="External" /><Relationship Type="http://schemas.openxmlformats.org/officeDocument/2006/relationships/hyperlink" Id="rId289" Target="https://dl.ndl.go.jp/info:ndljp/pid/2586892/19" TargetMode="External" /><Relationship Type="http://schemas.openxmlformats.org/officeDocument/2006/relationships/hyperlink" Id="rId287" Target="https://dl.ndl.go.jp/info:ndljp/pid/2586892/27" TargetMode="External" /><Relationship Type="http://schemas.openxmlformats.org/officeDocument/2006/relationships/hyperlink" Id="rId288" Target="https://dl.ndl.go.jp/info:ndljp/pid/2586892/32" TargetMode="External" /><Relationship Type="http://schemas.openxmlformats.org/officeDocument/2006/relationships/hyperlink" Id="rId306" Target="https://dl.ndl.go.jp/info:ndljp/pid/2586893/10" TargetMode="External" /><Relationship Type="http://schemas.openxmlformats.org/officeDocument/2006/relationships/hyperlink" Id="rId312" Target="https://dl.ndl.go.jp/info:ndljp/pid/2586893/22" TargetMode="External" /><Relationship Type="http://schemas.openxmlformats.org/officeDocument/2006/relationships/hyperlink" Id="rId313" Target="https://dl.ndl.go.jp/info:ndljp/pid/2586893/34" TargetMode="External" /><Relationship Type="http://schemas.openxmlformats.org/officeDocument/2006/relationships/hyperlink" Id="rId314" Target="https://dl.ndl.go.jp/info:ndljp/pid/2586893/55" TargetMode="External" /><Relationship Type="http://schemas.openxmlformats.org/officeDocument/2006/relationships/hyperlink" Id="rId316" Target="https://dl.ndl.go.jp/info:ndljp/pid/2586894/23" TargetMode="External" /><Relationship Type="http://schemas.openxmlformats.org/officeDocument/2006/relationships/hyperlink" Id="rId317" Target="https://dl.ndl.go.jp/info:ndljp/pid/2586894/24" TargetMode="External" /><Relationship Type="http://schemas.openxmlformats.org/officeDocument/2006/relationships/hyperlink" Id="rId318" Target="https://dl.ndl.go.jp/info:ndljp/pid/2586894/30" TargetMode="External" /><Relationship Type="http://schemas.openxmlformats.org/officeDocument/2006/relationships/hyperlink" Id="rId320" Target="https://dl.ndl.go.jp/info:ndljp/pid/2586895/20" TargetMode="External" /><Relationship Type="http://schemas.openxmlformats.org/officeDocument/2006/relationships/hyperlink" Id="rId321" Target="https://dl.ndl.go.jp/info:ndljp/pid/2586895/4" TargetMode="External" /><Relationship Type="http://schemas.openxmlformats.org/officeDocument/2006/relationships/hyperlink" Id="rId322" Target="https://dl.ndl.go.jp/info:ndljp/pid/2586895/42" TargetMode="External" /><Relationship Type="http://schemas.openxmlformats.org/officeDocument/2006/relationships/hyperlink" Id="rId324" Target="https://dl.ndl.go.jp/info:ndljp/pid/2586896/10" TargetMode="External" /><Relationship Type="http://schemas.openxmlformats.org/officeDocument/2006/relationships/hyperlink" Id="rId325" Target="https://dl.ndl.go.jp/info:ndljp/pid/2586896/46" TargetMode="External" /><Relationship Type="http://schemas.openxmlformats.org/officeDocument/2006/relationships/hyperlink" Id="rId327" Target="https://dl.ndl.go.jp/info:ndljp/pid/2586897/32" TargetMode="External" /><Relationship Type="http://schemas.openxmlformats.org/officeDocument/2006/relationships/hyperlink" Id="rId328" Target="https://dl.ndl.go.jp/info:ndljp/pid/2586897/37" TargetMode="External" /><Relationship Type="http://schemas.openxmlformats.org/officeDocument/2006/relationships/hyperlink" Id="rId380" Target="https://dl.ndl.go.jp/info:ndljp/pid/2586897/38" TargetMode="External" /><Relationship Type="http://schemas.openxmlformats.org/officeDocument/2006/relationships/hyperlink" Id="rId382" Target="https://dl.ndl.go.jp/info:ndljp/pid/2586897/67" TargetMode="External" /><Relationship Type="http://schemas.openxmlformats.org/officeDocument/2006/relationships/hyperlink" Id="rId404" Target="https://dl.ndl.go.jp/info:ndljp/pid/2586898/54" TargetMode="External" /><Relationship Type="http://schemas.openxmlformats.org/officeDocument/2006/relationships/hyperlink" Id="rId448" Target="https://dl.ndl.go.jp/info:ndljp/pid/2586898/59" TargetMode="External" /><Relationship Type="http://schemas.openxmlformats.org/officeDocument/2006/relationships/hyperlink" Id="rId25" Target="https://doi.org/10.5281/zenodo.15481563" TargetMode="External" /><Relationship Type="http://schemas.openxmlformats.org/officeDocument/2006/relationships/hyperlink" Id="rId154" Target="https://github.com/shikeda" TargetMode="External" /><Relationship Type="http://schemas.openxmlformats.org/officeDocument/2006/relationships/hyperlink" Id="rId250" Target="https://github.com/shikeda/HDIC" TargetMode="External" /><Relationship Type="http://schemas.openxmlformats.org/officeDocument/2006/relationships/hyperlink" Id="rId52" Target="https://github.com/shikeda/HDIC/KRM_definitions.tsv" TargetMode="External" /><Relationship Type="http://schemas.openxmlformats.org/officeDocument/2006/relationships/hyperlink" Id="rId55" Target="https://github.com/shikeda/HDIC/KRM_ndl.tsv" TargetMode="External" /><Relationship Type="http://schemas.openxmlformats.org/officeDocument/2006/relationships/hyperlink" Id="rId24" Target="https://github.com/shikeda/krm" TargetMode="External" /><Relationship Type="http://schemas.openxmlformats.org/officeDocument/2006/relationships/hyperlink" Id="rId65" Target="https://github.com/shikeda/krm/" TargetMode="External" /><Relationship Type="http://schemas.openxmlformats.org/officeDocument/2006/relationships/hyperlink" Id="rId834" Target="https://github.com/shikeda/rose" TargetMode="External" /><Relationship Type="http://schemas.openxmlformats.org/officeDocument/2006/relationships/hyperlink" Id="rId828" Target="https://github.com/toyjack/template_lualatex_wikiglyphwiki" TargetMode="External" /><Relationship Type="http://schemas.openxmlformats.org/officeDocument/2006/relationships/hyperlink" Id="rId827" Target="https://github.com/zr-tex8r/BXglyphwiki" TargetMode="External" /><Relationship Type="http://schemas.openxmlformats.org/officeDocument/2006/relationships/hyperlink" Id="rId135" Target="https://glyphwiki.org/" TargetMode="External" /><Relationship Type="http://schemas.openxmlformats.org/officeDocument/2006/relationships/hyperlink" Id="rId234" Target="https://glyphwiki.org/wiki/u50c5" TargetMode="External" /><Relationship Type="http://schemas.openxmlformats.org/officeDocument/2006/relationships/hyperlink" Id="rId878" Target="https://hdic.jp" TargetMode="External" /><Relationship Type="http://schemas.openxmlformats.org/officeDocument/2006/relationships/hyperlink" Id="rId872" Target="https://hjl.hatenablog.com/entry/2020/03/09/120000#f-9db82ab4" TargetMode="External" /><Relationship Type="http://schemas.openxmlformats.org/officeDocument/2006/relationships/hyperlink" Id="rId856" Target="https://japanknowledge.com/" TargetMode="External" /><Relationship Type="http://schemas.openxmlformats.org/officeDocument/2006/relationships/hyperlink" Id="rId857" Target="https://joao-roiz.jp/JPDICT/search" TargetMode="External" /><Relationship Type="http://schemas.openxmlformats.org/officeDocument/2006/relationships/hyperlink" Id="rId863" Target="https://onlineconvertfree.com/ja/converter/images/" TargetMode="External" /><Relationship Type="http://schemas.openxmlformats.org/officeDocument/2006/relationships/hyperlink" Id="rId879" Target="https://researchmap.jp/liuguanwei?lang=en" TargetMode="External" /><Relationship Type="http://schemas.openxmlformats.org/officeDocument/2006/relationships/hyperlink" Id="rId881" Target="https://researchmap.jp/morioka-tomohiko?lang=en" TargetMode="External" /><Relationship Type="http://schemas.openxmlformats.org/officeDocument/2006/relationships/hyperlink" Id="rId867" Target="https://scholar.google.co.jp/" TargetMode="External" /><Relationship Type="http://schemas.openxmlformats.org/officeDocument/2006/relationships/hyperlink" Id="rId237" Target="https://search.hng-data.org/search" TargetMode="External" /><Relationship Type="http://schemas.openxmlformats.org/officeDocument/2006/relationships/hyperlink" Id="rId21" Target="https://shikeda.github.io/" TargetMode="External" /><Relationship Type="http://schemas.openxmlformats.org/officeDocument/2006/relationships/hyperlink" Id="rId22" Target="https://shikeda.github.io/docs/krm/" TargetMode="External" /><Relationship Type="http://schemas.openxmlformats.org/officeDocument/2006/relationships/hyperlink" Id="rId248" Target="https://suzukish.sakura.ne.jp/search/" TargetMode="External" /><Relationship Type="http://schemas.openxmlformats.org/officeDocument/2006/relationships/hyperlink" Id="rId251" Target="https://suzukish.sakura.ne.jp/search/yupian/search_top.php" TargetMode="External" /><Relationship Type="http://schemas.openxmlformats.org/officeDocument/2006/relationships/hyperlink" Id="rId860" Target="https://tableconvert.com/" TargetMode="External" /><Relationship Type="http://schemas.openxmlformats.org/officeDocument/2006/relationships/hyperlink" Id="rId817" Target="https://texwiki.texjp.org/?TeX%20Live" TargetMode="External" /><Relationship Type="http://schemas.openxmlformats.org/officeDocument/2006/relationships/hyperlink" Id="rId880" Target="https://viewer.hdic.jp" TargetMode="External" /><Relationship Type="http://schemas.openxmlformats.org/officeDocument/2006/relationships/hyperlink" Id="rId870" Target="https://www.benricho.org/moji_conv/13.html" TargetMode="External" /><Relationship Type="http://schemas.openxmlformats.org/officeDocument/2006/relationships/hyperlink" Id="rId547" Target="https://www.chise.org/est/view/character/&#28404;" TargetMode="External" /><Relationship Type="http://schemas.openxmlformats.org/officeDocument/2006/relationships/hyperlink" Id="rId182" Target="https://www.chise.org/ids-find" TargetMode="External" /><Relationship Type="http://schemas.openxmlformats.org/officeDocument/2006/relationships/hyperlink" Id="rId873" Target="https://www.digital.archives.go.jp/DAS/meta/listPhoto?LANG=default&amp;BID=F1000000000000094179&amp;ID=&amp;TYPE=dljpeg" TargetMode="External" /><Relationship Type="http://schemas.openxmlformats.org/officeDocument/2006/relationships/hyperlink" Id="rId381" Target="https://www.google.com/search?q=https://dl.ndl.go.jp/info:ndljp/pid/1126592/132" TargetMode="External" /><Relationship Type="http://schemas.openxmlformats.org/officeDocument/2006/relationships/hyperlink" Id="rId145" Target="https://www.hng-data.org" TargetMode="External" /><Relationship Type="http://schemas.openxmlformats.org/officeDocument/2006/relationships/hyperlink" Id="rId853" Target="https://www.kanripo.org/" TargetMode="External" /><Relationship Type="http://schemas.openxmlformats.org/officeDocument/2006/relationships/hyperlink" Id="rId854" Target="https://www.kanripo.org/text/KR4h0001/" TargetMode="External" /><Relationship Type="http://schemas.openxmlformats.org/officeDocument/2006/relationships/hyperlink" Id="rId862" Target="https://www.media.io/jp/image-converter.html" TargetMode="External" /><Relationship Type="http://schemas.openxmlformats.org/officeDocument/2006/relationships/hyperlink" Id="rId871" Target="https://zh.wikisource.org/wiki/%E6%98%AD%E6%98%8E%E6%96%87%E9%81%B8/%E5%8D%B71" TargetMode="External" /><Relationship Type="http://schemas.openxmlformats.org/officeDocument/2006/relationships/hyperlink" Id="rId20" Target="mailto:ikeda.shoju@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KRM Documentation</dc:title>
  <dc:creator>Shōju Ikeda; Professor Emeritus, Hokkaido University</dc:creator>
  <cp:keywords/>
  <dcterms:created xsi:type="dcterms:W3CDTF">2026-07-31T05:05:55Z</dcterms:created>
  <dcterms:modified xsi:type="dcterms:W3CDTF">2026-07-31T05:05:55Z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CollapseSection">
    <vt:lpwstr>True</vt:lpwstr>
  </property>
  <property fmtid="{D5CDD505-2E9C-101B-9397-08002B2CF9AE}" pid="3" name="bookToc">
    <vt:lpwstr>True</vt:lpwstr>
  </property>
  <property fmtid="{D5CDD505-2E9C-101B-9397-08002B2CF9AE}" pid="4" name="date">
    <vt:lpwstr>Version 0.9 (draft) — publication date to be finalized</vt:lpwstr>
  </property>
  <property fmtid="{D5CDD505-2E9C-101B-9397-08002B2CF9AE}" pid="5" name="subtitle">
    <vt:lpwstr>Scholarly and Technical Documentation for the KRM Database</vt:lpwstr>
  </property>
  <property fmtid="{D5CDD505-2E9C-101B-9397-08002B2CF9AE}" pid="6" name="weight">
    <vt:lpwstr>60</vt:lpwstr>
  </property>
</Properties>
</file>