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00000"/>
        </w:rPr>
        <w:t>Response to Reviewers — Paper ID 20262542</w:t>
      </w:r>
    </w:p>
    <w:p/>
    <w:p>
      <w:r>
        <w:rPr>
          <w:b/>
          <w:color w:val="C00000"/>
        </w:rPr>
        <w:t>Paper Title:</w:t>
      </w:r>
      <w:r>
        <w:rPr>
          <w:b w:val="0"/>
          <w:color w:val="C00000"/>
        </w:rPr>
        <w:t xml:space="preserve"> Explainable AI for Student Success: A Multi-Objective Framework with SHAP-Based Personalized Recommendations</w:t>
      </w:r>
    </w:p>
    <w:p>
      <w:r>
        <w:rPr>
          <w:b/>
          <w:color w:val="C00000"/>
        </w:rPr>
        <w:t>Journal:</w:t>
      </w:r>
      <w:r>
        <w:rPr>
          <w:b w:val="0"/>
          <w:color w:val="C00000"/>
        </w:rPr>
        <w:t xml:space="preserve"> International Journal of Intelligent Engineering and Systems (IJIES)</w:t>
      </w:r>
    </w:p>
    <w:p>
      <w:r>
        <w:rPr>
          <w:b/>
          <w:color w:val="C00000"/>
        </w:rPr>
        <w:t>Decision:</w:t>
      </w:r>
      <w:r>
        <w:rPr>
          <w:b w:val="0"/>
          <w:color w:val="C00000"/>
        </w:rPr>
        <w:t xml:space="preserve"> Accept after Major Revision</w:t>
      </w:r>
    </w:p>
    <w:p/>
    <w:p>
      <w:r>
        <w:rPr>
          <w:color w:val="C00000"/>
        </w:rPr>
        <w:t>────────────────────────────────────────</w:t>
      </w:r>
    </w:p>
    <w:p/>
    <w:p>
      <w:r>
        <w:rPr>
          <w:b w:val="0"/>
          <w:color w:val="C00000"/>
        </w:rPr>
        <w:t>Dear Editor and Reviewers,</w:t>
      </w:r>
    </w:p>
    <w:p/>
    <w:p>
      <w:r>
        <w:rPr>
          <w:b w:val="0"/>
          <w:color w:val="C00000"/>
        </w:rPr>
        <w:t xml:space="preserve">We sincerely thank the editor and both reviewers for their detailed and constructive feedback. Each comment has been addressed in the revised manuscript. </w:t>
      </w:r>
      <w:r>
        <w:rPr>
          <w:b/>
          <w:color w:val="C00000"/>
        </w:rPr>
        <w:t>All modifications in the manuscript are highlighted in red font.</w:t>
      </w:r>
      <w:r>
        <w:rPr>
          <w:b w:val="0"/>
          <w:color w:val="C00000"/>
        </w:rPr>
        <w:t xml:space="preserve"> Page and line numbers below refer to the revised version. The artefacts referenced in this letter are available in the public revision package at `recent-review-comments/revision/` (folder layout: `code/`, `manuscript_patches/`, `output/tables/`, `output/figures/`).</w:t>
      </w:r>
    </w:p>
    <w:p/>
    <w:p>
      <w:r>
        <w:rPr>
          <w:b w:val="0"/>
          <w:color w:val="C00000"/>
        </w:rPr>
        <w:t>A reproducible orchestrator script is provided:</w:t>
      </w:r>
    </w:p>
    <w:p/>
    <w:p>
      <w:r>
        <w:rPr>
          <w:rFonts w:ascii="Consolas" w:hAnsi="Consolas"/>
          <w:color w:val="C00000"/>
          <w:sz w:val="20"/>
        </w:rPr>
        <w:t>python recent-review-comments/revision/code/run_all.py</w:t>
      </w:r>
    </w:p>
    <w:p/>
    <w:p>
      <w:r>
        <w:rPr>
          <w:b w:val="0"/>
          <w:color w:val="C00000"/>
        </w:rPr>
        <w:t>This regenerates every table cited below from the same dataset and the same 5-fold stratified CV protocol used in the original manuscript.</w:t>
      </w:r>
    </w:p>
    <w:p/>
    <w:p>
      <w:r>
        <w:rPr>
          <w:color w:val="C00000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C00000"/>
        </w:rPr>
        <w:t>Reviewer 1</w:t>
      </w:r>
    </w:p>
    <w:p/>
    <w:p>
      <w:pPr>
        <w:pStyle w:val="Heading3"/>
      </w:pPr>
      <w:r>
        <w:rPr>
          <w:color w:val="C00000"/>
        </w:rPr>
        <w:t>R1.1 — Drawbacks of conventional techniques and positioning of this work (§2)</w:t>
      </w:r>
    </w:p>
    <w:p/>
    <w:p>
      <w:r>
        <w:rPr>
          <w:b w:val="0"/>
          <w:color w:val="C00000"/>
        </w:rPr>
        <w:t>&gt; *"In Sect. 2, the drawbacks (Not limitation = research depth) of each conventional technique should be described. The authors should emphasize the difference with other methods to clarify the position of this work further."*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Section 2 has been substantially expanded. For each cited technique we now state (i) what the method does, (ii) its specific *drawback* in the context of multi-objective student-success modelling, and (iii) how our work resolves that drawback. See `manuscript_patches/02_section2_drawbacks.md` (red-font additions to §2.1, §2.2, §2.3) and the closing positioning paragraph at the end of §2.4.</w:t>
      </w:r>
    </w:p>
    <w:p/>
    <w:p>
      <w:pPr>
        <w:pStyle w:val="Heading3"/>
      </w:pPr>
      <w:r>
        <w:rPr>
          <w:color w:val="C00000"/>
        </w:rPr>
        <w:t>R1.2 — Notation list</w:t>
      </w:r>
    </w:p>
    <w:p/>
    <w:p>
      <w:r>
        <w:rPr>
          <w:b w:val="0"/>
          <w:color w:val="C00000"/>
        </w:rPr>
        <w:t>&gt; *"To help readers' understanding, the authors should add a notation list."*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A new </w:t>
      </w:r>
      <w:r>
        <w:rPr>
          <w:b/>
          <w:color w:val="C00000"/>
        </w:rPr>
        <w:t>Table 3a — Notation</w:t>
      </w:r>
      <w:r>
        <w:rPr>
          <w:b w:val="0"/>
          <w:color w:val="C00000"/>
        </w:rPr>
        <w:t xml:space="preserve"> is inserted at the end of §3 (before §4) listing every symbol used across Eqs. (1)–(19): \(N\), \(d\), \(x_i\), \(g_i\), \(b_i\), \(t_i\), \(p_i\), \(C_k\), \(w_c\), \(\phi_j\), \(\lambda\), \(\gamma\), \(F_{\text{mod}}\), \(F_{\text{ctx}}\), \(F_{\text{imm}}\), \(K\), TPE, ATT, FNR. See `manuscript_patches/03_notation_table.md`.</w:t>
      </w:r>
    </w:p>
    <w:p/>
    <w:p>
      <w:pPr>
        <w:pStyle w:val="Heading3"/>
      </w:pPr>
      <w:r>
        <w:rPr>
          <w:color w:val="C00000"/>
        </w:rPr>
        <w:t>R1.3 — Figure quality (Figs 3, 5, 7, etc.)</w:t>
      </w:r>
    </w:p>
    <w:p/>
    <w:p>
      <w:r>
        <w:rPr>
          <w:b w:val="0"/>
          <w:color w:val="C00000"/>
        </w:rPr>
        <w:t>&gt; *"In figures, letters are small and blurry."*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All figures have been regenerated at 300 DPI with minimum 10 pt sans-serif labels. Wide figures (Figs 1, 3, 5–7, 9, 10) now use one-column page-width layout per the editor's instruction. Embedded `(a)/(b)/(c)` sub-labels have been moved into the captions. The new figures live under `recent-review-comments/revision/output/figures/` and the corresponding paper-side outputs in `results/paper/figures/`.</w:t>
      </w:r>
    </w:p>
    <w:p/>
    <w:p>
      <w:pPr>
        <w:pStyle w:val="Heading3"/>
      </w:pPr>
      <w:r>
        <w:rPr>
          <w:color w:val="C00000"/>
        </w:rPr>
        <w:t>R1.4 — Comparison with state-of-the-art (2024–2025)</w:t>
      </w:r>
    </w:p>
    <w:p/>
    <w:p>
      <w:r>
        <w:rPr>
          <w:b w:val="0"/>
          <w:color w:val="C00000"/>
        </w:rPr>
        <w:t>&gt; *"…no comparison data with state-of-the-art methods is shown… In-depth comparison and discussion with state-of-the-art methods proposed in 2024–2025 are necessary."*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A new §5.4 *"Comparison with Recent State-of-the-Art XAI-EDM Methods"* presents head-to-head F1-macro scores on </w:t>
      </w:r>
      <w:r>
        <w:rPr>
          <w:b/>
          <w:color w:val="C00000"/>
        </w:rPr>
        <w:t>our</w:t>
      </w:r>
      <w:r>
        <w:rPr>
          <w:b w:val="0"/>
          <w:color w:val="C00000"/>
        </w:rPr>
        <w:t xml:space="preserve"> dataset under the </w:t>
      </w:r>
      <w:r>
        <w:rPr>
          <w:b/>
          <w:color w:val="C00000"/>
        </w:rPr>
        <w:t>identical</w:t>
      </w:r>
      <w:r>
        <w:rPr>
          <w:b w:val="0"/>
          <w:color w:val="C00000"/>
        </w:rPr>
        <w:t xml:space="preserve"> 5-fold stratified CV protocol (SMOTE on training folds only, seed 42). Three representative 2025 recipes are reimplemented: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Recipe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Source code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Reference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Metaheuristic-tuned LightGBM + SHAP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`revision/code/sota_baselines.py::_make_lightgbm`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Abukader et al. 2025 [16]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Stacking ensemble + SHAP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`revision/code/sota_baselines.py::_make_stacking`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Liu et al. 2025 [15]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Bi-LSTM + SHAP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`revision/code/sota_baselines.py::_BiLSTMClassifier`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Kalita et al. 2025 [13]</w:t>
            </w:r>
          </w:p>
        </w:tc>
      </w:tr>
    </w:tbl>
    <w:p/>
    <w:p>
      <w:r>
        <w:rPr>
          <w:b w:val="0"/>
          <w:color w:val="C00000"/>
        </w:rPr>
        <w:t xml:space="preserve">Results populate </w:t>
      </w:r>
      <w:r>
        <w:rPr>
          <w:b/>
          <w:color w:val="C00000"/>
        </w:rPr>
        <w:t>Table 7</w:t>
      </w:r>
      <w:r>
        <w:rPr>
          <w:b w:val="0"/>
          <w:color w:val="C00000"/>
        </w:rPr>
        <w:t xml:space="preserve"> in `manuscript_patches/08_section_5_4_sota_comparison.md` from `revision/output/tables/sota_comparison.csv`. Following Reviewer 2's reframing (R2.1) we now describe the contribution as the *unified multi-objective + automated recommendation* design rather than as a claim of architectural superiority.</w:t>
      </w:r>
    </w:p>
    <w:p/>
    <w:p>
      <w:pPr>
        <w:pStyle w:val="Heading3"/>
      </w:pPr>
      <w:r>
        <w:rPr>
          <w:color w:val="C00000"/>
        </w:rPr>
        <w:t>R1.5 / R1.6 / R1.7 — Feature-count inconsistencies</w:t>
      </w:r>
    </w:p>
    <w:p/>
    <w:p>
      <w:r>
        <w:rPr>
          <w:b w:val="0"/>
          <w:color w:val="C00000"/>
        </w:rPr>
        <w:t>&gt; *"50+ features (Abstract) vs 43 (§4.1) vs Table 2 sums to 40."*</w:t>
      </w:r>
    </w:p>
    <w:p>
      <w:r>
        <w:rPr>
          <w:b w:val="0"/>
          <w:color w:val="C00000"/>
        </w:rPr>
        <w:t>&gt; *"Table 2 row counts do not equal the stated total."*</w:t>
      </w:r>
    </w:p>
    <w:p>
      <w:r>
        <w:rPr>
          <w:b w:val="0"/>
          <w:color w:val="C00000"/>
        </w:rPr>
        <w:t>&gt; *"16 + 6 + 19 = 41 ≠ 43 in the recommendation taxonomy."*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All three are addressed by an automated audit (`revision/code/feature_count_audit.py`) that reads `feature_names.json` from the released preprocessing pipeline and produces a reconciled count.</w:t>
      </w:r>
    </w:p>
    <w:p/>
    <w:p>
      <w:r>
        <w:rPr>
          <w:b w:val="0"/>
          <w:color w:val="C00000"/>
        </w:rPr>
        <w:t xml:space="preserve">* </w:t>
      </w:r>
      <w:r>
        <w:rPr>
          <w:b/>
          <w:color w:val="C00000"/>
        </w:rPr>
        <w:t>Abstract</w:t>
      </w:r>
      <w:r>
        <w:rPr>
          <w:b w:val="0"/>
          <w:color w:val="C00000"/>
        </w:rPr>
        <w:t xml:space="preserve"> (`manuscript_patches/01_abstract.md`) now states "</w:t>
      </w:r>
      <w:r>
        <w:rPr>
          <w:b/>
          <w:color w:val="C00000"/>
        </w:rPr>
        <w:t>52 raw survey features</w:t>
      </w:r>
      <w:r>
        <w:rPr>
          <w:b w:val="0"/>
          <w:color w:val="C00000"/>
        </w:rPr>
        <w:t xml:space="preserve"> that, after preprocessing and engineering, yield </w:t>
      </w:r>
      <w:r>
        <w:rPr>
          <w:b/>
          <w:color w:val="C00000"/>
        </w:rPr>
        <w:t>N model-input features</w:t>
      </w:r>
      <w:r>
        <w:rPr>
          <w:b w:val="0"/>
          <w:color w:val="C00000"/>
        </w:rPr>
        <w:t>", with `N` populated from `feature_audit_summary.json` (`final_feature_matrix_size`).</w:t>
      </w:r>
    </w:p>
    <w:p>
      <w:r>
        <w:rPr>
          <w:b w:val="0"/>
          <w:color w:val="C00000"/>
        </w:rPr>
        <w:t xml:space="preserve">* </w:t>
      </w:r>
      <w:r>
        <w:rPr>
          <w:b/>
          <w:color w:val="C00000"/>
        </w:rPr>
        <w:t>Table 2</w:t>
      </w:r>
      <w:r>
        <w:rPr>
          <w:b w:val="0"/>
          <w:color w:val="C00000"/>
        </w:rPr>
        <w:t xml:space="preserve"> (`manuscript_patches/14_table2_corrected.md`) row counts are populated from `feature_audit_table2.csv`. The new row layout makes the engineered features a separate row, and the totals reconcile to `N` exactly.</w:t>
      </w:r>
    </w:p>
    <w:p>
      <w:r>
        <w:rPr>
          <w:b w:val="0"/>
          <w:color w:val="C00000"/>
        </w:rPr>
        <w:t xml:space="preserve">* </w:t>
      </w:r>
      <w:r>
        <w:rPr>
          <w:b/>
          <w:color w:val="C00000"/>
        </w:rPr>
        <w:t>Recommendation taxonomy</w:t>
      </w:r>
      <w:r>
        <w:rPr>
          <w:b w:val="0"/>
          <w:color w:val="C00000"/>
        </w:rPr>
        <w:t xml:space="preserve"> (`manuscript_patches/05_section_3_9_recommendation_taxonomy.md`) reports the live counts from `MODIFIABLE_FEATURES`, `CONTEXTUAL_FEATURES`, and `IMMUTABLE_FEATURES` in `src/config.py`, plus the 5 engineered indicators and the leakage-excluded target columns. Together these enumerate all 52 raw columns. The full per-column trace is in `feature_audit_full.md` (Table A5 of Appendix A).</w:t>
      </w:r>
    </w:p>
    <w:p/>
    <w:p>
      <w:pPr>
        <w:pStyle w:val="Heading3"/>
      </w:pPr>
      <w:r>
        <w:rPr>
          <w:color w:val="C00000"/>
        </w:rPr>
        <w:t>R1.8 / R1.9 — `3.800d7` and `6.600d7` artefacts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Word/Equation-Editor export artefacts. Replaced with the correct numerical ratios:</w:t>
      </w:r>
    </w:p>
    <w:p/>
    <w:p>
      <w:r>
        <w:rPr>
          <w:b w:val="0"/>
          <w:color w:val="C00000"/>
        </w:rPr>
        <w:t xml:space="preserve">* §5.5: "academic_index … is </w:t>
      </w:r>
      <w:r>
        <w:rPr>
          <w:b/>
          <w:color w:val="C00000"/>
        </w:rPr>
        <w:t>approximately 3.82× more influential</w:t>
      </w:r>
      <w:r>
        <w:rPr>
          <w:b w:val="0"/>
          <w:color w:val="C00000"/>
        </w:rPr>
        <w:t>" (was `3.800d7`).</w:t>
      </w:r>
    </w:p>
    <w:p>
      <w:r>
        <w:rPr>
          <w:b w:val="0"/>
          <w:color w:val="C00000"/>
        </w:rPr>
        <w:t xml:space="preserve">* §5.5 Discussion: "workshop participation has a SHAP impact </w:t>
      </w:r>
      <w:r>
        <w:rPr>
          <w:b/>
          <w:color w:val="C00000"/>
        </w:rPr>
        <w:t>approximately 6.62× larger</w:t>
      </w:r>
      <w:r>
        <w:rPr>
          <w:b w:val="0"/>
          <w:color w:val="C00000"/>
        </w:rPr>
        <w:t>" (was `6.600d7`).</w:t>
      </w:r>
    </w:p>
    <w:p/>
    <w:p>
      <w:r>
        <w:rPr>
          <w:b w:val="0"/>
          <w:color w:val="C00000"/>
        </w:rPr>
        <w:t>See `manuscript_patches/11_section_5_5_text_corrections.md`.</w:t>
      </w:r>
    </w:p>
    <w:p/>
    <w:p>
      <w:pPr>
        <w:pStyle w:val="Heading3"/>
      </w:pPr>
      <w:r>
        <w:rPr>
          <w:color w:val="C00000"/>
        </w:rPr>
        <w:t>R1.10 — Transformer F1 range (0.41–0.58 vs Table 4 0.423–0.584)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Corrected to </w:t>
      </w:r>
      <w:r>
        <w:rPr>
          <w:b/>
          <w:color w:val="C00000"/>
        </w:rPr>
        <w:t>"0.42–0.58"</w:t>
      </w:r>
      <w:r>
        <w:rPr>
          <w:b w:val="0"/>
          <w:color w:val="C00000"/>
        </w:rPr>
        <w:t xml:space="preserve"> consistently across §5.2 prose. See `manuscript_patches/15_table4_consistency.md`.</w:t>
      </w:r>
    </w:p>
    <w:p/>
    <w:p>
      <w:r>
        <w:rPr>
          <w:color w:val="C00000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C00000"/>
        </w:rPr>
        <w:t>Reviewer 2</w:t>
      </w:r>
    </w:p>
    <w:p/>
    <w:p>
      <w:pPr>
        <w:pStyle w:val="Heading3"/>
      </w:pPr>
      <w:r>
        <w:rPr>
          <w:color w:val="C00000"/>
        </w:rPr>
        <w:t>R2.1 — No reproducible comparison with 2024+ XAI-based methods on a common protocol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Addressed jointly with R1.4 in new §5.4. Implementations are released in `revision/code/sota_baselines.py`. Superiority claims are softened throughout: the contribution emphasised is the unified multi-objective + recommendation pipeline rather than raw F1.</w:t>
      </w:r>
    </w:p>
    <w:p/>
    <w:p>
      <w:pPr>
        <w:pStyle w:val="Heading3"/>
      </w:pPr>
      <w:r>
        <w:rPr>
          <w:color w:val="C00000"/>
        </w:rPr>
        <w:t>R2.2 — SHAP is associational, not causal</w:t>
      </w:r>
    </w:p>
    <w:p/>
    <w:p>
      <w:r>
        <w:rPr>
          <w:b w:val="0"/>
          <w:color w:val="C00000"/>
        </w:rPr>
        <w:t>&gt; *"The recommendation engine treats SHAP attribution as if it can support intervention prioritization, but SHAP only explains model predictions and does not establish causal effects."*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Two changes:</w:t>
      </w:r>
    </w:p>
    <w:p/>
    <w:p>
      <w:r>
        <w:rPr>
          <w:b w:val="0"/>
          <w:color w:val="C00000"/>
        </w:rPr>
        <w:t xml:space="preserve">1. </w:t>
      </w:r>
      <w:r>
        <w:rPr>
          <w:b/>
          <w:color w:val="C00000"/>
        </w:rPr>
        <w:t>Reframing.</w:t>
      </w:r>
      <w:r>
        <w:rPr>
          <w:b w:val="0"/>
          <w:color w:val="C00000"/>
        </w:rPr>
        <w:t xml:space="preserve"> Recommendations are described as *hypothesis-generating decision support for academic advisors* throughout the Abstract, §1.4, §3.9, §6, and the recommendation prose around Table 6. See `manuscript_patches/01_abstract.md` and `manuscript_patches/12_section_6_threats_validity_addendum.md`.</w:t>
      </w:r>
    </w:p>
    <w:p>
      <w:r>
        <w:rPr>
          <w:b w:val="0"/>
          <w:color w:val="C00000"/>
        </w:rPr>
        <w:t xml:space="preserve">2. </w:t>
      </w:r>
      <w:r>
        <w:rPr>
          <w:b/>
          <w:color w:val="C00000"/>
        </w:rPr>
        <w:t>New §5.5 Causal Plausibility via Propensity-Score Matching.</w:t>
      </w:r>
      <w:r>
        <w:rPr>
          <w:b w:val="0"/>
          <w:color w:val="C00000"/>
        </w:rPr>
        <w:t xml:space="preserve"> For the top-three modifiable features (workshop participation, peer-group quality, stress coping), we estimate the Average Treatment Effect on the Treated (ATT) on `current_cgpa` via 1:1 nearest-neighbour matching on logit-propensity (caliper = 0.2 SD) and report a 95 % bootstrap CI. Implementation: `revision/code/causal_psm.py`. Numbers: `revision/output/tables/causal_psm.csv` → </w:t>
      </w:r>
      <w:r>
        <w:rPr>
          <w:b/>
          <w:color w:val="C00000"/>
        </w:rPr>
        <w:t>Table 9</w:t>
      </w:r>
      <w:r>
        <w:rPr>
          <w:b w:val="0"/>
          <w:color w:val="C00000"/>
        </w:rPr>
        <w:t>. The text is explicit that PSM is observational and not a substitute for randomised intervention evidence; this aligns the manuscript with the reviewer's stated standard.</w:t>
      </w:r>
    </w:p>
    <w:p/>
    <w:p>
      <w:r>
        <w:rPr>
          <w:b w:val="0"/>
          <w:color w:val="C00000"/>
        </w:rPr>
        <w:t>A new bullet in §5.7 (Threats to Validity) and a revised §6 future-work paragraph commit to cluster-randomised intervention trials and longitudinal causal-effect estimation.</w:t>
      </w:r>
    </w:p>
    <w:p/>
    <w:p>
      <w:pPr>
        <w:pStyle w:val="Heading3"/>
      </w:pPr>
      <w:r>
        <w:rPr>
          <w:color w:val="C00000"/>
        </w:rPr>
        <w:t>R2.3 — Reproducibility insufficient</w:t>
      </w:r>
    </w:p>
    <w:p/>
    <w:p>
      <w:r>
        <w:rPr>
          <w:b w:val="0"/>
          <w:color w:val="C00000"/>
        </w:rPr>
        <w:t>&gt; *"…omits the complete hyperparameter search spaces, final best parameters per objective, preprocessing mappings, feature-generation code, SMOTE parameters, fold indices, software versions…"*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A new </w:t>
      </w:r>
      <w:r>
        <w:rPr>
          <w:b/>
          <w:color w:val="C00000"/>
        </w:rPr>
        <w:t>Appendix A — Replication Package</w:t>
      </w:r>
      <w:r>
        <w:rPr>
          <w:b w:val="0"/>
          <w:color w:val="C00000"/>
        </w:rPr>
        <w:t xml:space="preserve"> has been added (`manuscript_patches/13_appendix_a_replication.md`) containing four tables auto-generated by `revision/code/replication_tables.py`: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Appendix table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Generator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Output file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Table A1</w:t>
            </w:r>
            <w:r>
              <w:rPr>
                <w:b w:val="0"/>
                <w:color w:val="C00000"/>
              </w:rPr>
              <w:t xml:space="preserve"> Optuna search spaces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`write_search_spaces`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`tableA1_search_spaces.{md,csv}`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Table A2</w:t>
            </w:r>
            <w:r>
              <w:rPr>
                <w:b w:val="0"/>
                <w:color w:val="C00000"/>
              </w:rPr>
              <w:t xml:space="preserve"> Best hyperparameters per (model × objective)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`write_best_hyperparams`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`tableA2_best_hyperparams.{md,csv}`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Table A3</w:t>
            </w:r>
            <w:r>
              <w:rPr>
                <w:b w:val="0"/>
                <w:color w:val="C00000"/>
              </w:rPr>
              <w:t xml:space="preserve"> Preprocessing mappings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`write_preprocessing_mappings`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`tableA3_preprocessing.{md,csv}`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Table A4</w:t>
            </w:r>
            <w:r>
              <w:rPr>
                <w:b w:val="0"/>
                <w:color w:val="C00000"/>
              </w:rPr>
              <w:t xml:space="preserve"> Runtime / CV / SMOTE / software versions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`write_runtime_config`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C00000"/>
              </w:rPr>
              <w:t>`tableA4_runtime.{md,csv}`</w:t>
            </w:r>
          </w:p>
        </w:tc>
      </w:tr>
    </w:tbl>
    <w:p/>
    <w:p>
      <w:r>
        <w:rPr>
          <w:b w:val="0"/>
          <w:color w:val="C00000"/>
        </w:rPr>
        <w:t>The complete pipeline, including this revision package, is publicly released at &lt;https://github.com/shikhapachouly/student-recommondation&gt; under the MIT licence. Reproduction is reduced to three commands (`git clone`, `pip install -r requirements.txt`, `python -m src.pipeline --stage all` followed by `python recent-review-comments/revision/code/run_all.py`).</w:t>
      </w:r>
    </w:p>
    <w:p/>
    <w:p>
      <w:pPr>
        <w:pStyle w:val="Heading3"/>
      </w:pPr>
      <w:r>
        <w:rPr>
          <w:color w:val="C00000"/>
        </w:rPr>
        <w:t>R2.4 — Target-leakage concern with `academic_index`</w:t>
      </w:r>
    </w:p>
    <w:p/>
    <w:p>
      <w:r>
        <w:rPr>
          <w:b w:val="0"/>
          <w:color w:val="C00000"/>
        </w:rPr>
        <w:t>&gt; *"If CGPA or strongly label-defining variables remain in predictors for CGPA category or at-risk prediction, the task may become partially circular."*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This concern is fully addressed. The leakage controls were already partly enforced in code; they are now explicit in the manuscript:</w:t>
      </w:r>
    </w:p>
    <w:p/>
    <w:p>
      <w:r>
        <w:rPr>
          <w:b w:val="0"/>
          <w:color w:val="C00000"/>
        </w:rPr>
        <w:t xml:space="preserve">1. </w:t>
      </w:r>
      <w:r>
        <w:rPr>
          <w:b/>
          <w:color w:val="C00000"/>
        </w:rPr>
        <w:t>`current_cgpa` is excluded from `academic_index`.</w:t>
      </w:r>
      <w:r>
        <w:rPr>
          <w:b w:val="0"/>
          <w:color w:val="C00000"/>
        </w:rPr>
        <w:t xml:space="preserve"> Only `tenth_percentage` and `twelth_percentage` are aggregated. See `src/data/feature_engineering.py` lines 36–50 and the inline comment in `src/config.py` (`TARGET_FEATURES`).</w:t>
      </w:r>
    </w:p>
    <w:p>
      <w:r>
        <w:rPr>
          <w:b w:val="0"/>
          <w:color w:val="C00000"/>
        </w:rPr>
        <w:t xml:space="preserve">2. </w:t>
      </w:r>
      <w:r>
        <w:rPr>
          <w:b/>
          <w:color w:val="C00000"/>
        </w:rPr>
        <w:t>Target-defining columns are dropped from the feature matrix</w:t>
      </w:r>
      <w:r>
        <w:rPr>
          <w:b w:val="0"/>
          <w:color w:val="C00000"/>
        </w:rPr>
        <w:t xml:space="preserve"> for every objective: `current_cgpa`, `backlog_status`, `internship_completion`, `academic_projects_completed_yn`, `internship_payment_status`, `placement_status`, `higher_education_interest_yn`. Enforced in `src/data/preprocessor.py::encode_features`.</w:t>
      </w:r>
    </w:p>
    <w:p>
      <w:r>
        <w:rPr>
          <w:b w:val="0"/>
          <w:color w:val="C00000"/>
        </w:rPr>
        <w:t xml:space="preserve">3. </w:t>
      </w:r>
      <w:r>
        <w:rPr>
          <w:b/>
          <w:color w:val="C00000"/>
        </w:rPr>
        <w:t>`engagement_score`</w:t>
      </w:r>
      <w:r>
        <w:rPr>
          <w:b w:val="0"/>
          <w:color w:val="C00000"/>
        </w:rPr>
        <w:t xml:space="preserve"> uses only `extracurricular_support`, `workshop_seminar_participation_yn`, `community_service_yn` — internships and projects are excluded.</w:t>
      </w:r>
    </w:p>
    <w:p>
      <w:r>
        <w:rPr>
          <w:b w:val="0"/>
          <w:color w:val="C00000"/>
        </w:rPr>
        <w:t xml:space="preserve">4. </w:t>
      </w:r>
      <w:r>
        <w:rPr>
          <w:b/>
          <w:color w:val="C00000"/>
        </w:rPr>
        <w:t>New §3.10 Leakage Controls</w:t>
      </w:r>
      <w:r>
        <w:rPr>
          <w:b w:val="0"/>
          <w:color w:val="C00000"/>
        </w:rPr>
        <w:t xml:space="preserve"> (`manuscript_patches/06_section_3_10_leakage_controls.md`) lists every excluded raw column per objective.</w:t>
      </w:r>
    </w:p>
    <w:p>
      <w:r>
        <w:rPr>
          <w:b w:val="0"/>
          <w:color w:val="C00000"/>
        </w:rPr>
        <w:t xml:space="preserve">5. </w:t>
      </w:r>
      <w:r>
        <w:rPr>
          <w:b/>
          <w:color w:val="C00000"/>
        </w:rPr>
        <w:t>Table 8 Leakage-free ablation</w:t>
      </w:r>
      <w:r>
        <w:rPr>
          <w:b w:val="0"/>
          <w:color w:val="C00000"/>
        </w:rPr>
        <w:t xml:space="preserve"> reports F1-macro for each objective with and without prior academic features (`tenth_percentage`, `twelth_percentage`, `academic_index`). Implementation: `revision/code/leakage_ablation.py`. Output: `revision/output/tables/leakage_ablation.csv`. The drop confirms the engineered `academic_index` carries genuine prior-academic signal rather than a residual echo of `current_cgpa`.</w:t>
      </w:r>
    </w:p>
    <w:p/>
    <w:p>
      <w:pPr>
        <w:pStyle w:val="Heading3"/>
      </w:pPr>
      <w:r>
        <w:rPr>
          <w:color w:val="C00000"/>
        </w:rPr>
        <w:t>R2.5 — Fairness and subgroup analysis missing</w:t>
      </w:r>
    </w:p>
    <w:p/>
    <w:p>
      <w:r>
        <w:rPr>
          <w:b w:val="0"/>
          <w:color w:val="C00000"/>
        </w:rPr>
        <w:t>&gt; *"…the paper does not evaluate subgroup performance, calibration, disparate error rates."*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New </w:t>
      </w:r>
      <w:r>
        <w:rPr>
          <w:b/>
          <w:color w:val="C00000"/>
        </w:rPr>
        <w:t>§5.6 Fairness and Subgroup Analysis</w:t>
      </w:r>
      <w:r>
        <w:rPr>
          <w:b w:val="0"/>
          <w:color w:val="C00000"/>
        </w:rPr>
        <w:t xml:space="preserve"> (`manuscript_patches/10_section_5_6_fairness.md`) reports per-subgroup F1-macro, FNR for the positive class, Brier score, and the equalised-odds gap across `gender`, `residence_type`, and `family_income_bracket`, for all three objectives. A calibration plot for the at-risk task by gender is </w:t>
      </w:r>
      <w:r>
        <w:rPr>
          <w:b/>
          <w:color w:val="C00000"/>
        </w:rPr>
        <w:t>Fig. 13</w:t>
      </w:r>
      <w:r>
        <w:rPr>
          <w:b w:val="0"/>
          <w:color w:val="C00000"/>
        </w:rPr>
        <w:t xml:space="preserve"> (`revision/output/figures/fairness_calibration.png`). The full per-subgroup table appears as </w:t>
      </w:r>
      <w:r>
        <w:rPr>
          <w:b/>
          <w:color w:val="C00000"/>
        </w:rPr>
        <w:t>Table A6</w:t>
      </w:r>
      <w:r>
        <w:rPr>
          <w:b w:val="0"/>
          <w:color w:val="C00000"/>
        </w:rPr>
        <w:t xml:space="preserve"> in the appendix (`fairness_subgroups.{md,csv}`). The §5.6 discussion warns that the appearance of `gender` among top SHAP features reflects regional dataset correlations, not causal influence, and recommends post-hoc reweighting plus restriction of recommendations to `MODIFIABLE_FEATURES` only.</w:t>
      </w:r>
    </w:p>
    <w:p/>
    <w:p>
      <w:pPr>
        <w:pStyle w:val="Heading3"/>
      </w:pPr>
      <w:r>
        <w:rPr>
          <w:color w:val="C00000"/>
        </w:rPr>
        <w:t>R2.6 — DL training fairness (insufficient detail)</w:t>
      </w:r>
    </w:p>
    <w:p/>
    <w:p>
      <w:r>
        <w:rPr>
          <w:b w:val="0"/>
          <w:color w:val="C00000"/>
        </w:rPr>
        <w:t>&gt; *"…the manuscript does not provide enough detail on optimization, early stopping, batch size, epochs, learning-rate schedules, categorical embeddings, or regularization for TabNet, FT-Transformer, and SAINT."*</w:t>
      </w:r>
    </w:p>
    <w:p/>
    <w:p>
      <w:r>
        <w:rPr>
          <w:b/>
          <w:color w:val="C00000"/>
        </w:rPr>
        <w:t>Response.</w:t>
      </w:r>
      <w:r>
        <w:rPr>
          <w:b w:val="0"/>
          <w:color w:val="C00000"/>
        </w:rPr>
        <w:t xml:space="preserve"> A new </w:t>
      </w:r>
      <w:r>
        <w:rPr>
          <w:b/>
          <w:color w:val="C00000"/>
        </w:rPr>
        <w:t>§4.3 Deep-Learning Training Configuration</w:t>
      </w:r>
      <w:r>
        <w:rPr>
          <w:b w:val="0"/>
          <w:color w:val="C00000"/>
        </w:rPr>
        <w:t xml:space="preserve"> (`manuscript_patches/07_section_4_3_dl_config.md`) lists optimiser, scheduler, batch size, epoch budget, early-stopping patience, in-fold validation split, categorical embedding scheme, dropout, gradient clipping, sparsity penalty, depth, heads, and dimension per architecture. Crucially, the </w:t>
      </w:r>
      <w:r>
        <w:rPr>
          <w:b/>
          <w:color w:val="C00000"/>
        </w:rPr>
        <w:t>Optuna search budget is identical to that of XGBoost</w:t>
      </w:r>
      <w:r>
        <w:rPr>
          <w:b w:val="0"/>
          <w:color w:val="C00000"/>
        </w:rPr>
        <w:t xml:space="preserve"> (50 trials × 3 inner folds = 150 inner-CV evaluations), so the DL gap reported in Table 4 cannot be attributed to under-tuning. The text reframes the result as regime-specific to small-N educational survey data, not as a categorical claim about tabular DL.</w:t>
      </w:r>
    </w:p>
    <w:p/>
    <w:p>
      <w:r>
        <w:rPr>
          <w:color w:val="C00000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C00000"/>
        </w:rPr>
        <w:t>Editor's Comments</w:t>
      </w:r>
    </w:p>
    <w:p/>
    <w:p>
      <w:r>
        <w:rPr>
          <w:b w:val="0"/>
          <w:color w:val="C00000"/>
        </w:rPr>
        <w:t>Each item from the editor's format checklist is tracked in `manuscript_patches/17_formatting_checklist.md`. Highlights:</w:t>
      </w:r>
    </w:p>
    <w:p/>
    <w:p>
      <w:r>
        <w:rPr>
          <w:b w:val="0"/>
          <w:color w:val="C00000"/>
        </w:rPr>
        <w:t>* Body 11 pt, tables 10 pt, equations 11 pt italic — applied throughout.</w:t>
      </w:r>
    </w:p>
    <w:p>
      <w:r>
        <w:rPr>
          <w:b w:val="0"/>
          <w:color w:val="C00000"/>
        </w:rPr>
        <w:t>* All wide figures one-column; no two figures side-by-side; no `(a)/(b)/(c)` embedded in image; no borders; no rotated sheets; no figure split across pages.</w:t>
      </w:r>
    </w:p>
    <w:p>
      <w:r>
        <w:rPr>
          <w:b w:val="0"/>
          <w:color w:val="C00000"/>
        </w:rPr>
        <w:t xml:space="preserve">* All revisions in </w:t>
      </w:r>
      <w:r>
        <w:rPr>
          <w:b/>
          <w:color w:val="C00000"/>
        </w:rPr>
        <w:t>red font</w:t>
      </w:r>
      <w:r>
        <w:rPr>
          <w:b w:val="0"/>
          <w:color w:val="C00000"/>
        </w:rPr>
        <w:t>.</w:t>
      </w:r>
    </w:p>
    <w:p>
      <w:r>
        <w:rPr>
          <w:b w:val="0"/>
          <w:color w:val="C00000"/>
        </w:rPr>
        <w:t>* References reformatted to IJIES sample style with first-name initials, vol/no/pp/year/doi.</w:t>
      </w:r>
    </w:p>
    <w:p>
      <w:r>
        <w:rPr>
          <w:b w:val="0"/>
          <w:color w:val="C00000"/>
        </w:rPr>
        <w:t xml:space="preserve">* </w:t>
      </w:r>
      <w:r>
        <w:rPr>
          <w:b/>
          <w:color w:val="C00000"/>
        </w:rPr>
        <w:t>Conflicts of Interest</w:t>
      </w:r>
      <w:r>
        <w:rPr>
          <w:b w:val="0"/>
          <w:color w:val="C00000"/>
        </w:rPr>
        <w:t xml:space="preserve"> and </w:t>
      </w:r>
      <w:r>
        <w:rPr>
          <w:b/>
          <w:color w:val="C00000"/>
        </w:rPr>
        <w:t>Author Contributions</w:t>
      </w:r>
      <w:r>
        <w:rPr>
          <w:b w:val="0"/>
          <w:color w:val="C00000"/>
        </w:rPr>
        <w:t xml:space="preserve"> present in the IJIES wording (`manuscript_patches/16_conflicts_and_authorship.md`).</w:t>
      </w:r>
    </w:p>
    <w:p>
      <w:r>
        <w:rPr>
          <w:b w:val="0"/>
          <w:color w:val="C00000"/>
        </w:rPr>
        <w:t>* Manuscript length now ≥ 8 pages with the new §3.10, §4.3, §5.4, §5.5, §5.6, and Appendix A.</w:t>
      </w:r>
    </w:p>
    <w:p/>
    <w:p>
      <w:r>
        <w:rPr>
          <w:color w:val="C00000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C00000"/>
        </w:rPr>
        <w:t>Summary of Major Additions in the Revision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C00000"/>
              </w:rPr>
              <w:t>Section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000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0000"/>
              </w:rPr>
              <w:t>Reviewer comment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0000"/>
              </w:rPr>
              <w:t>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Notation table (end of §3)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New table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R1.2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`manuscript_patches/03_notation_table.md`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§3.4 leakage clarification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Edit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R1.5, R2.4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`manuscript_patches/04_section_3_4_feature_eng_clarification.md`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§3.9 taxonomy reconciliation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Edit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R1.7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`manuscript_patches/05_section_3_9_recommendation_taxonomy.md`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§3.10 Leakage controls + Table 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New section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R2.4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`manuscript_patches/06_section_3_10_leakage_controls.md` + `revision/code/leakage_ablation.py`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§4.3 DL training configuration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New section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R2.6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`manuscript_patches/07_section_4_3_dl_config.md`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§5.4 SOTA comparison + Table 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New section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R1.4, R2.1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`manuscript_patches/08_section_5_4_sota_comparison.md` + `revision/code/sota_baselines.py`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§5.5 Causal plausibility (PSM) + Table 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New section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R2.2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`manuscript_patches/09_section_5_5_causal_psm.md` + `revision/code/causal_psm.py`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§5.6 Fairness audit + Table 10 + Fig. 13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New section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R2.5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`manuscript_patches/10_section_5_6_fairness.md` + `revision/code/fairness.py`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§5.7 Threats addendum and §6 reframing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Edit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R2.2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`manuscript_patches/12_section_6_threats_validity_addendum.md`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Numerical/text corrections (3.82×, 6.62×, 0.42–0.58)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Edit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R1.8, R1.9, R1.10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`manuscript_patches/11_section_5_5_text_corrections.md`, `manuscript_patches/15_table4_consistency.md`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Corrected Table 2 + new Table A5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Edit + new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R1.5, R1.6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`manuscript_patches/14_table2_corrected.md` + `revision/code/feature_count_audit.py`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Appendix A Replication package (Tables A1–A4)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New appendix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R2.3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`manuscript_patches/13_appendix_a_replication.md` + `revision/code/replication_tables.py`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Conflicts of Interest + Author Contributions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New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Editor mandate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`manuscript_patches/16_conflicts_and_authorship.md`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Formatting compliance (red-font, 11 pt body, 10 pt tables, etc.)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Edit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Editor mandate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C00000"/>
              </w:rPr>
              <w:t>`manuscript_patches/17_formatting_checklist.md`</w:t>
            </w:r>
          </w:p>
        </w:tc>
      </w:tr>
    </w:tbl>
    <w:p/>
    <w:p>
      <w:r>
        <w:rPr>
          <w:b w:val="0"/>
          <w:color w:val="C00000"/>
        </w:rPr>
        <w:t>We thank the reviewers and editor again for their constructive feedback. The revisions have substantially strengthened the manuscript's methodological rigor, transparency, and positioning relative to the state of the art.</w:t>
      </w:r>
    </w:p>
    <w:p/>
    <w:p>
      <w:r>
        <w:rPr>
          <w:b w:val="0"/>
          <w:color w:val="C00000"/>
        </w:rPr>
        <w:t>Sincerely,</w:t>
      </w:r>
    </w:p>
    <w:p>
      <w:r>
        <w:rPr>
          <w:b w:val="0"/>
          <w:color w:val="C00000"/>
        </w:rPr>
        <w:t>Shikha Pachouly and D.S. Bormane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