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IJIES 20262542 — Revision Patches (red-font edits)</w:t>
      </w:r>
    </w:p>
    <w:p>
      <w:r>
        <w:rPr>
          <w:color w:val="000000"/>
        </w:rPr>
        <w:t>All inserted/modified text below is rendered in red, per the IJIES editor's instruction. Each section corresponds to one reviewer comment or editor item. Paste the relevant block into the Word manuscript at the location named in the section heading.</w:t>
      </w:r>
    </w:p>
    <w:p>
      <w:r>
        <w:br w:type="page"/>
      </w:r>
    </w:p>
    <w:p>
      <w:pPr>
        <w:pStyle w:val="Heading1"/>
      </w:pPr>
      <w:r>
        <w:rPr>
          <w:color w:val="000000"/>
        </w:rPr>
        <w:t>01_abstract.md</w:t>
      </w:r>
    </w:p>
    <w:p>
      <w:pPr>
        <w:pStyle w:val="Heading1"/>
      </w:pPr>
      <w:r>
        <w:rPr>
          <w:color w:val="C00000"/>
        </w:rPr>
        <w:t>Patch 01 — Abstract (replaces existing Abstract verbatim)</w:t>
      </w:r>
    </w:p>
    <w:p/>
    <w:p>
      <w:r>
        <w:rPr>
          <w:b w:val="0"/>
          <w:color w:val="C00000"/>
        </w:rPr>
        <w:t xml:space="preserve">&gt; Proactive identification of students who need academic support, combined with personalized intervention strategies, is essential for improving outcomes in higher education. This study proposes an end-to-end Explainable AI (XAI) framework that addresses three critical educational objectives simultaneously: (1) academic performance assessment—classifying students into Low, Medium, and High CGPA categories; (2) at-risk student identification—detecting students likely to struggle academically (CGPA below 7.0 or carrying backlogs); and (3) career readiness evaluation—assessing whether a student is prepared to start their professional career, measured through completion of internships and academic projects. Using a custom dataset of </w:t>
      </w:r>
      <w:r>
        <w:rPr>
          <w:b/>
          <w:color w:val="C00000"/>
        </w:rPr>
        <w:t>1,378 engineering students</w:t>
      </w:r>
      <w:r>
        <w:rPr>
          <w:b w:val="0"/>
          <w:color w:val="C00000"/>
        </w:rPr>
        <w:t xml:space="preserve"> with </w:t>
      </w:r>
      <w:r>
        <w:rPr>
          <w:b/>
          <w:color w:val="C00000"/>
        </w:rPr>
        <w:t>52 raw survey features</w:t>
      </w:r>
      <w:r>
        <w:rPr>
          <w:b w:val="0"/>
          <w:color w:val="C00000"/>
        </w:rPr>
        <w:t xml:space="preserve"> that, after preprocessing and engineering, yield </w:t>
      </w:r>
      <w:r>
        <w:rPr>
          <w:b/>
          <w:color w:val="C00000"/>
        </w:rPr>
        <w:t>42 model-input features</w:t>
      </w:r>
      <w:r>
        <w:rPr>
          <w:b w:val="0"/>
          <w:color w:val="C00000"/>
        </w:rPr>
        <w:t xml:space="preserve"> spanning academic, demographic, behavioural, and socio-economic dimensions, we develop a feature-engineering pipeline that creates five composite indicators (`academic_index`, `skills_index`, `engagement_score`, `study_stress_interaction`, `skills_study_interaction`). Seven models—four machine learning (Logistic Regression, Random Forest, SVM, XGBoost) and three deep learning (TabNet, FT-Transformer, SAINT)—are systematically compared using 5-fold stratified cross-validation with SMOTE-based class-imbalance handling and Optuna hyperparameter optimisation. XGBoost achieves the best performance with F1-macro of 0.805 (±0.017) for academic assessment, 0.767 (±0.040) for at-risk identification, and 0.699 (±0.024) for career readiness. SHAP analysis reveals that the engineered `academic_index` is the strongest predictor of academic outcomes, while `engagement_score` drives career readiness. A SHAP-based recommendation engine translates these insights into personalized, </w:t>
      </w:r>
      <w:r>
        <w:rPr>
          <w:b/>
          <w:color w:val="C00000"/>
        </w:rPr>
        <w:t>hypothesis-generating</w:t>
      </w:r>
      <w:r>
        <w:rPr>
          <w:b w:val="0"/>
          <w:color w:val="C00000"/>
        </w:rPr>
        <w:t xml:space="preserve"> interventions for academic advisors—for example, workshop participation shows a SHAP impact of +0.331 for at-risk students. We also report a propensity-score-matched causal-plausibility check, subgroup fairness analysis (gender, residence, income), and a head-to-head comparison with three 2024–2025 SHAP-based EDM methods on the same dataset under an identical evaluation protocol. The framework provides educators and academic advisors with transparent, evidence-based decision-support tools.</w:t>
      </w:r>
    </w:p>
    <w:p>
      <w:r>
        <w:br w:type="page"/>
      </w:r>
    </w:p>
    <w:p>
      <w:pPr>
        <w:pStyle w:val="Heading1"/>
      </w:pPr>
      <w:r>
        <w:rPr>
          <w:color w:val="000000"/>
        </w:rPr>
        <w:t>02_section2_drawbacks.md</w:t>
      </w:r>
    </w:p>
    <w:p>
      <w:pPr>
        <w:pStyle w:val="Heading1"/>
      </w:pPr>
      <w:r>
        <w:rPr>
          <w:color w:val="C00000"/>
        </w:rPr>
        <w:t>Patch 02 — Section 2 drawback statements (R1.1)</w:t>
      </w:r>
    </w:p>
    <w:p/>
    <w:p>
      <w:r>
        <w:rPr>
          <w:b w:val="0"/>
          <w:color w:val="C00000"/>
        </w:rPr>
        <w:t>Append the following sentences (red font) to each cited approach in §§2.1–2.3.</w:t>
      </w:r>
    </w:p>
    <w:p/>
    <w:p>
      <w:pPr>
        <w:pStyle w:val="Heading2"/>
      </w:pPr>
      <w:r>
        <w:rPr>
          <w:color w:val="C00000"/>
        </w:rPr>
        <w:t>§2.1 (after Chen et al. [3] and Al-Din &amp; Al Abdulqader [4])</w:t>
      </w:r>
    </w:p>
    <w:p/>
    <w:p>
      <w:r>
        <w:rPr>
          <w:b w:val="0"/>
          <w:color w:val="C00000"/>
        </w:rPr>
        <w:t xml:space="preserve">&gt; A common </w:t>
      </w:r>
      <w:r>
        <w:rPr>
          <w:b/>
          <w:color w:val="C00000"/>
        </w:rPr>
        <w:t>drawback</w:t>
      </w:r>
      <w:r>
        <w:rPr>
          <w:b w:val="0"/>
          <w:color w:val="C00000"/>
        </w:rPr>
        <w:t xml:space="preserve"> of the gradient-boosted and ensemble pipelines surveyed here is that they treat student outcomes as a single scalar target (CGPA or pass/fail), which conflates academic performance with at-risk status and career readiness. They also rely on raw survey features and offer no automatic translation from feature attribution to advisor-facing recommendation. </w:t>
      </w:r>
      <w:r>
        <w:rPr>
          <w:b/>
          <w:color w:val="C00000"/>
        </w:rPr>
        <w:t>Our work</w:t>
      </w:r>
      <w:r>
        <w:rPr>
          <w:b w:val="0"/>
          <w:color w:val="C00000"/>
        </w:rPr>
        <w:t xml:space="preserve"> removes both restrictions by adopting (i) a unified multi-objective formulation in which each task has its own loss function and feature taxonomy, and (ii) a SHAP-driven recommendation engine that maps attributions to modifiable behaviours.</w:t>
      </w:r>
    </w:p>
    <w:p/>
    <w:p>
      <w:pPr>
        <w:pStyle w:val="Heading2"/>
      </w:pPr>
      <w:r>
        <w:rPr>
          <w:color w:val="C00000"/>
        </w:rPr>
        <w:t>§2.2 (after Almalawi et al. [1] and Kruger et al. [2])</w:t>
      </w:r>
    </w:p>
    <w:p/>
    <w:p>
      <w:r>
        <w:rPr>
          <w:b w:val="0"/>
          <w:color w:val="C00000"/>
        </w:rPr>
        <w:t xml:space="preserve">&gt; The principal </w:t>
      </w:r>
      <w:r>
        <w:rPr>
          <w:b/>
          <w:color w:val="C00000"/>
        </w:rPr>
        <w:t>drawback</w:t>
      </w:r>
      <w:r>
        <w:rPr>
          <w:b w:val="0"/>
          <w:color w:val="C00000"/>
        </w:rPr>
        <w:t xml:space="preserve"> of existing XAI-in-EDM systems is that they stop at *post-hoc explanation* — SHAP plots and feature importances are displayed, but no system automatically converts those attributions into actionable, personalized recommendations or audits the recommendations for fairness across demographic subgroups. </w:t>
      </w:r>
      <w:r>
        <w:rPr>
          <w:b/>
          <w:color w:val="C00000"/>
        </w:rPr>
        <w:t>Our work</w:t>
      </w:r>
      <w:r>
        <w:rPr>
          <w:b w:val="0"/>
          <w:color w:val="C00000"/>
        </w:rPr>
        <w:t xml:space="preserve"> closes this loop with Algorithm 1 and adds the per-subgroup F1, FNR, and calibration audit reported in §5.6.</w:t>
      </w:r>
    </w:p>
    <w:p/>
    <w:p>
      <w:pPr>
        <w:pStyle w:val="Heading2"/>
      </w:pPr>
      <w:r>
        <w:rPr>
          <w:color w:val="C00000"/>
        </w:rPr>
        <w:t>§2.3 (after Lin et al. [19] and Goldblum et al. [20])</w:t>
      </w:r>
    </w:p>
    <w:p/>
    <w:p>
      <w:r>
        <w:rPr>
          <w:b w:val="0"/>
          <w:color w:val="C00000"/>
        </w:rPr>
        <w:t xml:space="preserve">&gt; Modern tabular-DL architectures (TabNet, FT-Transformer, SAINT) rely on large feature interactions that small educational survey datasets (typically &lt;2 000 records) cannot reliably support. The </w:t>
      </w:r>
      <w:r>
        <w:rPr>
          <w:b/>
          <w:color w:val="C00000"/>
        </w:rPr>
        <w:t>drawback</w:t>
      </w:r>
      <w:r>
        <w:rPr>
          <w:b w:val="0"/>
          <w:color w:val="C00000"/>
        </w:rPr>
        <w:t xml:space="preserve"> for the EDM community is that recent benchmarks underplay this small-N regime, leading practitioners to over-invest in DL architectures rather than in domain-informed feature engineering. </w:t>
      </w:r>
      <w:r>
        <w:rPr>
          <w:b/>
          <w:color w:val="C00000"/>
        </w:rPr>
        <w:t>Our work</w:t>
      </w:r>
      <w:r>
        <w:rPr>
          <w:b w:val="0"/>
          <w:color w:val="C00000"/>
        </w:rPr>
        <w:t xml:space="preserve"> establishes — under matched 50-trial Optuna budgets and identical CV protocol — that XGBoost dominates this regime and that the locus of improvement is feature engineering, not architecture.</w:t>
      </w:r>
    </w:p>
    <w:p>
      <w:r>
        <w:br w:type="page"/>
      </w:r>
    </w:p>
    <w:p>
      <w:pPr>
        <w:pStyle w:val="Heading1"/>
      </w:pPr>
      <w:r>
        <w:rPr>
          <w:color w:val="000000"/>
        </w:rPr>
        <w:t>03_notation_table.md</w:t>
      </w:r>
    </w:p>
    <w:p>
      <w:pPr>
        <w:pStyle w:val="Heading1"/>
      </w:pPr>
      <w:r>
        <w:rPr>
          <w:color w:val="C00000"/>
        </w:rPr>
        <w:t>Patch 03 — Notation Table (R1.2)</w:t>
      </w:r>
    </w:p>
    <w:p/>
    <w:p>
      <w:r>
        <w:rPr>
          <w:b w:val="0"/>
          <w:color w:val="C00000"/>
        </w:rPr>
        <w:t xml:space="preserve">Insert this table at the end of §3, before §4. Caption: </w:t>
      </w:r>
      <w:r>
        <w:rPr>
          <w:b/>
          <w:color w:val="C00000"/>
        </w:rPr>
        <w:t>Table 3a. Notation used throughout this paper.</w:t>
      </w:r>
    </w:p>
    <w:p/>
    <w:tbl>
      <w:tblPr>
        <w:tblStyle w:val="LightGrid-Accent1"/>
        <w:tblW w:type="auto" w:w="0"/>
        <w:tblLook w:firstColumn="1" w:firstRow="1" w:lastColumn="0" w:lastRow="0" w:noHBand="0" w:noVBand="1" w:val="04A0"/>
      </w:tblPr>
      <w:tblGrid>
        <w:gridCol w:w="4320"/>
        <w:gridCol w:w="4320"/>
      </w:tblGrid>
      <w:tr>
        <w:tc>
          <w:tcPr>
            <w:tcW w:type="dxa" w:w="4320"/>
          </w:tcPr>
          <w:p>
            <w:r/>
            <w:r>
              <w:rPr>
                <w:b/>
                <w:color w:val="C00000"/>
              </w:rPr>
              <w:t>Symbol</w:t>
            </w:r>
          </w:p>
        </w:tc>
        <w:tc>
          <w:tcPr>
            <w:tcW w:type="dxa" w:w="4320"/>
          </w:tcPr>
          <w:p>
            <w:r/>
            <w:r>
              <w:rPr>
                <w:b/>
                <w:color w:val="C00000"/>
              </w:rPr>
              <w:t>Meaning</w:t>
            </w:r>
          </w:p>
        </w:tc>
      </w:tr>
      <w:tr>
        <w:tc>
          <w:tcPr>
            <w:tcW w:type="dxa" w:w="4320"/>
          </w:tcPr>
          <w:p>
            <w:r/>
            <w:r>
              <w:rPr>
                <w:b w:val="0"/>
                <w:color w:val="C00000"/>
              </w:rPr>
              <w:t>*N*</w:t>
            </w:r>
          </w:p>
        </w:tc>
        <w:tc>
          <w:tcPr>
            <w:tcW w:type="dxa" w:w="4320"/>
          </w:tcPr>
          <w:p>
            <w:r/>
            <w:r>
              <w:rPr>
                <w:b w:val="0"/>
                <w:color w:val="C00000"/>
              </w:rPr>
              <w:t>Number of students in the dataset (= 1 378)</w:t>
            </w:r>
          </w:p>
        </w:tc>
      </w:tr>
      <w:tr>
        <w:tc>
          <w:tcPr>
            <w:tcW w:type="dxa" w:w="4320"/>
          </w:tcPr>
          <w:p>
            <w:r/>
            <w:r>
              <w:rPr>
                <w:b w:val="0"/>
                <w:color w:val="C00000"/>
              </w:rPr>
              <w:t>*d*</w:t>
            </w:r>
          </w:p>
        </w:tc>
        <w:tc>
          <w:tcPr>
            <w:tcW w:type="dxa" w:w="4320"/>
          </w:tcPr>
          <w:p>
            <w:r/>
            <w:r>
              <w:rPr>
                <w:b w:val="0"/>
                <w:color w:val="C00000"/>
              </w:rPr>
              <w:t>Dimensionality of the feature vector after preprocessing</w:t>
            </w:r>
          </w:p>
        </w:tc>
      </w:tr>
      <w:tr>
        <w:tc>
          <w:tcPr>
            <w:tcW w:type="dxa" w:w="4320"/>
          </w:tcPr>
          <w:p>
            <w:r/>
            <w:r>
              <w:rPr>
                <w:b w:val="0"/>
                <w:color w:val="C00000"/>
              </w:rPr>
              <w:t>*x_i* ∈ ℝ^d</w:t>
            </w:r>
          </w:p>
        </w:tc>
        <w:tc>
          <w:tcPr>
            <w:tcW w:type="dxa" w:w="4320"/>
          </w:tcPr>
          <w:p>
            <w:r/>
            <w:r>
              <w:rPr>
                <w:b w:val="0"/>
                <w:color w:val="C00000"/>
              </w:rPr>
              <w:t>Feature vector for student *i*</w:t>
            </w:r>
          </w:p>
        </w:tc>
      </w:tr>
      <w:tr>
        <w:tc>
          <w:tcPr>
            <w:tcW w:type="dxa" w:w="4320"/>
          </w:tcPr>
          <w:p>
            <w:r/>
            <w:r>
              <w:rPr>
                <w:b w:val="0"/>
                <w:color w:val="C00000"/>
              </w:rPr>
              <w:t>*g_i*</w:t>
            </w:r>
          </w:p>
        </w:tc>
        <w:tc>
          <w:tcPr>
            <w:tcW w:type="dxa" w:w="4320"/>
          </w:tcPr>
          <w:p>
            <w:r/>
            <w:r>
              <w:rPr>
                <w:b w:val="0"/>
                <w:color w:val="C00000"/>
              </w:rPr>
              <w:t>Cumulative grade-point average (CGPA) for student *i*</w:t>
            </w:r>
          </w:p>
        </w:tc>
      </w:tr>
      <w:tr>
        <w:tc>
          <w:tcPr>
            <w:tcW w:type="dxa" w:w="4320"/>
          </w:tcPr>
          <w:p>
            <w:r/>
            <w:r>
              <w:rPr>
                <w:b w:val="0"/>
                <w:color w:val="C00000"/>
              </w:rPr>
              <w:t>*b_i* ∈ {0, 1}</w:t>
            </w:r>
          </w:p>
        </w:tc>
        <w:tc>
          <w:tcPr>
            <w:tcW w:type="dxa" w:w="4320"/>
          </w:tcPr>
          <w:p>
            <w:r/>
            <w:r>
              <w:rPr>
                <w:b w:val="0"/>
                <w:color w:val="C00000"/>
              </w:rPr>
              <w:t>Backlog status indicator for student *i* (1 = has backlog)</w:t>
            </w:r>
          </w:p>
        </w:tc>
      </w:tr>
      <w:tr>
        <w:tc>
          <w:tcPr>
            <w:tcW w:type="dxa" w:w="4320"/>
          </w:tcPr>
          <w:p>
            <w:r/>
            <w:r>
              <w:rPr>
                <w:b w:val="0"/>
                <w:color w:val="C00000"/>
              </w:rPr>
              <w:t>*t_i* ∈ {0, 1}</w:t>
            </w:r>
          </w:p>
        </w:tc>
        <w:tc>
          <w:tcPr>
            <w:tcW w:type="dxa" w:w="4320"/>
          </w:tcPr>
          <w:p>
            <w:r/>
            <w:r>
              <w:rPr>
                <w:b w:val="0"/>
                <w:color w:val="C00000"/>
              </w:rPr>
              <w:t>Internship-completion indicator</w:t>
            </w:r>
          </w:p>
        </w:tc>
      </w:tr>
      <w:tr>
        <w:tc>
          <w:tcPr>
            <w:tcW w:type="dxa" w:w="4320"/>
          </w:tcPr>
          <w:p>
            <w:r/>
            <w:r>
              <w:rPr>
                <w:b w:val="0"/>
                <w:color w:val="C00000"/>
              </w:rPr>
              <w:t>*p_i* ∈ {0, 1}</w:t>
            </w:r>
          </w:p>
        </w:tc>
        <w:tc>
          <w:tcPr>
            <w:tcW w:type="dxa" w:w="4320"/>
          </w:tcPr>
          <w:p>
            <w:r/>
            <w:r>
              <w:rPr>
                <w:b w:val="0"/>
                <w:color w:val="C00000"/>
              </w:rPr>
              <w:t>Academic-project-completion indicator</w:t>
            </w:r>
          </w:p>
        </w:tc>
      </w:tr>
      <w:tr>
        <w:tc>
          <w:tcPr>
            <w:tcW w:type="dxa" w:w="4320"/>
          </w:tcPr>
          <w:p>
            <w:r/>
            <w:r>
              <w:rPr>
                <w:b w:val="0"/>
                <w:color w:val="C00000"/>
              </w:rPr>
              <w:t>*y_i^{(k)}*</w:t>
            </w:r>
          </w:p>
        </w:tc>
        <w:tc>
          <w:tcPr>
            <w:tcW w:type="dxa" w:w="4320"/>
          </w:tcPr>
          <w:p>
            <w:r/>
            <w:r>
              <w:rPr>
                <w:b w:val="0"/>
                <w:color w:val="C00000"/>
              </w:rPr>
              <w:t>Label for objective *k* ∈ {CGPA, At-Risk, Career}</w:t>
            </w:r>
          </w:p>
        </w:tc>
      </w:tr>
      <w:tr>
        <w:tc>
          <w:tcPr>
            <w:tcW w:type="dxa" w:w="4320"/>
          </w:tcPr>
          <w:p>
            <w:r/>
            <w:r>
              <w:rPr>
                <w:b w:val="0"/>
                <w:color w:val="C00000"/>
              </w:rPr>
              <w:t>*C_k*</w:t>
            </w:r>
          </w:p>
        </w:tc>
        <w:tc>
          <w:tcPr>
            <w:tcW w:type="dxa" w:w="4320"/>
          </w:tcPr>
          <w:p>
            <w:r/>
            <w:r>
              <w:rPr>
                <w:b w:val="0"/>
                <w:color w:val="C00000"/>
              </w:rPr>
              <w:t>Number of classes for objective *k*</w:t>
            </w:r>
          </w:p>
        </w:tc>
      </w:tr>
      <w:tr>
        <w:tc>
          <w:tcPr>
            <w:tcW w:type="dxa" w:w="4320"/>
          </w:tcPr>
          <w:p>
            <w:r/>
            <w:r>
              <w:rPr>
                <w:b w:val="0"/>
                <w:color w:val="C00000"/>
              </w:rPr>
              <w:t>*w_c*</w:t>
            </w:r>
          </w:p>
        </w:tc>
        <w:tc>
          <w:tcPr>
            <w:tcW w:type="dxa" w:w="4320"/>
          </w:tcPr>
          <w:p>
            <w:r/>
            <w:r>
              <w:rPr>
                <w:b w:val="0"/>
                <w:color w:val="C00000"/>
              </w:rPr>
              <w:t>Inverse-frequency class weight, used in Eq. (4)</w:t>
            </w:r>
          </w:p>
        </w:tc>
      </w:tr>
      <w:tr>
        <w:tc>
          <w:tcPr>
            <w:tcW w:type="dxa" w:w="4320"/>
          </w:tcPr>
          <w:p>
            <w:r/>
            <w:r>
              <w:rPr>
                <w:b w:val="0"/>
                <w:color w:val="C00000"/>
              </w:rPr>
              <w:t>φ_j</w:t>
            </w:r>
          </w:p>
        </w:tc>
        <w:tc>
          <w:tcPr>
            <w:tcW w:type="dxa" w:w="4320"/>
          </w:tcPr>
          <w:p>
            <w:r/>
            <w:r>
              <w:rPr>
                <w:b w:val="0"/>
                <w:color w:val="C00000"/>
              </w:rPr>
              <w:t>SHAP value for feature *j* (Eq. 17)</w:t>
            </w:r>
          </w:p>
        </w:tc>
      </w:tr>
      <w:tr>
        <w:tc>
          <w:tcPr>
            <w:tcW w:type="dxa" w:w="4320"/>
          </w:tcPr>
          <w:p>
            <w:r/>
            <w:r>
              <w:rPr>
                <w:b w:val="0"/>
                <w:color w:val="C00000"/>
              </w:rPr>
              <w:t>*F*_mod / *F*_ctx / *F*_imm</w:t>
            </w:r>
          </w:p>
        </w:tc>
        <w:tc>
          <w:tcPr>
            <w:tcW w:type="dxa" w:w="4320"/>
          </w:tcPr>
          <w:p>
            <w:r/>
            <w:r>
              <w:rPr>
                <w:b w:val="0"/>
                <w:color w:val="C00000"/>
              </w:rPr>
              <w:t>Modifiable / contextual / immutable feature tiers (§3.9)</w:t>
            </w:r>
          </w:p>
        </w:tc>
      </w:tr>
      <w:tr>
        <w:tc>
          <w:tcPr>
            <w:tcW w:type="dxa" w:w="4320"/>
          </w:tcPr>
          <w:p>
            <w:r/>
            <w:r>
              <w:rPr>
                <w:b w:val="0"/>
                <w:color w:val="C00000"/>
              </w:rPr>
              <w:t>λ, γ</w:t>
            </w:r>
          </w:p>
        </w:tc>
        <w:tc>
          <w:tcPr>
            <w:tcW w:type="dxa" w:w="4320"/>
          </w:tcPr>
          <w:p>
            <w:r/>
            <w:r>
              <w:rPr>
                <w:b w:val="0"/>
                <w:color w:val="C00000"/>
              </w:rPr>
              <w:t>XGBoost regularisation strengths (Eq. 11)</w:t>
            </w:r>
          </w:p>
        </w:tc>
      </w:tr>
      <w:tr>
        <w:tc>
          <w:tcPr>
            <w:tcW w:type="dxa" w:w="4320"/>
          </w:tcPr>
          <w:p>
            <w:r/>
            <w:r>
              <w:rPr>
                <w:b w:val="0"/>
                <w:color w:val="C00000"/>
              </w:rPr>
              <w:t>σ_i</w:t>
            </w:r>
          </w:p>
        </w:tc>
        <w:tc>
          <w:tcPr>
            <w:tcW w:type="dxa" w:w="4320"/>
          </w:tcPr>
          <w:p>
            <w:r/>
            <w:r>
              <w:rPr>
                <w:b w:val="0"/>
                <w:color w:val="C00000"/>
              </w:rPr>
              <w:t>Stress-frequency Likert score (1–5)</w:t>
            </w:r>
          </w:p>
        </w:tc>
      </w:tr>
      <w:tr>
        <w:tc>
          <w:tcPr>
            <w:tcW w:type="dxa" w:w="4320"/>
          </w:tcPr>
          <w:p>
            <w:r/>
            <w:r>
              <w:rPr>
                <w:b w:val="0"/>
                <w:color w:val="C00000"/>
              </w:rPr>
              <w:t>*h_i*</w:t>
            </w:r>
          </w:p>
        </w:tc>
        <w:tc>
          <w:tcPr>
            <w:tcW w:type="dxa" w:w="4320"/>
          </w:tcPr>
          <w:p>
            <w:r/>
            <w:r>
              <w:rPr>
                <w:b w:val="0"/>
                <w:color w:val="C00000"/>
              </w:rPr>
              <w:t>Daily-study-hours ordinal level (1–4)</w:t>
            </w:r>
          </w:p>
        </w:tc>
      </w:tr>
      <w:tr>
        <w:tc>
          <w:tcPr>
            <w:tcW w:type="dxa" w:w="4320"/>
          </w:tcPr>
          <w:p>
            <w:r/>
            <w:r>
              <w:rPr>
                <w:b w:val="0"/>
                <w:color w:val="C00000"/>
              </w:rPr>
              <w:t>*r_j*</w:t>
            </w:r>
          </w:p>
        </w:tc>
        <w:tc>
          <w:tcPr>
            <w:tcW w:type="dxa" w:w="4320"/>
          </w:tcPr>
          <w:p>
            <w:r/>
            <w:r>
              <w:rPr>
                <w:b w:val="0"/>
                <w:color w:val="C00000"/>
              </w:rPr>
              <w:t>Skill self-rating on 1–5 Likert scale</w:t>
            </w:r>
          </w:p>
        </w:tc>
      </w:tr>
      <w:tr>
        <w:tc>
          <w:tcPr>
            <w:tcW w:type="dxa" w:w="4320"/>
          </w:tcPr>
          <w:p>
            <w:r/>
            <w:r>
              <w:rPr>
                <w:b w:val="0"/>
                <w:color w:val="C00000"/>
              </w:rPr>
              <w:t>*T*</w:t>
            </w:r>
          </w:p>
        </w:tc>
        <w:tc>
          <w:tcPr>
            <w:tcW w:type="dxa" w:w="4320"/>
          </w:tcPr>
          <w:p>
            <w:r/>
            <w:r>
              <w:rPr>
                <w:b w:val="0"/>
                <w:color w:val="C00000"/>
              </w:rPr>
              <w:t>Number of boosting iterations</w:t>
            </w:r>
          </w:p>
        </w:tc>
      </w:tr>
      <w:tr>
        <w:tc>
          <w:tcPr>
            <w:tcW w:type="dxa" w:w="4320"/>
          </w:tcPr>
          <w:p>
            <w:r/>
            <w:r>
              <w:rPr>
                <w:b w:val="0"/>
                <w:color w:val="C00000"/>
              </w:rPr>
              <w:t>*K*</w:t>
            </w:r>
          </w:p>
        </w:tc>
        <w:tc>
          <w:tcPr>
            <w:tcW w:type="dxa" w:w="4320"/>
          </w:tcPr>
          <w:p>
            <w:r/>
            <w:r>
              <w:rPr>
                <w:b w:val="0"/>
                <w:color w:val="C00000"/>
              </w:rPr>
              <w:t>Top-*K* recommendations returned by Algorithm 1</w:t>
            </w:r>
          </w:p>
        </w:tc>
      </w:tr>
      <w:tr>
        <w:tc>
          <w:tcPr>
            <w:tcW w:type="dxa" w:w="4320"/>
          </w:tcPr>
          <w:p>
            <w:r/>
            <w:r>
              <w:rPr>
                <w:b w:val="0"/>
                <w:color w:val="C00000"/>
              </w:rPr>
              <w:t>TPE</w:t>
            </w:r>
          </w:p>
        </w:tc>
        <w:tc>
          <w:tcPr>
            <w:tcW w:type="dxa" w:w="4320"/>
          </w:tcPr>
          <w:p>
            <w:r/>
            <w:r>
              <w:rPr>
                <w:b w:val="0"/>
                <w:color w:val="C00000"/>
              </w:rPr>
              <w:t>Tree-structured Parzen Estimator (Optuna sampler)</w:t>
            </w:r>
          </w:p>
        </w:tc>
      </w:tr>
      <w:tr>
        <w:tc>
          <w:tcPr>
            <w:tcW w:type="dxa" w:w="4320"/>
          </w:tcPr>
          <w:p>
            <w:r/>
            <w:r>
              <w:rPr>
                <w:b w:val="0"/>
                <w:color w:val="C00000"/>
              </w:rPr>
              <w:t>ATT</w:t>
            </w:r>
          </w:p>
        </w:tc>
        <w:tc>
          <w:tcPr>
            <w:tcW w:type="dxa" w:w="4320"/>
          </w:tcPr>
          <w:p>
            <w:r/>
            <w:r>
              <w:rPr>
                <w:b w:val="0"/>
                <w:color w:val="C00000"/>
              </w:rPr>
              <w:t>Average Treatment Effect on the Treated (PSM, §5.5)</w:t>
            </w:r>
          </w:p>
        </w:tc>
      </w:tr>
      <w:tr>
        <w:tc>
          <w:tcPr>
            <w:tcW w:type="dxa" w:w="4320"/>
          </w:tcPr>
          <w:p>
            <w:r/>
            <w:r>
              <w:rPr>
                <w:b w:val="0"/>
                <w:color w:val="C00000"/>
              </w:rPr>
              <w:t>FNR</w:t>
            </w:r>
          </w:p>
        </w:tc>
        <w:tc>
          <w:tcPr>
            <w:tcW w:type="dxa" w:w="4320"/>
          </w:tcPr>
          <w:p>
            <w:r/>
            <w:r>
              <w:rPr>
                <w:b w:val="0"/>
                <w:color w:val="C00000"/>
              </w:rPr>
              <w:t>False-Negative Rate, used in §5.6 fairness audit</w:t>
            </w:r>
          </w:p>
        </w:tc>
      </w:tr>
    </w:tbl>
    <w:p>
      <w:r>
        <w:br w:type="page"/>
      </w:r>
    </w:p>
    <w:p>
      <w:pPr>
        <w:pStyle w:val="Heading1"/>
      </w:pPr>
      <w:r>
        <w:rPr>
          <w:color w:val="000000"/>
        </w:rPr>
        <w:t>04_section_3_4_feature_eng_clarification.md</w:t>
      </w:r>
    </w:p>
    <w:p>
      <w:pPr>
        <w:pStyle w:val="Heading1"/>
      </w:pPr>
      <w:r>
        <w:rPr>
          <w:color w:val="C00000"/>
        </w:rPr>
        <w:t>Patch 04 — §3.4 Feature Engineering clarification (R1.5, R2.4)</w:t>
      </w:r>
    </w:p>
    <w:p/>
    <w:p>
      <w:r>
        <w:rPr>
          <w:b/>
          <w:color w:val="C00000"/>
        </w:rPr>
        <w:t>Replace the existing first paragraph of §3.4 with the following.</w:t>
      </w:r>
    </w:p>
    <w:p/>
    <w:p>
      <w:r>
        <w:rPr>
          <w:b w:val="0"/>
          <w:color w:val="C00000"/>
        </w:rPr>
        <w:t xml:space="preserve">&gt; Five engineered features were designed based on educational domain knowledge to capture multi-dimensional student characteristics that no single raw survey response can represent. </w:t>
      </w:r>
      <w:r>
        <w:rPr>
          <w:b/>
          <w:color w:val="C00000"/>
        </w:rPr>
        <w:t>All five are constructed strictly from columns that are not part of any target definition, eliminating circularity between predictor and label.</w:t>
      </w:r>
      <w:r>
        <w:rPr>
          <w:b w:val="0"/>
          <w:color w:val="C00000"/>
        </w:rPr>
        <w:t xml:space="preserve"> Specifically:</w:t>
      </w:r>
    </w:p>
    <w:p>
      <w:r>
        <w:rPr>
          <w:b w:val="0"/>
          <w:color w:val="C00000"/>
        </w:rPr>
        <w:t>&gt;</w:t>
      </w:r>
    </w:p>
    <w:p>
      <w:r>
        <w:rPr>
          <w:b w:val="0"/>
          <w:color w:val="C00000"/>
        </w:rPr>
        <w:t>&gt; - `academic_index` aggregates *prior* academic record (`tenth_percentage`, `twelth_percentage`) only; `current_cgpa` is excluded because it defines both the CGPA-category and at-risk targets.</w:t>
      </w:r>
    </w:p>
    <w:p>
      <w:r>
        <w:rPr>
          <w:b w:val="0"/>
          <w:color w:val="C00000"/>
        </w:rPr>
        <w:t>&gt; - `engagement_score` aggregates `extracurricular_support`, `workshop_seminar_participation_yn`, and `community_service_yn`; `internship_completion` and `academic_projects_completed_yn` are excluded because they define the career-readiness target.</w:t>
      </w:r>
    </w:p>
    <w:p>
      <w:r>
        <w:rPr>
          <w:b w:val="0"/>
          <w:color w:val="C00000"/>
        </w:rPr>
        <w:t>&gt; - `skills_index`, `study_stress_interaction`, and `skills_study_interaction` are constructed from features that have no overlap with any target.</w:t>
      </w:r>
    </w:p>
    <w:p>
      <w:r>
        <w:rPr>
          <w:b w:val="0"/>
          <w:color w:val="C00000"/>
        </w:rPr>
        <w:t>&gt;</w:t>
      </w:r>
    </w:p>
    <w:p>
      <w:r>
        <w:rPr>
          <w:b w:val="0"/>
          <w:color w:val="C00000"/>
        </w:rPr>
        <w:t>&gt; An ablation confirming that this leakage discipline does not artificially inflate metrics is reported in §3.10 and Table 8.</w:t>
      </w:r>
    </w:p>
    <w:p>
      <w:r>
        <w:br w:type="page"/>
      </w:r>
    </w:p>
    <w:p>
      <w:pPr>
        <w:pStyle w:val="Heading1"/>
      </w:pPr>
      <w:r>
        <w:rPr>
          <w:color w:val="000000"/>
        </w:rPr>
        <w:t>05_section_3_9_recommendation_taxonomy.md</w:t>
      </w:r>
    </w:p>
    <w:p>
      <w:pPr>
        <w:pStyle w:val="Heading1"/>
      </w:pPr>
      <w:r>
        <w:rPr>
          <w:color w:val="C00000"/>
        </w:rPr>
        <w:t>Patch 05 — §3.9 Recommendation taxonomy numbers (R1.7)</w:t>
      </w:r>
    </w:p>
    <w:p/>
    <w:p>
      <w:r>
        <w:rPr>
          <w:b/>
          <w:color w:val="C00000"/>
        </w:rPr>
        <w:t>Replace the sentence beginning "Features are classified into three tiers …" with the following.</w:t>
      </w:r>
    </w:p>
    <w:p/>
    <w:p>
      <w:r>
        <w:rPr>
          <w:b w:val="0"/>
          <w:color w:val="C00000"/>
        </w:rPr>
        <w:t>&gt; Features are classified into three tiers (full enumeration in `src/config.py`):</w:t>
      </w:r>
    </w:p>
    <w:p>
      <w:r>
        <w:rPr>
          <w:b w:val="0"/>
          <w:color w:val="C00000"/>
        </w:rPr>
        <w:t xml:space="preserve">&gt; </w:t>
      </w:r>
      <w:r>
        <w:rPr>
          <w:b/>
          <w:color w:val="C00000"/>
        </w:rPr>
        <w:t>12 modifiable</w:t>
      </w:r>
      <w:r>
        <w:rPr>
          <w:b w:val="0"/>
          <w:color w:val="C00000"/>
        </w:rPr>
        <w:t xml:space="preserve"> features (e.g. study hours, workshop participation, stress coping),</w:t>
      </w:r>
    </w:p>
    <w:p>
      <w:r>
        <w:rPr>
          <w:b w:val="0"/>
          <w:color w:val="C00000"/>
        </w:rPr>
        <w:t xml:space="preserve">&gt; </w:t>
      </w:r>
      <w:r>
        <w:rPr>
          <w:b/>
          <w:color w:val="C00000"/>
        </w:rPr>
        <w:t>3 contextual</w:t>
      </w:r>
      <w:r>
        <w:rPr>
          <w:b w:val="0"/>
          <w:color w:val="C00000"/>
        </w:rPr>
        <w:t xml:space="preserve"> features (e.g. health status, internet access, stress frequency),</w:t>
      </w:r>
    </w:p>
    <w:p>
      <w:r>
        <w:rPr>
          <w:b w:val="0"/>
          <w:color w:val="C00000"/>
        </w:rPr>
        <w:t xml:space="preserve">&gt; </w:t>
      </w:r>
      <w:r>
        <w:rPr>
          <w:b/>
          <w:color w:val="C00000"/>
        </w:rPr>
        <w:t>22 immutable</w:t>
      </w:r>
      <w:r>
        <w:rPr>
          <w:b w:val="0"/>
          <w:color w:val="C00000"/>
        </w:rPr>
        <w:t xml:space="preserve"> features (e.g. gender, parental education, family income),</w:t>
      </w:r>
    </w:p>
    <w:p>
      <w:r>
        <w:rPr>
          <w:b w:val="0"/>
          <w:color w:val="C00000"/>
        </w:rPr>
        <w:t xml:space="preserve">&gt; plus </w:t>
      </w:r>
      <w:r>
        <w:rPr>
          <w:b/>
          <w:color w:val="C00000"/>
        </w:rPr>
        <w:t>5 engineered</w:t>
      </w:r>
      <w:r>
        <w:rPr>
          <w:b w:val="0"/>
          <w:color w:val="C00000"/>
        </w:rPr>
        <w:t xml:space="preserve"> composite indicators.</w:t>
      </w:r>
    </w:p>
    <w:p>
      <w:r>
        <w:rPr>
          <w:b w:val="0"/>
          <w:color w:val="C00000"/>
        </w:rPr>
        <w:t xml:space="preserve">&gt; Together with the </w:t>
      </w:r>
      <w:r>
        <w:rPr>
          <w:b/>
          <w:color w:val="C00000"/>
        </w:rPr>
        <w:t>7 target-derived columns</w:t>
      </w:r>
      <w:r>
        <w:rPr>
          <w:b w:val="0"/>
          <w:color w:val="C00000"/>
        </w:rPr>
        <w:t xml:space="preserve"> that are excluded from the predictor set to prevent leakage, every column of the original 52-column survey is accounted for. The exact tier-by-tier reconciliation against the live feature matrix appears in </w:t>
      </w:r>
      <w:r>
        <w:rPr>
          <w:b/>
          <w:color w:val="C00000"/>
        </w:rPr>
        <w:t>Appendix A, Table A5</w:t>
      </w:r>
      <w:r>
        <w:rPr>
          <w:b w:val="0"/>
          <w:color w:val="C00000"/>
        </w:rPr>
        <w:t>.</w:t>
      </w:r>
    </w:p>
    <w:p>
      <w:r>
        <w:br w:type="page"/>
      </w:r>
    </w:p>
    <w:p>
      <w:pPr>
        <w:pStyle w:val="Heading1"/>
      </w:pPr>
      <w:r>
        <w:rPr>
          <w:color w:val="000000"/>
        </w:rPr>
        <w:t>06_section_3_10_leakage_controls.md</w:t>
      </w:r>
    </w:p>
    <w:p>
      <w:pPr>
        <w:pStyle w:val="Heading1"/>
      </w:pPr>
      <w:r>
        <w:rPr>
          <w:color w:val="C00000"/>
        </w:rPr>
        <w:t>Patch 06 — New §3.10 Leakage Controls (R2.4)</w:t>
      </w:r>
    </w:p>
    <w:p/>
    <w:p>
      <w:r>
        <w:rPr>
          <w:b w:val="0"/>
          <w:color w:val="C00000"/>
        </w:rPr>
        <w:t>Insert as a new subsection §3.10, immediately before §4 Experimental Setup.</w:t>
      </w:r>
    </w:p>
    <w:p/>
    <w:p>
      <w:pPr>
        <w:pStyle w:val="Heading2"/>
      </w:pPr>
      <w:r>
        <w:rPr>
          <w:color w:val="C00000"/>
        </w:rPr>
        <w:t>3.10 Leakage Controls</w:t>
      </w:r>
    </w:p>
    <w:p/>
    <w:p>
      <w:r>
        <w:rPr>
          <w:b w:val="0"/>
          <w:color w:val="C00000"/>
        </w:rPr>
        <w:t>Because the at-risk and CGPA-category labels are deterministic functions of `current_cgpa` and `backlog_status`, and the career-readiness label is a deterministic function of `internship_completion` and `academic_projects_completed_yn`, retaining these raw columns as predictors would induce target leakage. We therefore apply the following discipline (codified in `src/config.py:TARGET_FEATURES` and enforced in `src/data/preprocessor.py:encode_features`):</w:t>
      </w:r>
    </w:p>
    <w:p/>
    <w:p>
      <w:r>
        <w:rPr>
          <w:b w:val="0"/>
          <w:color w:val="C00000"/>
        </w:rPr>
        <w:t xml:space="preserve">1. </w:t>
      </w:r>
      <w:r>
        <w:rPr>
          <w:b/>
          <w:color w:val="C00000"/>
        </w:rPr>
        <w:t>Target-defining raw columns are dropped from the predictor set</w:t>
      </w:r>
      <w:r>
        <w:rPr>
          <w:b w:val="0"/>
          <w:color w:val="C00000"/>
        </w:rPr>
        <w:t xml:space="preserve"> for *every* objective. The dropped set is `{ current_cgpa, backlog_status, internship_completion, academic_projects_completed_yn, internship_payment_status, placement_status, higher_education_interest_yn }`.</w:t>
      </w:r>
    </w:p>
    <w:p>
      <w:r>
        <w:rPr>
          <w:b w:val="0"/>
          <w:color w:val="C00000"/>
        </w:rPr>
        <w:t xml:space="preserve">2. </w:t>
      </w:r>
      <w:r>
        <w:rPr>
          <w:b/>
          <w:color w:val="C00000"/>
        </w:rPr>
        <w:t>Engineered features are constructed without target-defining inputs.</w:t>
      </w:r>
      <w:r>
        <w:rPr>
          <w:b w:val="0"/>
          <w:color w:val="C00000"/>
        </w:rPr>
        <w:t xml:space="preserve"> `academic_index` uses only `tenth_percentage` and `twelth_percentage`; `engagement_score` uses only `extracurricular_support`, `workshop_seminar_participation_yn`, and `community_service_yn`. The remaining engineered features (`skills_index`, `study_stress_interaction`, `skills_study_interaction`) have no overlap with any target.</w:t>
      </w:r>
    </w:p>
    <w:p>
      <w:r>
        <w:rPr>
          <w:b w:val="0"/>
          <w:color w:val="C00000"/>
        </w:rPr>
        <w:t xml:space="preserve">3. </w:t>
      </w:r>
      <w:r>
        <w:rPr>
          <w:b/>
          <w:color w:val="C00000"/>
        </w:rPr>
        <w:t>SMOTE is applied only inside training folds.</w:t>
      </w:r>
      <w:r>
        <w:rPr>
          <w:b w:val="0"/>
          <w:color w:val="C00000"/>
        </w:rPr>
        <w:t xml:space="preserve"> Validation and test folds never see synthetic minority samples, preventing the optimistic-bias mode reported in [24].</w:t>
      </w:r>
    </w:p>
    <w:p>
      <w:r>
        <w:rPr>
          <w:b w:val="0"/>
          <w:color w:val="C00000"/>
        </w:rPr>
        <w:t xml:space="preserve">4. </w:t>
      </w:r>
      <w:r>
        <w:rPr>
          <w:b/>
          <w:color w:val="C00000"/>
        </w:rPr>
        <w:t>An ablation isolates the contribution of prior academic record.</w:t>
      </w:r>
      <w:r>
        <w:rPr>
          <w:b w:val="0"/>
          <w:color w:val="C00000"/>
        </w:rPr>
        <w:t xml:space="preserve"> Table 8 reports F1-macro for each objective with and without `tenth_percentage`, `twelth_percentage`, and `academic_index`. The result confirms that the engineered `academic_index` carries genuine prior-academic signal rather than a residual echo of `current_cgpa`.</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color w:val="C00000"/>
              </w:rPr>
              <w:t>Objective</w:t>
            </w:r>
          </w:p>
        </w:tc>
        <w:tc>
          <w:tcPr>
            <w:tcW w:type="dxa" w:w="2160"/>
          </w:tcPr>
          <w:p>
            <w:r/>
            <w:r>
              <w:rPr>
                <w:b/>
                <w:color w:val="C00000"/>
              </w:rPr>
              <w:t>F1-macro (full features)</w:t>
            </w:r>
          </w:p>
        </w:tc>
        <w:tc>
          <w:tcPr>
            <w:tcW w:type="dxa" w:w="2160"/>
          </w:tcPr>
          <w:p>
            <w:r/>
            <w:r>
              <w:rPr>
                <w:b/>
                <w:color w:val="C00000"/>
              </w:rPr>
              <w:t>F1-macro (no prior academic)</w:t>
            </w:r>
          </w:p>
        </w:tc>
        <w:tc>
          <w:tcPr>
            <w:tcW w:type="dxa" w:w="2160"/>
          </w:tcPr>
          <w:p>
            <w:r/>
            <w:r>
              <w:rPr>
                <w:b/>
                <w:color w:val="C00000"/>
              </w:rPr>
              <w:t>Δ (impact of prior academic)</w:t>
            </w:r>
          </w:p>
        </w:tc>
      </w:tr>
      <w:tr>
        <w:tc>
          <w:tcPr>
            <w:tcW w:type="dxa" w:w="2160"/>
          </w:tcPr>
          <w:p>
            <w:r/>
            <w:r>
              <w:rPr>
                <w:b w:val="0"/>
                <w:color w:val="C00000"/>
              </w:rPr>
              <w:t>CGPA Category</w:t>
            </w:r>
          </w:p>
        </w:tc>
        <w:tc>
          <w:tcPr>
            <w:tcW w:type="dxa" w:w="2160"/>
          </w:tcPr>
          <w:p>
            <w:r/>
            <w:r>
              <w:rPr>
                <w:b w:val="0"/>
                <w:color w:val="C00000"/>
              </w:rPr>
              <w:t>0.451 ± 0.027</w:t>
            </w:r>
          </w:p>
        </w:tc>
        <w:tc>
          <w:tcPr>
            <w:tcW w:type="dxa" w:w="2160"/>
          </w:tcPr>
          <w:p>
            <w:r/>
            <w:r>
              <w:rPr>
                <w:b w:val="0"/>
                <w:color w:val="C00000"/>
              </w:rPr>
              <w:t>0.387 ± 0.019</w:t>
            </w:r>
          </w:p>
        </w:tc>
        <w:tc>
          <w:tcPr>
            <w:tcW w:type="dxa" w:w="2160"/>
          </w:tcPr>
          <w:p>
            <w:r/>
            <w:r>
              <w:rPr>
                <w:b w:val="0"/>
                <w:color w:val="C00000"/>
              </w:rPr>
              <w:t>0.063</w:t>
            </w:r>
          </w:p>
        </w:tc>
      </w:tr>
      <w:tr>
        <w:tc>
          <w:tcPr>
            <w:tcW w:type="dxa" w:w="2160"/>
          </w:tcPr>
          <w:p>
            <w:r/>
            <w:r>
              <w:rPr>
                <w:b w:val="0"/>
                <w:color w:val="C00000"/>
              </w:rPr>
              <w:t>At-Risk</w:t>
            </w:r>
          </w:p>
        </w:tc>
        <w:tc>
          <w:tcPr>
            <w:tcW w:type="dxa" w:w="2160"/>
          </w:tcPr>
          <w:p>
            <w:r/>
            <w:r>
              <w:rPr>
                <w:b w:val="0"/>
                <w:color w:val="C00000"/>
              </w:rPr>
              <w:t>0.639 ± 0.020</w:t>
            </w:r>
          </w:p>
        </w:tc>
        <w:tc>
          <w:tcPr>
            <w:tcW w:type="dxa" w:w="2160"/>
          </w:tcPr>
          <w:p>
            <w:r/>
            <w:r>
              <w:rPr>
                <w:b w:val="0"/>
                <w:color w:val="C00000"/>
              </w:rPr>
              <w:t>0.540 ± 0.034</w:t>
            </w:r>
          </w:p>
        </w:tc>
        <w:tc>
          <w:tcPr>
            <w:tcW w:type="dxa" w:w="2160"/>
          </w:tcPr>
          <w:p>
            <w:r/>
            <w:r>
              <w:rPr>
                <w:b w:val="0"/>
                <w:color w:val="C00000"/>
              </w:rPr>
              <w:t>0.099</w:t>
            </w:r>
          </w:p>
        </w:tc>
      </w:tr>
      <w:tr>
        <w:tc>
          <w:tcPr>
            <w:tcW w:type="dxa" w:w="2160"/>
          </w:tcPr>
          <w:p>
            <w:r/>
            <w:r>
              <w:rPr>
                <w:b w:val="0"/>
                <w:color w:val="C00000"/>
              </w:rPr>
              <w:t>Career Ready</w:t>
            </w:r>
          </w:p>
        </w:tc>
        <w:tc>
          <w:tcPr>
            <w:tcW w:type="dxa" w:w="2160"/>
          </w:tcPr>
          <w:p>
            <w:r/>
            <w:r>
              <w:rPr>
                <w:b w:val="0"/>
                <w:color w:val="C00000"/>
              </w:rPr>
              <w:t>0.695 ± 0.021</w:t>
            </w:r>
          </w:p>
        </w:tc>
        <w:tc>
          <w:tcPr>
            <w:tcW w:type="dxa" w:w="2160"/>
          </w:tcPr>
          <w:p>
            <w:r/>
            <w:r>
              <w:rPr>
                <w:b w:val="0"/>
                <w:color w:val="C00000"/>
              </w:rPr>
              <w:t>0.588 ± 0.017</w:t>
            </w:r>
          </w:p>
        </w:tc>
        <w:tc>
          <w:tcPr>
            <w:tcW w:type="dxa" w:w="2160"/>
          </w:tcPr>
          <w:p>
            <w:r/>
            <w:r>
              <w:rPr>
                <w:b w:val="0"/>
                <w:color w:val="C00000"/>
              </w:rPr>
              <w:t>0.107</w:t>
            </w:r>
          </w:p>
        </w:tc>
      </w:tr>
    </w:tbl>
    <w:p>
      <w:r>
        <w:rPr>
          <w:b w:val="0"/>
          <w:color w:val="C00000"/>
        </w:rPr>
        <w:t>The decline observed in the "no prior academic" column is the *legitimate* contribution of historical academic record — not circular leakage from the label.</w:t>
      </w:r>
    </w:p>
    <w:p>
      <w:r>
        <w:br w:type="page"/>
      </w:r>
    </w:p>
    <w:p>
      <w:pPr>
        <w:pStyle w:val="Heading1"/>
      </w:pPr>
      <w:r>
        <w:rPr>
          <w:color w:val="000000"/>
        </w:rPr>
        <w:t>07_section_4_3_dl_config.md</w:t>
      </w:r>
    </w:p>
    <w:p>
      <w:pPr>
        <w:pStyle w:val="Heading1"/>
      </w:pPr>
      <w:r>
        <w:rPr>
          <w:color w:val="C00000"/>
        </w:rPr>
        <w:t>Patch 07 — New §4.3 Deep-Learning Training Configuration (R2.6)</w:t>
      </w:r>
    </w:p>
    <w:p/>
    <w:p>
      <w:r>
        <w:rPr>
          <w:b w:val="0"/>
          <w:color w:val="C00000"/>
        </w:rPr>
        <w:t>Insert as §4.3 (renumber subsequent subsections accordingly).</w:t>
      </w:r>
    </w:p>
    <w:p/>
    <w:p>
      <w:pPr>
        <w:pStyle w:val="Heading2"/>
      </w:pPr>
      <w:r>
        <w:rPr>
          <w:color w:val="C00000"/>
        </w:rPr>
        <w:t>4.3 Deep-Learning Training Configuration</w:t>
      </w:r>
    </w:p>
    <w:p/>
    <w:p>
      <w:r>
        <w:rPr>
          <w:b w:val="0"/>
          <w:color w:val="C00000"/>
        </w:rPr>
        <w:t>To allow direct comparison with the ML baselines, all three deep-learning architectures share the same input matrix, the same Optuna search budget (50 trials, inner 3-fold CV via the TPE sampler), and the same outer 5-fold stratified CV with SMOTE applied only on training folds. Architecture-specific settings are listed in Table 4a.</w:t>
      </w:r>
    </w:p>
    <w:p/>
    <w:p>
      <w:r>
        <w:rPr>
          <w:b/>
          <w:color w:val="C00000"/>
        </w:rPr>
        <w:t>Table 4a. Deep-learning training configuration.</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color w:val="C00000"/>
              </w:rPr>
              <w:t>Setting</w:t>
            </w:r>
          </w:p>
        </w:tc>
        <w:tc>
          <w:tcPr>
            <w:tcW w:type="dxa" w:w="2160"/>
          </w:tcPr>
          <w:p>
            <w:r/>
            <w:r>
              <w:rPr>
                <w:b/>
                <w:color w:val="C00000"/>
              </w:rPr>
              <w:t>TabNet</w:t>
            </w:r>
          </w:p>
        </w:tc>
        <w:tc>
          <w:tcPr>
            <w:tcW w:type="dxa" w:w="2160"/>
          </w:tcPr>
          <w:p>
            <w:r/>
            <w:r>
              <w:rPr>
                <w:b/>
                <w:color w:val="C00000"/>
              </w:rPr>
              <w:t>FT-Transformer</w:t>
            </w:r>
          </w:p>
        </w:tc>
        <w:tc>
          <w:tcPr>
            <w:tcW w:type="dxa" w:w="2160"/>
          </w:tcPr>
          <w:p>
            <w:r/>
            <w:r>
              <w:rPr>
                <w:b/>
                <w:color w:val="C00000"/>
              </w:rPr>
              <w:t>SAINT</w:t>
            </w:r>
          </w:p>
        </w:tc>
      </w:tr>
      <w:tr>
        <w:tc>
          <w:tcPr>
            <w:tcW w:type="dxa" w:w="2160"/>
          </w:tcPr>
          <w:p>
            <w:r/>
            <w:r>
              <w:rPr>
                <w:b w:val="0"/>
                <w:color w:val="C00000"/>
              </w:rPr>
              <w:t>Optimiser</w:t>
            </w:r>
          </w:p>
        </w:tc>
        <w:tc>
          <w:tcPr>
            <w:tcW w:type="dxa" w:w="2160"/>
          </w:tcPr>
          <w:p>
            <w:r/>
            <w:r>
              <w:rPr>
                <w:b w:val="0"/>
                <w:color w:val="C00000"/>
              </w:rPr>
              <w:t>Adam</w:t>
            </w:r>
          </w:p>
        </w:tc>
        <w:tc>
          <w:tcPr>
            <w:tcW w:type="dxa" w:w="2160"/>
          </w:tcPr>
          <w:p>
            <w:r/>
            <w:r>
              <w:rPr>
                <w:b w:val="0"/>
                <w:color w:val="C00000"/>
              </w:rPr>
              <w:t>AdamW</w:t>
            </w:r>
          </w:p>
        </w:tc>
        <w:tc>
          <w:tcPr>
            <w:tcW w:type="dxa" w:w="2160"/>
          </w:tcPr>
          <w:p>
            <w:r/>
            <w:r>
              <w:rPr>
                <w:b w:val="0"/>
                <w:color w:val="C00000"/>
              </w:rPr>
              <w:t>AdamW</w:t>
            </w:r>
          </w:p>
        </w:tc>
      </w:tr>
      <w:tr>
        <w:tc>
          <w:tcPr>
            <w:tcW w:type="dxa" w:w="2160"/>
          </w:tcPr>
          <w:p>
            <w:r/>
            <w:r>
              <w:rPr>
                <w:b w:val="0"/>
                <w:color w:val="C00000"/>
              </w:rPr>
              <w:t>Initial learning rate</w:t>
            </w:r>
          </w:p>
        </w:tc>
        <w:tc>
          <w:tcPr>
            <w:tcW w:type="dxa" w:w="2160"/>
          </w:tcPr>
          <w:p>
            <w:r/>
            <w:r>
              <w:rPr>
                <w:b w:val="0"/>
                <w:color w:val="C00000"/>
              </w:rPr>
              <w:t>2e-2</w:t>
            </w:r>
          </w:p>
        </w:tc>
        <w:tc>
          <w:tcPr>
            <w:tcW w:type="dxa" w:w="2160"/>
          </w:tcPr>
          <w:p>
            <w:r/>
            <w:r>
              <w:rPr>
                <w:b w:val="0"/>
                <w:color w:val="C00000"/>
              </w:rPr>
              <w:t>1e-3</w:t>
            </w:r>
          </w:p>
        </w:tc>
        <w:tc>
          <w:tcPr>
            <w:tcW w:type="dxa" w:w="2160"/>
          </w:tcPr>
          <w:p>
            <w:r/>
            <w:r>
              <w:rPr>
                <w:b w:val="0"/>
                <w:color w:val="C00000"/>
              </w:rPr>
              <w:t>1e-3</w:t>
            </w:r>
          </w:p>
        </w:tc>
      </w:tr>
      <w:tr>
        <w:tc>
          <w:tcPr>
            <w:tcW w:type="dxa" w:w="2160"/>
          </w:tcPr>
          <w:p>
            <w:r/>
            <w:r>
              <w:rPr>
                <w:b w:val="0"/>
                <w:color w:val="C00000"/>
              </w:rPr>
              <w:t>LR scheduler</w:t>
            </w:r>
          </w:p>
        </w:tc>
        <w:tc>
          <w:tcPr>
            <w:tcW w:type="dxa" w:w="2160"/>
          </w:tcPr>
          <w:p>
            <w:r/>
            <w:r>
              <w:rPr>
                <w:b w:val="0"/>
                <w:color w:val="C00000"/>
              </w:rPr>
              <w:t>StepLR (γ=0.9, step=50)</w:t>
            </w:r>
          </w:p>
        </w:tc>
        <w:tc>
          <w:tcPr>
            <w:tcW w:type="dxa" w:w="2160"/>
          </w:tcPr>
          <w:p>
            <w:r/>
            <w:r>
              <w:rPr>
                <w:b w:val="0"/>
                <w:color w:val="C00000"/>
              </w:rPr>
              <w:t>Cosine</w:t>
            </w:r>
          </w:p>
        </w:tc>
        <w:tc>
          <w:tcPr>
            <w:tcW w:type="dxa" w:w="2160"/>
          </w:tcPr>
          <w:p>
            <w:r/>
            <w:r>
              <w:rPr>
                <w:b w:val="0"/>
                <w:color w:val="C00000"/>
              </w:rPr>
              <w:t>Cosine</w:t>
            </w:r>
          </w:p>
        </w:tc>
      </w:tr>
      <w:tr>
        <w:tc>
          <w:tcPr>
            <w:tcW w:type="dxa" w:w="2160"/>
          </w:tcPr>
          <w:p>
            <w:r/>
            <w:r>
              <w:rPr>
                <w:b w:val="0"/>
                <w:color w:val="C00000"/>
              </w:rPr>
              <w:t>Batch size</w:t>
            </w:r>
          </w:p>
        </w:tc>
        <w:tc>
          <w:tcPr>
            <w:tcW w:type="dxa" w:w="2160"/>
          </w:tcPr>
          <w:p>
            <w:r/>
            <w:r>
              <w:rPr>
                <w:b w:val="0"/>
                <w:color w:val="C00000"/>
              </w:rPr>
              <w:t>128</w:t>
            </w:r>
          </w:p>
        </w:tc>
        <w:tc>
          <w:tcPr>
            <w:tcW w:type="dxa" w:w="2160"/>
          </w:tcPr>
          <w:p>
            <w:r/>
            <w:r>
              <w:rPr>
                <w:b w:val="0"/>
                <w:color w:val="C00000"/>
              </w:rPr>
              <w:t>128</w:t>
            </w:r>
          </w:p>
        </w:tc>
        <w:tc>
          <w:tcPr>
            <w:tcW w:type="dxa" w:w="2160"/>
          </w:tcPr>
          <w:p>
            <w:r/>
            <w:r>
              <w:rPr>
                <w:b w:val="0"/>
                <w:color w:val="C00000"/>
              </w:rPr>
              <w:t>128</w:t>
            </w:r>
          </w:p>
        </w:tc>
      </w:tr>
      <w:tr>
        <w:tc>
          <w:tcPr>
            <w:tcW w:type="dxa" w:w="2160"/>
          </w:tcPr>
          <w:p>
            <w:r/>
            <w:r>
              <w:rPr>
                <w:b w:val="0"/>
                <w:color w:val="C00000"/>
              </w:rPr>
              <w:t>Maximum epochs</w:t>
            </w:r>
          </w:p>
        </w:tc>
        <w:tc>
          <w:tcPr>
            <w:tcW w:type="dxa" w:w="2160"/>
          </w:tcPr>
          <w:p>
            <w:r/>
            <w:r>
              <w:rPr>
                <w:b w:val="0"/>
                <w:color w:val="C00000"/>
              </w:rPr>
              <w:t>300</w:t>
            </w:r>
          </w:p>
        </w:tc>
        <w:tc>
          <w:tcPr>
            <w:tcW w:type="dxa" w:w="2160"/>
          </w:tcPr>
          <w:p>
            <w:r/>
            <w:r>
              <w:rPr>
                <w:b w:val="0"/>
                <w:color w:val="C00000"/>
              </w:rPr>
              <w:t>200</w:t>
            </w:r>
          </w:p>
        </w:tc>
        <w:tc>
          <w:tcPr>
            <w:tcW w:type="dxa" w:w="2160"/>
          </w:tcPr>
          <w:p>
            <w:r/>
            <w:r>
              <w:rPr>
                <w:b w:val="0"/>
                <w:color w:val="C00000"/>
              </w:rPr>
              <w:t>200</w:t>
            </w:r>
          </w:p>
        </w:tc>
      </w:tr>
      <w:tr>
        <w:tc>
          <w:tcPr>
            <w:tcW w:type="dxa" w:w="2160"/>
          </w:tcPr>
          <w:p>
            <w:r/>
            <w:r>
              <w:rPr>
                <w:b w:val="0"/>
                <w:color w:val="C00000"/>
              </w:rPr>
              <w:t>Early-stopping patience</w:t>
            </w:r>
          </w:p>
        </w:tc>
        <w:tc>
          <w:tcPr>
            <w:tcW w:type="dxa" w:w="2160"/>
          </w:tcPr>
          <w:p>
            <w:r/>
            <w:r>
              <w:rPr>
                <w:b w:val="0"/>
                <w:color w:val="C00000"/>
              </w:rPr>
              <w:t>20</w:t>
            </w:r>
          </w:p>
        </w:tc>
        <w:tc>
          <w:tcPr>
            <w:tcW w:type="dxa" w:w="2160"/>
          </w:tcPr>
          <w:p>
            <w:r/>
            <w:r>
              <w:rPr>
                <w:b w:val="0"/>
                <w:color w:val="C00000"/>
              </w:rPr>
              <w:t>20</w:t>
            </w:r>
          </w:p>
        </w:tc>
        <w:tc>
          <w:tcPr>
            <w:tcW w:type="dxa" w:w="2160"/>
          </w:tcPr>
          <w:p>
            <w:r/>
            <w:r>
              <w:rPr>
                <w:b w:val="0"/>
                <w:color w:val="C00000"/>
              </w:rPr>
              <w:t>20</w:t>
            </w:r>
          </w:p>
        </w:tc>
      </w:tr>
      <w:tr>
        <w:tc>
          <w:tcPr>
            <w:tcW w:type="dxa" w:w="2160"/>
          </w:tcPr>
          <w:p>
            <w:r/>
            <w:r>
              <w:rPr>
                <w:b w:val="0"/>
                <w:color w:val="C00000"/>
              </w:rPr>
              <w:t>In-fold validation split</w:t>
            </w:r>
          </w:p>
        </w:tc>
        <w:tc>
          <w:tcPr>
            <w:tcW w:type="dxa" w:w="2160"/>
          </w:tcPr>
          <w:p>
            <w:r/>
            <w:r>
              <w:rPr>
                <w:b w:val="0"/>
                <w:color w:val="C00000"/>
              </w:rPr>
              <w:t>15 %</w:t>
            </w:r>
          </w:p>
        </w:tc>
        <w:tc>
          <w:tcPr>
            <w:tcW w:type="dxa" w:w="2160"/>
          </w:tcPr>
          <w:p>
            <w:r/>
            <w:r>
              <w:rPr>
                <w:b w:val="0"/>
                <w:color w:val="C00000"/>
              </w:rPr>
              <w:t>15 %</w:t>
            </w:r>
          </w:p>
        </w:tc>
        <w:tc>
          <w:tcPr>
            <w:tcW w:type="dxa" w:w="2160"/>
          </w:tcPr>
          <w:p>
            <w:r/>
            <w:r>
              <w:rPr>
                <w:b w:val="0"/>
                <w:color w:val="C00000"/>
              </w:rPr>
              <w:t>15 %</w:t>
            </w:r>
          </w:p>
        </w:tc>
      </w:tr>
      <w:tr>
        <w:tc>
          <w:tcPr>
            <w:tcW w:type="dxa" w:w="2160"/>
          </w:tcPr>
          <w:p>
            <w:r/>
            <w:r>
              <w:rPr>
                <w:b w:val="0"/>
                <w:color w:val="C00000"/>
              </w:rPr>
              <w:t>Categorical encoding</w:t>
            </w:r>
          </w:p>
        </w:tc>
        <w:tc>
          <w:tcPr>
            <w:tcW w:type="dxa" w:w="2160"/>
          </w:tcPr>
          <w:p>
            <w:r/>
            <w:r>
              <w:rPr>
                <w:b w:val="0"/>
                <w:color w:val="C00000"/>
              </w:rPr>
              <w:t>sparsemax mask</w:t>
            </w:r>
          </w:p>
        </w:tc>
        <w:tc>
          <w:tcPr>
            <w:tcW w:type="dxa" w:w="2160"/>
          </w:tcPr>
          <w:p>
            <w:r/>
            <w:r>
              <w:rPr>
                <w:b w:val="0"/>
                <w:color w:val="C00000"/>
              </w:rPr>
              <w:t>learned token</w:t>
            </w:r>
          </w:p>
        </w:tc>
        <w:tc>
          <w:tcPr>
            <w:tcW w:type="dxa" w:w="2160"/>
          </w:tcPr>
          <w:p>
            <w:r/>
            <w:r>
              <w:rPr>
                <w:b w:val="0"/>
                <w:color w:val="C00000"/>
              </w:rPr>
              <w:t>learned token</w:t>
            </w:r>
          </w:p>
        </w:tc>
      </w:tr>
      <w:tr>
        <w:tc>
          <w:tcPr>
            <w:tcW w:type="dxa" w:w="2160"/>
          </w:tcPr>
          <w:p>
            <w:r/>
            <w:r>
              <w:rPr>
                <w:b w:val="0"/>
                <w:color w:val="C00000"/>
              </w:rPr>
              <w:t>Architectural hyperparameters</w:t>
            </w:r>
          </w:p>
        </w:tc>
        <w:tc>
          <w:tcPr>
            <w:tcW w:type="dxa" w:w="2160"/>
          </w:tcPr>
          <w:p>
            <w:r/>
            <w:r>
              <w:rPr>
                <w:b w:val="0"/>
                <w:color w:val="C00000"/>
              </w:rPr>
              <w:t>n_d = n_a = 8, n_steps = 3, λ_sparse = 1e-3, γ = 1.3, momentum 0.02, gradient clip 1.0</w:t>
            </w:r>
          </w:p>
        </w:tc>
        <w:tc>
          <w:tcPr>
            <w:tcW w:type="dxa" w:w="2160"/>
          </w:tcPr>
          <w:p>
            <w:r/>
            <w:r>
              <w:rPr>
                <w:b w:val="0"/>
                <w:color w:val="C00000"/>
              </w:rPr>
              <w:t>d_token = 64, n_blocks = 2, attention dropout 0.2, FFN dropout 0.1</w:t>
            </w:r>
          </w:p>
        </w:tc>
        <w:tc>
          <w:tcPr>
            <w:tcW w:type="dxa" w:w="2160"/>
          </w:tcPr>
          <w:p>
            <w:r/>
            <w:r>
              <w:rPr>
                <w:b w:val="0"/>
                <w:color w:val="C00000"/>
              </w:rPr>
              <w:t>dim = 32, depth = 3, heads = 4, attention dropout 0.1, FFN dropout 0.1</w:t>
            </w:r>
          </w:p>
        </w:tc>
      </w:tr>
      <w:tr>
        <w:tc>
          <w:tcPr>
            <w:tcW w:type="dxa" w:w="2160"/>
          </w:tcPr>
          <w:p>
            <w:r/>
            <w:r>
              <w:rPr>
                <w:b w:val="0"/>
                <w:color w:val="C00000"/>
              </w:rPr>
              <w:t>Optuna trials (inner 3-fold)</w:t>
            </w:r>
          </w:p>
        </w:tc>
        <w:tc>
          <w:tcPr>
            <w:tcW w:type="dxa" w:w="2160"/>
          </w:tcPr>
          <w:p>
            <w:r/>
            <w:r>
              <w:rPr>
                <w:b w:val="0"/>
                <w:color w:val="C00000"/>
              </w:rPr>
              <w:t>50</w:t>
            </w:r>
          </w:p>
        </w:tc>
        <w:tc>
          <w:tcPr>
            <w:tcW w:type="dxa" w:w="2160"/>
          </w:tcPr>
          <w:p>
            <w:r/>
            <w:r>
              <w:rPr>
                <w:b w:val="0"/>
                <w:color w:val="C00000"/>
              </w:rPr>
              <w:t>50</w:t>
            </w:r>
          </w:p>
        </w:tc>
        <w:tc>
          <w:tcPr>
            <w:tcW w:type="dxa" w:w="2160"/>
          </w:tcPr>
          <w:p>
            <w:r/>
            <w:r>
              <w:rPr>
                <w:b w:val="0"/>
                <w:color w:val="C00000"/>
              </w:rPr>
              <w:t>50</w:t>
            </w:r>
          </w:p>
        </w:tc>
      </w:tr>
      <w:tr>
        <w:tc>
          <w:tcPr>
            <w:tcW w:type="dxa" w:w="2160"/>
          </w:tcPr>
          <w:p>
            <w:r/>
            <w:r>
              <w:rPr>
                <w:b w:val="0"/>
                <w:color w:val="C00000"/>
              </w:rPr>
              <w:t>Tuned ranges</w:t>
            </w:r>
          </w:p>
        </w:tc>
        <w:tc>
          <w:tcPr>
            <w:tcW w:type="dxa" w:w="2160"/>
          </w:tcPr>
          <w:p>
            <w:r/>
            <w:r>
              <w:rPr>
                <w:b w:val="0"/>
                <w:color w:val="C00000"/>
              </w:rPr>
              <w:t>per `OPTUNA_SEARCH_SPACES["TabNet"]`</w:t>
            </w:r>
          </w:p>
        </w:tc>
        <w:tc>
          <w:tcPr>
            <w:tcW w:type="dxa" w:w="2160"/>
          </w:tcPr>
          <w:p>
            <w:r/>
            <w:r>
              <w:rPr>
                <w:b w:val="0"/>
                <w:color w:val="C00000"/>
              </w:rPr>
              <w:t>per `OPTUNA_SEARCH_SPACES["FTTransformer"]`</w:t>
            </w:r>
          </w:p>
        </w:tc>
        <w:tc>
          <w:tcPr>
            <w:tcW w:type="dxa" w:w="2160"/>
          </w:tcPr>
          <w:p>
            <w:r/>
            <w:r>
              <w:rPr>
                <w:b w:val="0"/>
                <w:color w:val="C00000"/>
              </w:rPr>
              <w:t>per `OPTUNA_SEARCH_SPACES["SAINT"]`</w:t>
            </w:r>
          </w:p>
        </w:tc>
      </w:tr>
      <w:tr>
        <w:tc>
          <w:tcPr>
            <w:tcW w:type="dxa" w:w="2160"/>
          </w:tcPr>
          <w:p>
            <w:r/>
            <w:r>
              <w:rPr>
                <w:b w:val="0"/>
                <w:color w:val="C00000"/>
              </w:rPr>
              <w:t>Random seeds</w:t>
            </w:r>
          </w:p>
        </w:tc>
        <w:tc>
          <w:tcPr>
            <w:tcW w:type="dxa" w:w="2160"/>
          </w:tcPr>
          <w:p>
            <w:r/>
            <w:r>
              <w:rPr>
                <w:b w:val="0"/>
                <w:color w:val="C00000"/>
              </w:rPr>
              <w:t>NumPy 42, PyTorch 42</w:t>
            </w:r>
          </w:p>
        </w:tc>
        <w:tc>
          <w:tcPr>
            <w:tcW w:type="dxa" w:w="2160"/>
          </w:tcPr>
          <w:p>
            <w:r/>
            <w:r>
              <w:rPr>
                <w:b w:val="0"/>
                <w:color w:val="C00000"/>
              </w:rPr>
              <w:t>42, 42</w:t>
            </w:r>
          </w:p>
        </w:tc>
        <w:tc>
          <w:tcPr>
            <w:tcW w:type="dxa" w:w="2160"/>
          </w:tcPr>
          <w:p>
            <w:r/>
            <w:r>
              <w:rPr>
                <w:b w:val="0"/>
                <w:color w:val="C00000"/>
              </w:rPr>
              <w:t>42, 42</w:t>
            </w:r>
          </w:p>
        </w:tc>
      </w:tr>
    </w:tbl>
    <w:p/>
    <w:p>
      <w:r>
        <w:rPr>
          <w:b w:val="0"/>
          <w:color w:val="C00000"/>
        </w:rPr>
        <w:t xml:space="preserve">The Optuna budget for each DL architecture is identical to that for XGBoost (50 trials × 3 inner folds = 150 inner-CV evaluations), so the gap between XGBoost and the best DL model on this dataset cannot be attributed to under-tuning of the DL architectures. The persistence of that gap (Table 4) is consistent with recent results showing that gradient-boosted trees remain dominant on small tabular data when the ratio of unique feature interactions to sample count is low [20], [21]. We therefore frame the DL underperformance as </w:t>
      </w:r>
      <w:r>
        <w:rPr>
          <w:b/>
          <w:color w:val="C00000"/>
        </w:rPr>
        <w:t>regime-specific</w:t>
      </w:r>
      <w:r>
        <w:rPr>
          <w:b w:val="0"/>
          <w:color w:val="C00000"/>
        </w:rPr>
        <w:t xml:space="preserve"> to small-N educational survey data, not as a categorical claim about tabular DL.</w:t>
      </w:r>
    </w:p>
    <w:p>
      <w:r>
        <w:br w:type="page"/>
      </w:r>
    </w:p>
    <w:p>
      <w:pPr>
        <w:pStyle w:val="Heading1"/>
      </w:pPr>
      <w:r>
        <w:rPr>
          <w:color w:val="000000"/>
        </w:rPr>
        <w:t>08_section_5_4_sota_comparison.md</w:t>
      </w:r>
    </w:p>
    <w:p>
      <w:pPr>
        <w:pStyle w:val="Heading1"/>
      </w:pPr>
      <w:r>
        <w:rPr>
          <w:color w:val="C00000"/>
        </w:rPr>
        <w:t>Patch 08 — New §5.4 Comparison with 2024–2025 SOTA (R1.4, R2.1)</w:t>
      </w:r>
    </w:p>
    <w:p/>
    <w:p>
      <w:r>
        <w:rPr>
          <w:b w:val="0"/>
          <w:color w:val="C00000"/>
        </w:rPr>
        <w:t>Insert as §5.4 (renumber subsequent subsections).</w:t>
      </w:r>
    </w:p>
    <w:p/>
    <w:p>
      <w:pPr>
        <w:pStyle w:val="Heading2"/>
      </w:pPr>
      <w:r>
        <w:rPr>
          <w:color w:val="C00000"/>
        </w:rPr>
        <w:t>5.4 Comparison with Recent State-of-the-Art XAI-EDM Methods</w:t>
      </w:r>
    </w:p>
    <w:p/>
    <w:p>
      <w:r>
        <w:rPr>
          <w:b w:val="0"/>
          <w:color w:val="C00000"/>
        </w:rPr>
        <w:t xml:space="preserve">Reviewers correctly noted that Table 1 lists recent 2024–2025 SHAP-based methods but the experimental section evaluates only generic baselines and tabular architectures. To put our claims on a common footing, we re-implemented three representative recent recipes and ran them on </w:t>
      </w:r>
      <w:r>
        <w:rPr>
          <w:b/>
          <w:color w:val="C00000"/>
        </w:rPr>
        <w:t>our</w:t>
      </w:r>
      <w:r>
        <w:rPr>
          <w:b w:val="0"/>
          <w:color w:val="C00000"/>
        </w:rPr>
        <w:t xml:space="preserve"> dataset under our </w:t>
      </w:r>
      <w:r>
        <w:rPr>
          <w:b/>
          <w:color w:val="C00000"/>
        </w:rPr>
        <w:t>identical</w:t>
      </w:r>
      <w:r>
        <w:rPr>
          <w:b w:val="0"/>
          <w:color w:val="C00000"/>
        </w:rPr>
        <w:t xml:space="preserve"> 5-fold stratified CV protocol (SMOTE on training folds only, seed 42). All implementations are released as part of the replication package (`recent-review-comments/revision/code/sota_baselines.py`).</w:t>
      </w:r>
    </w:p>
    <w:p/>
    <w:p>
      <w:r>
        <w:rPr>
          <w:b/>
          <w:color w:val="C00000"/>
        </w:rPr>
        <w:t>Recipes evaluated.</w:t>
      </w:r>
    </w:p>
    <w:p/>
    <w:p>
      <w:r>
        <w:rPr>
          <w:b w:val="0"/>
          <w:color w:val="C00000"/>
        </w:rPr>
        <w:t xml:space="preserve">* </w:t>
      </w:r>
      <w:r>
        <w:rPr>
          <w:b/>
          <w:color w:val="C00000"/>
        </w:rPr>
        <w:t>Abukader et al. 2025 [16]</w:t>
      </w:r>
      <w:r>
        <w:rPr>
          <w:b w:val="0"/>
          <w:color w:val="C00000"/>
        </w:rPr>
        <w:t xml:space="preserve"> — metaheuristic-tuned LightGBM with class-balanced loss and SHAP explanation.</w:t>
      </w:r>
    </w:p>
    <w:p>
      <w:r>
        <w:rPr>
          <w:b w:val="0"/>
          <w:color w:val="C00000"/>
        </w:rPr>
        <w:t xml:space="preserve">* </w:t>
      </w:r>
      <w:r>
        <w:rPr>
          <w:b/>
          <w:color w:val="C00000"/>
        </w:rPr>
        <w:t>Liu et al. 2025 [15]</w:t>
      </w:r>
      <w:r>
        <w:rPr>
          <w:b w:val="0"/>
          <w:color w:val="C00000"/>
        </w:rPr>
        <w:t xml:space="preserve"> — stacking ensemble (Random Forest + Gradient Boosting + XGBoost base learners; logistic-regression meta-learner) with SHAP.</w:t>
      </w:r>
    </w:p>
    <w:p>
      <w:r>
        <w:rPr>
          <w:b w:val="0"/>
          <w:color w:val="C00000"/>
        </w:rPr>
        <w:t xml:space="preserve">* </w:t>
      </w:r>
      <w:r>
        <w:rPr>
          <w:b/>
          <w:color w:val="C00000"/>
        </w:rPr>
        <w:t>Kalita et al. 2025 [13]</w:t>
      </w:r>
      <w:r>
        <w:rPr>
          <w:b w:val="0"/>
          <w:color w:val="C00000"/>
        </w:rPr>
        <w:t xml:space="preserve"> — bidirectional LSTM treating the feature vector as a length-*d* sequence (the adaptation Kalita et al. apply to cross-sectional inputs), with SHAP via KernelExplainer.</w:t>
      </w:r>
    </w:p>
    <w:p/>
    <w:p>
      <w:r>
        <w:rPr>
          <w:b/>
          <w:color w:val="C00000"/>
        </w:rPr>
        <w:t>Table 7. SOTA comparison on our dataset (F1-macro, 5-fold stratified CV).</w:t>
      </w:r>
      <w:r>
        <w:rPr>
          <w:b w:val="0"/>
          <w:color w:val="C00000"/>
        </w:rPr>
        <w:t xml:space="preserve"> Numbers are populated from `revision/output/tables/sota_comparison.csv`.</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color w:val="C00000"/>
              </w:rPr>
              <w:t>Method</w:t>
            </w:r>
          </w:p>
        </w:tc>
        <w:tc>
          <w:tcPr>
            <w:tcW w:type="dxa" w:w="2160"/>
          </w:tcPr>
          <w:p>
            <w:r/>
            <w:r>
              <w:rPr>
                <w:b/>
                <w:color w:val="C00000"/>
              </w:rPr>
              <w:t>CGPA F1-macro</w:t>
            </w:r>
          </w:p>
        </w:tc>
        <w:tc>
          <w:tcPr>
            <w:tcW w:type="dxa" w:w="2160"/>
          </w:tcPr>
          <w:p>
            <w:r/>
            <w:r>
              <w:rPr>
                <w:b/>
                <w:color w:val="C00000"/>
              </w:rPr>
              <w:t>At-Risk F1-macro</w:t>
            </w:r>
          </w:p>
        </w:tc>
        <w:tc>
          <w:tcPr>
            <w:tcW w:type="dxa" w:w="2160"/>
          </w:tcPr>
          <w:p>
            <w:r/>
            <w:r>
              <w:rPr>
                <w:b/>
                <w:color w:val="C00000"/>
              </w:rPr>
              <w:t>Career F1-macro</w:t>
            </w:r>
          </w:p>
        </w:tc>
      </w:tr>
      <w:tr>
        <w:tc>
          <w:tcPr>
            <w:tcW w:type="dxa" w:w="2160"/>
          </w:tcPr>
          <w:p>
            <w:r/>
            <w:r>
              <w:rPr>
                <w:b w:val="0"/>
                <w:color w:val="C00000"/>
              </w:rPr>
              <w:t>Abukader 2025 [16] — LightGBM + SHAP</w:t>
            </w:r>
          </w:p>
        </w:tc>
        <w:tc>
          <w:tcPr>
            <w:tcW w:type="dxa" w:w="2160"/>
          </w:tcPr>
          <w:p>
            <w:r/>
            <w:r>
              <w:rPr>
                <w:b w:val="0"/>
                <w:color w:val="C00000"/>
              </w:rPr>
              <w:t>0.455 ± 0.014</w:t>
            </w:r>
          </w:p>
        </w:tc>
        <w:tc>
          <w:tcPr>
            <w:tcW w:type="dxa" w:w="2160"/>
          </w:tcPr>
          <w:p>
            <w:r/>
            <w:r>
              <w:rPr>
                <w:b w:val="0"/>
                <w:color w:val="C00000"/>
              </w:rPr>
              <w:t>0.637 ± 0.029</w:t>
            </w:r>
          </w:p>
        </w:tc>
        <w:tc>
          <w:tcPr>
            <w:tcW w:type="dxa" w:w="2160"/>
          </w:tcPr>
          <w:p>
            <w:r/>
            <w:r>
              <w:rPr>
                <w:b w:val="0"/>
                <w:color w:val="C00000"/>
              </w:rPr>
              <w:t>0.692 ± 0.020</w:t>
            </w:r>
          </w:p>
        </w:tc>
      </w:tr>
      <w:tr>
        <w:tc>
          <w:tcPr>
            <w:tcW w:type="dxa" w:w="2160"/>
          </w:tcPr>
          <w:p>
            <w:r/>
            <w:r>
              <w:rPr>
                <w:b w:val="0"/>
                <w:color w:val="C00000"/>
              </w:rPr>
              <w:t>Liu 2025 [15] — Stacking ensemble + SHAP</w:t>
            </w:r>
          </w:p>
        </w:tc>
        <w:tc>
          <w:tcPr>
            <w:tcW w:type="dxa" w:w="2160"/>
          </w:tcPr>
          <w:p>
            <w:r/>
            <w:r>
              <w:rPr>
                <w:b w:val="0"/>
                <w:color w:val="C00000"/>
              </w:rPr>
              <w:t>0.448 ± 0.026</w:t>
            </w:r>
          </w:p>
        </w:tc>
        <w:tc>
          <w:tcPr>
            <w:tcW w:type="dxa" w:w="2160"/>
          </w:tcPr>
          <w:p>
            <w:r/>
            <w:r>
              <w:rPr>
                <w:b w:val="0"/>
                <w:color w:val="C00000"/>
              </w:rPr>
              <w:t>0.612 ± 0.028</w:t>
            </w:r>
          </w:p>
        </w:tc>
        <w:tc>
          <w:tcPr>
            <w:tcW w:type="dxa" w:w="2160"/>
          </w:tcPr>
          <w:p>
            <w:r/>
            <w:r>
              <w:rPr>
                <w:b w:val="0"/>
                <w:color w:val="C00000"/>
              </w:rPr>
              <w:t>0.640 ± 0.025</w:t>
            </w:r>
          </w:p>
        </w:tc>
      </w:tr>
      <w:tr>
        <w:tc>
          <w:tcPr>
            <w:tcW w:type="dxa" w:w="2160"/>
          </w:tcPr>
          <w:p>
            <w:r/>
            <w:r>
              <w:rPr>
                <w:b w:val="0"/>
                <w:color w:val="C00000"/>
              </w:rPr>
              <w:t>Kalita 2025 [13] — Bi-LSTM + SHAP</w:t>
            </w:r>
          </w:p>
        </w:tc>
        <w:tc>
          <w:tcPr>
            <w:tcW w:type="dxa" w:w="2160"/>
          </w:tcPr>
          <w:p>
            <w:r/>
            <w:r>
              <w:rPr>
                <w:b w:val="0"/>
                <w:color w:val="C00000"/>
              </w:rPr>
              <w:t>0.308 ± 0.038</w:t>
            </w:r>
          </w:p>
        </w:tc>
        <w:tc>
          <w:tcPr>
            <w:tcW w:type="dxa" w:w="2160"/>
          </w:tcPr>
          <w:p>
            <w:r/>
            <w:r>
              <w:rPr>
                <w:b w:val="0"/>
                <w:color w:val="C00000"/>
              </w:rPr>
              <w:t>0.559 ± 0.042</w:t>
            </w:r>
          </w:p>
        </w:tc>
        <w:tc>
          <w:tcPr>
            <w:tcW w:type="dxa" w:w="2160"/>
          </w:tcPr>
          <w:p>
            <w:r/>
            <w:r>
              <w:rPr>
                <w:b w:val="0"/>
                <w:color w:val="C00000"/>
              </w:rPr>
              <w:t>0.518 ± 0.048</w:t>
            </w:r>
          </w:p>
        </w:tc>
      </w:tr>
      <w:tr>
        <w:tc>
          <w:tcPr>
            <w:tcW w:type="dxa" w:w="2160"/>
          </w:tcPr>
          <w:p>
            <w:r/>
            <w:r>
              <w:rPr>
                <w:b/>
                <w:color w:val="C00000"/>
              </w:rPr>
              <w:t>This work — XGBoost + engineered features + SHAP recs</w:t>
            </w:r>
          </w:p>
        </w:tc>
        <w:tc>
          <w:tcPr>
            <w:tcW w:type="dxa" w:w="2160"/>
          </w:tcPr>
          <w:p>
            <w:r/>
            <w:r>
              <w:rPr>
                <w:b w:val="0"/>
                <w:color w:val="C00000"/>
              </w:rPr>
              <w:t>0.805 ± 0.017</w:t>
            </w:r>
          </w:p>
        </w:tc>
        <w:tc>
          <w:tcPr>
            <w:tcW w:type="dxa" w:w="2160"/>
          </w:tcPr>
          <w:p>
            <w:r/>
            <w:r>
              <w:rPr>
                <w:b w:val="0"/>
                <w:color w:val="C00000"/>
              </w:rPr>
              <w:t>0.767 ± 0.040</w:t>
            </w:r>
          </w:p>
        </w:tc>
        <w:tc>
          <w:tcPr>
            <w:tcW w:type="dxa" w:w="2160"/>
          </w:tcPr>
          <w:p>
            <w:r/>
            <w:r>
              <w:rPr>
                <w:b w:val="0"/>
                <w:color w:val="C00000"/>
              </w:rPr>
              <w:t>0.699 ± 0.024</w:t>
            </w:r>
          </w:p>
        </w:tc>
      </w:tr>
    </w:tbl>
    <w:p/>
    <w:p/>
    <w:p>
      <w:r>
        <w:rPr>
          <w:b/>
          <w:color w:val="C00000"/>
        </w:rPr>
        <w:t>Discussion.</w:t>
      </w:r>
      <w:r>
        <w:rPr>
          <w:b w:val="0"/>
          <w:color w:val="C00000"/>
        </w:rPr>
        <w:t xml:space="preserve"> Where this work attains a higher F1-macro the gap is consistent with the </w:t>
      </w:r>
      <w:r>
        <w:rPr>
          <w:b/>
          <w:color w:val="C00000"/>
        </w:rPr>
        <w:t>engineered composite features</w:t>
      </w:r>
      <w:r>
        <w:rPr>
          <w:b w:val="0"/>
          <w:color w:val="C00000"/>
        </w:rPr>
        <w:t>, not with the choice of classifier (XGBoost on raw features alone falls inside the SOTA band — see Table 4). We therefore frame our contribution as the *unified multi-objective formulation* and *automated SHAP-to-recommendation translation* rather than a claim of architectural superiority. Where SOTA matches our numbers, the differentiator is the recommendation-engine output (Table 6) which none of the cited works produce.</w:t>
      </w:r>
    </w:p>
    <w:p>
      <w:r>
        <w:br w:type="page"/>
      </w:r>
    </w:p>
    <w:p>
      <w:pPr>
        <w:pStyle w:val="Heading1"/>
      </w:pPr>
      <w:r>
        <w:rPr>
          <w:color w:val="000000"/>
        </w:rPr>
        <w:t>09_section_5_5_causal_psm.md</w:t>
      </w:r>
    </w:p>
    <w:p>
      <w:pPr>
        <w:pStyle w:val="Heading1"/>
      </w:pPr>
      <w:r>
        <w:rPr>
          <w:color w:val="C00000"/>
        </w:rPr>
        <w:t>Patch 09 — New §5.5 Causal Plausibility (R2.2)</w:t>
      </w:r>
    </w:p>
    <w:p/>
    <w:p>
      <w:r>
        <w:rPr>
          <w:b w:val="0"/>
          <w:color w:val="C00000"/>
        </w:rPr>
        <w:t>Insert as §5.5 (renumber subsequent subsections).</w:t>
      </w:r>
    </w:p>
    <w:p/>
    <w:p>
      <w:pPr>
        <w:pStyle w:val="Heading2"/>
      </w:pPr>
      <w:r>
        <w:rPr>
          <w:color w:val="C00000"/>
        </w:rPr>
        <w:t>5.5 Causal Plausibility via Propensity-Score Matching</w:t>
      </w:r>
    </w:p>
    <w:p/>
    <w:p>
      <w:r>
        <w:rPr>
          <w:b w:val="0"/>
          <w:color w:val="C00000"/>
        </w:rPr>
        <w:t xml:space="preserve">Reviewers correctly observed that SHAP attributions are *associational* and cannot, on their own, support intervention prioritisation. The recommendation engine (§3.9 and Algorithm 1) is therefore reframed throughout this revision as </w:t>
      </w:r>
      <w:r>
        <w:rPr>
          <w:b/>
          <w:color w:val="C00000"/>
        </w:rPr>
        <w:t>hypothesis-generating decision support for academic advisors</w:t>
      </w:r>
      <w:r>
        <w:rPr>
          <w:b w:val="0"/>
          <w:color w:val="C00000"/>
        </w:rPr>
        <w:t>, not as validated causal interventions. To probe whether the SHAP-derived rankings are at least *consistent* with directional causal effects on `current_cgpa`, we conducted a propensity-score-matched (PSM) analysis on the three highest-ranked modifiable features identified by Algorithm 1: workshop / seminar participation (binary), high peer-group quality (Likert ≥ 4), and stress-coping (binary).</w:t>
      </w:r>
    </w:p>
    <w:p/>
    <w:p>
      <w:r>
        <w:rPr>
          <w:b/>
          <w:color w:val="C00000"/>
        </w:rPr>
        <w:t>Method.</w:t>
      </w:r>
      <w:r>
        <w:rPr>
          <w:b w:val="0"/>
          <w:color w:val="C00000"/>
        </w:rPr>
        <w:t xml:space="preserve"> For each treatment, propensity *P(T=1 | X)* is estimated via logistic regression on the leakage-free confounder matrix (all features except the treatment, the outcome, and the seven target-derived columns listed in §3.10). 1:1 nearest-neighbour matching is performed on the logit of the propensity using a caliper of 0.2 SD. The Average Treatment Effect on the Treated (ATT) is the mean within-pair difference in `current_cgpa`, with a 95 % bootstrap CI (1 000 paired resamples).</w:t>
      </w:r>
    </w:p>
    <w:p/>
    <w:p>
      <w:r>
        <w:rPr>
          <w:b/>
          <w:color w:val="C00000"/>
        </w:rPr>
        <w:t>Table 9. Propensity-Score-Matched ATT on `current_cgpa` for top-3 modifiable features.</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color w:val="C00000"/>
              </w:rPr>
              <w:t>Treatment</w:t>
            </w:r>
          </w:p>
        </w:tc>
        <w:tc>
          <w:tcPr>
            <w:tcW w:type="dxa" w:w="1440"/>
          </w:tcPr>
          <w:p>
            <w:r/>
            <w:r>
              <w:rPr>
                <w:b/>
                <w:color w:val="C00000"/>
              </w:rPr>
              <w:t>n treated</w:t>
            </w:r>
          </w:p>
        </w:tc>
        <w:tc>
          <w:tcPr>
            <w:tcW w:type="dxa" w:w="1440"/>
          </w:tcPr>
          <w:p>
            <w:r/>
            <w:r>
              <w:rPr>
                <w:b/>
                <w:color w:val="C00000"/>
              </w:rPr>
              <w:t>n matched (1:1, caliper 0.2 SD)</w:t>
            </w:r>
          </w:p>
        </w:tc>
        <w:tc>
          <w:tcPr>
            <w:tcW w:type="dxa" w:w="1440"/>
          </w:tcPr>
          <w:p>
            <w:r/>
            <w:r>
              <w:rPr>
                <w:b/>
                <w:color w:val="C00000"/>
              </w:rPr>
              <w:t>ATT (CGPA points)</w:t>
            </w:r>
          </w:p>
        </w:tc>
        <w:tc>
          <w:tcPr>
            <w:tcW w:type="dxa" w:w="1440"/>
          </w:tcPr>
          <w:p>
            <w:r/>
            <w:r>
              <w:rPr>
                <w:b/>
                <w:color w:val="C00000"/>
              </w:rPr>
              <w:t>95% bootstrap CI</w:t>
            </w:r>
          </w:p>
        </w:tc>
        <w:tc>
          <w:tcPr>
            <w:tcW w:type="dxa" w:w="1440"/>
          </w:tcPr>
          <w:p>
            <w:r/>
            <w:r>
              <w:rPr>
                <w:b/>
                <w:color w:val="C00000"/>
              </w:rPr>
              <w:t>CI excludes 0</w:t>
            </w:r>
          </w:p>
        </w:tc>
      </w:tr>
      <w:tr>
        <w:tc>
          <w:tcPr>
            <w:tcW w:type="dxa" w:w="1440"/>
          </w:tcPr>
          <w:p>
            <w:r/>
            <w:r>
              <w:rPr>
                <w:b w:val="0"/>
                <w:color w:val="C00000"/>
              </w:rPr>
              <w:t>Workshop participation</w:t>
            </w:r>
          </w:p>
        </w:tc>
        <w:tc>
          <w:tcPr>
            <w:tcW w:type="dxa" w:w="1440"/>
          </w:tcPr>
          <w:p>
            <w:r/>
            <w:r>
              <w:rPr>
                <w:b w:val="0"/>
                <w:color w:val="C00000"/>
              </w:rPr>
              <w:t>1057</w:t>
            </w:r>
          </w:p>
        </w:tc>
        <w:tc>
          <w:tcPr>
            <w:tcW w:type="dxa" w:w="1440"/>
          </w:tcPr>
          <w:p>
            <w:r/>
            <w:r>
              <w:rPr>
                <w:b w:val="0"/>
                <w:color w:val="C00000"/>
              </w:rPr>
              <w:t>0</w:t>
            </w:r>
          </w:p>
        </w:tc>
        <w:tc>
          <w:tcPr>
            <w:tcW w:type="dxa" w:w="1440"/>
          </w:tcPr>
          <w:p>
            <w:r/>
            <w:r>
              <w:rPr>
                <w:b w:val="0"/>
                <w:color w:val="C00000"/>
              </w:rPr>
              <w:t>n/a</w:t>
            </w:r>
          </w:p>
        </w:tc>
        <w:tc>
          <w:tcPr>
            <w:tcW w:type="dxa" w:w="1440"/>
          </w:tcPr>
          <w:p>
            <w:r/>
            <w:r>
              <w:rPr>
                <w:b w:val="0"/>
                <w:color w:val="C00000"/>
              </w:rPr>
              <w:t>n/a</w:t>
            </w:r>
          </w:p>
        </w:tc>
        <w:tc>
          <w:tcPr>
            <w:tcW w:type="dxa" w:w="1440"/>
          </w:tcPr>
          <w:p>
            <w:r/>
            <w:r>
              <w:rPr>
                <w:b w:val="0"/>
                <w:color w:val="C00000"/>
              </w:rPr>
              <w:t>no acceptable matches within caliper</w:t>
            </w:r>
          </w:p>
        </w:tc>
      </w:tr>
      <w:tr>
        <w:tc>
          <w:tcPr>
            <w:tcW w:type="dxa" w:w="1440"/>
          </w:tcPr>
          <w:p>
            <w:r/>
            <w:r>
              <w:rPr>
                <w:b w:val="0"/>
                <w:color w:val="C00000"/>
              </w:rPr>
              <w:t>High peer-group quality (&gt;= 4 of 5)</w:t>
            </w:r>
          </w:p>
        </w:tc>
        <w:tc>
          <w:tcPr>
            <w:tcW w:type="dxa" w:w="1440"/>
          </w:tcPr>
          <w:p>
            <w:r/>
            <w:r>
              <w:rPr>
                <w:b w:val="0"/>
                <w:color w:val="C00000"/>
              </w:rPr>
              <w:t>117</w:t>
            </w:r>
          </w:p>
        </w:tc>
        <w:tc>
          <w:tcPr>
            <w:tcW w:type="dxa" w:w="1440"/>
          </w:tcPr>
          <w:p>
            <w:r/>
            <w:r>
              <w:rPr>
                <w:b w:val="0"/>
                <w:color w:val="C00000"/>
              </w:rPr>
              <w:t>10</w:t>
            </w:r>
          </w:p>
        </w:tc>
        <w:tc>
          <w:tcPr>
            <w:tcW w:type="dxa" w:w="1440"/>
          </w:tcPr>
          <w:p>
            <w:r/>
            <w:r>
              <w:rPr>
                <w:b w:val="0"/>
                <w:color w:val="C00000"/>
              </w:rPr>
              <w:t>0.166</w:t>
            </w:r>
          </w:p>
        </w:tc>
        <w:tc>
          <w:tcPr>
            <w:tcW w:type="dxa" w:w="1440"/>
          </w:tcPr>
          <w:p>
            <w:r/>
            <w:r>
              <w:rPr>
                <w:b w:val="0"/>
                <w:color w:val="C00000"/>
              </w:rPr>
              <w:t>[-0.958, +1.417]</w:t>
            </w:r>
          </w:p>
        </w:tc>
        <w:tc>
          <w:tcPr>
            <w:tcW w:type="dxa" w:w="1440"/>
          </w:tcPr>
          <w:p>
            <w:r/>
            <w:r>
              <w:rPr>
                <w:b w:val="0"/>
                <w:color w:val="C00000"/>
              </w:rPr>
              <w:t>no</w:t>
            </w:r>
          </w:p>
        </w:tc>
      </w:tr>
      <w:tr>
        <w:tc>
          <w:tcPr>
            <w:tcW w:type="dxa" w:w="1440"/>
          </w:tcPr>
          <w:p>
            <w:r/>
            <w:r>
              <w:rPr>
                <w:b w:val="0"/>
                <w:color w:val="C00000"/>
              </w:rPr>
              <w:t>Stress coping</w:t>
            </w:r>
          </w:p>
        </w:tc>
        <w:tc>
          <w:tcPr>
            <w:tcW w:type="dxa" w:w="1440"/>
          </w:tcPr>
          <w:p>
            <w:r/>
            <w:r>
              <w:rPr>
                <w:b w:val="0"/>
                <w:color w:val="C00000"/>
              </w:rPr>
              <w:t>505</w:t>
            </w:r>
          </w:p>
        </w:tc>
        <w:tc>
          <w:tcPr>
            <w:tcW w:type="dxa" w:w="1440"/>
          </w:tcPr>
          <w:p>
            <w:r/>
            <w:r>
              <w:rPr>
                <w:b w:val="0"/>
                <w:color w:val="C00000"/>
              </w:rPr>
              <w:t>414</w:t>
            </w:r>
          </w:p>
        </w:tc>
        <w:tc>
          <w:tcPr>
            <w:tcW w:type="dxa" w:w="1440"/>
          </w:tcPr>
          <w:p>
            <w:r/>
            <w:r>
              <w:rPr>
                <w:b w:val="0"/>
                <w:color w:val="C00000"/>
              </w:rPr>
              <w:t>0.081</w:t>
            </w:r>
          </w:p>
        </w:tc>
        <w:tc>
          <w:tcPr>
            <w:tcW w:type="dxa" w:w="1440"/>
          </w:tcPr>
          <w:p>
            <w:r/>
            <w:r>
              <w:rPr>
                <w:b w:val="0"/>
                <w:color w:val="C00000"/>
              </w:rPr>
              <w:t>[-0.062, +0.225]</w:t>
            </w:r>
          </w:p>
        </w:tc>
        <w:tc>
          <w:tcPr>
            <w:tcW w:type="dxa" w:w="1440"/>
          </w:tcPr>
          <w:p>
            <w:r/>
            <w:r>
              <w:rPr>
                <w:b w:val="0"/>
                <w:color w:val="C00000"/>
              </w:rPr>
              <w:t>no</w:t>
            </w:r>
          </w:p>
        </w:tc>
      </w:tr>
    </w:tbl>
    <w:p/>
    <w:p>
      <w:r>
        <w:rPr>
          <w:b/>
          <w:color w:val="C00000"/>
        </w:rPr>
        <w:t>Honest interpretation.</w:t>
      </w:r>
      <w:r>
        <w:rPr>
          <w:b w:val="0"/>
          <w:color w:val="C00000"/>
        </w:rPr>
        <w:t xml:space="preserve"> The PSM analysis does </w:t>
      </w:r>
      <w:r>
        <w:rPr>
          <w:b/>
          <w:color w:val="C00000"/>
        </w:rPr>
        <w:t>not</w:t>
      </w:r>
      <w:r>
        <w:rPr>
          <w:b w:val="0"/>
          <w:color w:val="C00000"/>
        </w:rPr>
        <w:t xml:space="preserve"> rescue a causal interpretation of the SHAP-derived recommendations, and we report it as such:</w:t>
      </w:r>
    </w:p>
    <w:p/>
    <w:p>
      <w:r>
        <w:rPr>
          <w:b w:val="0"/>
          <w:color w:val="C00000"/>
        </w:rPr>
        <w:t xml:space="preserve">1. </w:t>
      </w:r>
      <w:r>
        <w:rPr>
          <w:b/>
          <w:color w:val="C00000"/>
        </w:rPr>
        <w:t>Workshop / seminar participation is the highest-ranked SHAP feature but admits no acceptable matched comparison set.</w:t>
      </w:r>
      <w:r>
        <w:rPr>
          <w:b w:val="0"/>
          <w:color w:val="C00000"/>
        </w:rPr>
        <w:t xml:space="preserve"> Of 1 378 students, 1 057 (≈ 77 %) participate in workshops; only 321 do not, and the propensity model finds zero matches within the caliper, indicating a *positivity violation* — the treated and untreated subpopulations differ too much on measured confounders to support a counterfactual estimate.</w:t>
      </w:r>
    </w:p>
    <w:p>
      <w:r>
        <w:rPr>
          <w:b w:val="0"/>
          <w:color w:val="C00000"/>
        </w:rPr>
        <w:t xml:space="preserve">2. </w:t>
      </w:r>
      <w:r>
        <w:rPr>
          <w:b/>
          <w:color w:val="C00000"/>
        </w:rPr>
        <w:t>High peer-group quality matches only 10 pairs</w:t>
      </w:r>
      <w:r>
        <w:rPr>
          <w:b w:val="0"/>
          <w:color w:val="C00000"/>
        </w:rPr>
        <w:t>, yielding a wide and uninformative 95 % CI. No causal claim is supportable.</w:t>
      </w:r>
    </w:p>
    <w:p>
      <w:r>
        <w:rPr>
          <w:b w:val="0"/>
          <w:color w:val="C00000"/>
        </w:rPr>
        <w:t xml:space="preserve">3. </w:t>
      </w:r>
      <w:r>
        <w:rPr>
          <w:b/>
          <w:color w:val="C00000"/>
        </w:rPr>
        <w:t>Stress-coping is the only treatment with adequate overlap</w:t>
      </w:r>
      <w:r>
        <w:rPr>
          <w:b w:val="0"/>
          <w:color w:val="C00000"/>
        </w:rPr>
        <w:t xml:space="preserve"> (414 matched pairs), and its directional ATT is consistent with the SHAP sign, but the 95 % CI includes zero. The result is *consistent with* but not *evidence for* a positive effect.</w:t>
      </w:r>
    </w:p>
    <w:p/>
    <w:p>
      <w:r>
        <w:rPr>
          <w:b w:val="0"/>
          <w:color w:val="C00000"/>
        </w:rPr>
        <w:t xml:space="preserve">We therefore agree with Reviewer 2's substantive concern: the recommendation engine cannot, on the basis of either SHAP or this observational PSM analysis, be claimed to identify causally effective interventions. The recommendation outputs are reframed as advisor-facing decision support, and §5.7 (Threats to Validity) and §6 (Future Work) commit to </w:t>
      </w:r>
      <w:r>
        <w:rPr>
          <w:b/>
          <w:color w:val="C00000"/>
        </w:rPr>
        <w:t>cluster-randomised intervention trials</w:t>
      </w:r>
      <w:r>
        <w:rPr>
          <w:b w:val="0"/>
          <w:color w:val="C00000"/>
        </w:rPr>
        <w:t xml:space="preserve"> and </w:t>
      </w:r>
      <w:r>
        <w:rPr>
          <w:b/>
          <w:color w:val="C00000"/>
        </w:rPr>
        <w:t>longitudinal panel data with formal causal-effect estimators</w:t>
      </w:r>
      <w:r>
        <w:rPr>
          <w:b w:val="0"/>
          <w:color w:val="C00000"/>
        </w:rPr>
        <w:t xml:space="preserve"> as the principal items required to upgrade these hypotheses to causal evidence. The reframing is consistent throughout the Abstract, §1.4, §3.9, the Table 6 caption, and §6.</w:t>
      </w:r>
    </w:p>
    <w:p/>
    <w:p>
      <w:r>
        <w:rPr>
          <w:b w:val="0"/>
          <w:color w:val="C00000"/>
        </w:rPr>
        <w:t>This honest framing addresses the reviewer's concern without overstating what the data supports.</w:t>
      </w:r>
    </w:p>
    <w:p>
      <w:r>
        <w:br w:type="page"/>
      </w:r>
    </w:p>
    <w:p>
      <w:pPr>
        <w:pStyle w:val="Heading1"/>
      </w:pPr>
      <w:r>
        <w:rPr>
          <w:color w:val="000000"/>
        </w:rPr>
        <w:t>10_section_5_6_fairness.md</w:t>
      </w:r>
    </w:p>
    <w:p>
      <w:pPr>
        <w:pStyle w:val="Heading1"/>
      </w:pPr>
      <w:r>
        <w:rPr>
          <w:color w:val="C00000"/>
        </w:rPr>
        <w:t>Patch 10 — New §5.6 Fairness and Subgroup Analysis (R2.5)</w:t>
      </w:r>
    </w:p>
    <w:p/>
    <w:p>
      <w:r>
        <w:rPr>
          <w:b w:val="0"/>
          <w:color w:val="C00000"/>
        </w:rPr>
        <w:t>Insert as §5.6 (renumber subsequent subsections).</w:t>
      </w:r>
    </w:p>
    <w:p/>
    <w:p>
      <w:pPr>
        <w:pStyle w:val="Heading2"/>
      </w:pPr>
      <w:r>
        <w:rPr>
          <w:color w:val="C00000"/>
        </w:rPr>
        <w:t>5.6 Fairness and Subgroup Analysis</w:t>
      </w:r>
    </w:p>
    <w:p/>
    <w:p>
      <w:r>
        <w:rPr>
          <w:b w:val="0"/>
          <w:color w:val="C00000"/>
        </w:rPr>
        <w:t>Because gender appears among the top SHAP features for the academic-performance objective and the framework is intended for educational decision support, we audit subgroup performance, calibration, and disparate error rates across three protected attributes: `gender`, `residence_type`, and `family_income_bracket`. The audit re-uses the canonical 5-fold OOF predictions (so the metrics are directly comparable to Table 4) and reports, per (objective × attribute × subgroup):</w:t>
      </w:r>
    </w:p>
    <w:p/>
    <w:p>
      <w:r>
        <w:rPr>
          <w:b w:val="0"/>
          <w:color w:val="C00000"/>
        </w:rPr>
        <w:t xml:space="preserve">* </w:t>
      </w:r>
      <w:r>
        <w:rPr>
          <w:b/>
          <w:color w:val="C00000"/>
        </w:rPr>
        <w:t>F1-macro</w:t>
      </w:r>
      <w:r>
        <w:rPr>
          <w:b w:val="0"/>
          <w:color w:val="C00000"/>
        </w:rPr>
        <w:t xml:space="preserve"> — overall classification quality.</w:t>
      </w:r>
    </w:p>
    <w:p>
      <w:r>
        <w:rPr>
          <w:b w:val="0"/>
          <w:color w:val="C00000"/>
        </w:rPr>
        <w:t xml:space="preserve">* </w:t>
      </w:r>
      <w:r>
        <w:rPr>
          <w:b/>
          <w:color w:val="C00000"/>
        </w:rPr>
        <w:t>False-Negative Rate (FNR) for the positive class</w:t>
      </w:r>
      <w:r>
        <w:rPr>
          <w:b w:val="0"/>
          <w:color w:val="C00000"/>
        </w:rPr>
        <w:t xml:space="preserve"> — the rate at which truly at-risk students are missed; this is the costliest error mode in advisor-facing deployment.</w:t>
      </w:r>
    </w:p>
    <w:p>
      <w:r>
        <w:rPr>
          <w:b w:val="0"/>
          <w:color w:val="C00000"/>
        </w:rPr>
        <w:t xml:space="preserve">* </w:t>
      </w:r>
      <w:r>
        <w:rPr>
          <w:b/>
          <w:color w:val="C00000"/>
        </w:rPr>
        <w:t>Brier score</w:t>
      </w:r>
      <w:r>
        <w:rPr>
          <w:b w:val="0"/>
          <w:color w:val="C00000"/>
        </w:rPr>
        <w:t xml:space="preserve"> — calibration of the predicted probabilities.</w:t>
      </w:r>
    </w:p>
    <w:p>
      <w:r>
        <w:rPr>
          <w:b w:val="0"/>
          <w:color w:val="C00000"/>
        </w:rPr>
        <w:t xml:space="preserve">* </w:t>
      </w:r>
      <w:r>
        <w:rPr>
          <w:b/>
          <w:color w:val="C00000"/>
        </w:rPr>
        <w:t>Equalised-odds gap</w:t>
      </w:r>
      <w:r>
        <w:rPr>
          <w:b w:val="0"/>
          <w:color w:val="C00000"/>
        </w:rPr>
        <w:t xml:space="preserve"> = max FNR − min FNR across subgroups of an attribute.</w:t>
      </w:r>
    </w:p>
    <w:p/>
    <w:p>
      <w:r>
        <w:rPr>
          <w:b w:val="0"/>
          <w:color w:val="C00000"/>
        </w:rPr>
        <w:t xml:space="preserve">Numbers are populated from `revision/output/tables/fairness_subgroups.csv`. Calibration curves by gender for the at-risk objective are shown in </w:t>
      </w:r>
      <w:r>
        <w:rPr>
          <w:b/>
          <w:color w:val="C00000"/>
        </w:rPr>
        <w:t>Fig. 13</w:t>
      </w:r>
      <w:r>
        <w:rPr>
          <w:b w:val="0"/>
          <w:color w:val="C00000"/>
        </w:rPr>
        <w:t>.</w:t>
      </w:r>
    </w:p>
    <w:p/>
    <w:p>
      <w:r>
        <w:rPr>
          <w:b/>
          <w:color w:val="C00000"/>
        </w:rPr>
        <w:t>Table 10. Fairness audit (excerpt).</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color w:val="C00000"/>
              </w:rPr>
              <w:t>Objective</w:t>
            </w:r>
          </w:p>
        </w:tc>
        <w:tc>
          <w:tcPr>
            <w:tcW w:type="dxa" w:w="1080"/>
          </w:tcPr>
          <w:p>
            <w:r/>
            <w:r>
              <w:rPr>
                <w:b/>
                <w:color w:val="C00000"/>
              </w:rPr>
              <w:t>Subgroup attribute</w:t>
            </w:r>
          </w:p>
        </w:tc>
        <w:tc>
          <w:tcPr>
            <w:tcW w:type="dxa" w:w="1080"/>
          </w:tcPr>
          <w:p>
            <w:r/>
            <w:r>
              <w:rPr>
                <w:b/>
                <w:color w:val="C00000"/>
              </w:rPr>
              <w:t>Subgroup</w:t>
            </w:r>
          </w:p>
        </w:tc>
        <w:tc>
          <w:tcPr>
            <w:tcW w:type="dxa" w:w="1080"/>
          </w:tcPr>
          <w:p>
            <w:r/>
            <w:r>
              <w:rPr>
                <w:b/>
                <w:color w:val="C00000"/>
              </w:rPr>
              <w:t>n</w:t>
            </w:r>
          </w:p>
        </w:tc>
        <w:tc>
          <w:tcPr>
            <w:tcW w:type="dxa" w:w="1080"/>
          </w:tcPr>
          <w:p>
            <w:r/>
            <w:r>
              <w:rPr>
                <w:b/>
                <w:color w:val="C00000"/>
              </w:rPr>
              <w:t>F1-macro</w:t>
            </w:r>
          </w:p>
        </w:tc>
        <w:tc>
          <w:tcPr>
            <w:tcW w:type="dxa" w:w="1080"/>
          </w:tcPr>
          <w:p>
            <w:r/>
            <w:r>
              <w:rPr>
                <w:b/>
                <w:color w:val="C00000"/>
              </w:rPr>
              <w:t>FNR (positive class)</w:t>
            </w:r>
          </w:p>
        </w:tc>
        <w:tc>
          <w:tcPr>
            <w:tcW w:type="dxa" w:w="1080"/>
          </w:tcPr>
          <w:p>
            <w:r/>
            <w:r>
              <w:rPr>
                <w:b/>
                <w:color w:val="C00000"/>
              </w:rPr>
              <w:t>Brier score</w:t>
            </w:r>
          </w:p>
        </w:tc>
        <w:tc>
          <w:tcPr>
            <w:tcW w:type="dxa" w:w="1080"/>
          </w:tcPr>
          <w:p>
            <w:r/>
            <w:r>
              <w:rPr>
                <w:b/>
                <w:color w:val="C00000"/>
              </w:rPr>
              <w:t>Equalised-odds gap (FNR)</w:t>
            </w:r>
          </w:p>
        </w:tc>
      </w:tr>
      <w:tr>
        <w:tc>
          <w:tcPr>
            <w:tcW w:type="dxa" w:w="1080"/>
          </w:tcPr>
          <w:p>
            <w:r/>
            <w:r>
              <w:rPr>
                <w:b w:val="0"/>
                <w:color w:val="C00000"/>
              </w:rPr>
              <w:t>At-Risk</w:t>
            </w:r>
          </w:p>
        </w:tc>
        <w:tc>
          <w:tcPr>
            <w:tcW w:type="dxa" w:w="1080"/>
          </w:tcPr>
          <w:p>
            <w:r/>
            <w:r>
              <w:rPr>
                <w:b w:val="0"/>
                <w:color w:val="C00000"/>
              </w:rPr>
              <w:t>gender</w:t>
            </w:r>
          </w:p>
        </w:tc>
        <w:tc>
          <w:tcPr>
            <w:tcW w:type="dxa" w:w="1080"/>
          </w:tcPr>
          <w:p>
            <w:r/>
            <w:r>
              <w:rPr>
                <w:b w:val="0"/>
                <w:color w:val="C00000"/>
              </w:rPr>
              <w:t>Female</w:t>
            </w:r>
          </w:p>
        </w:tc>
        <w:tc>
          <w:tcPr>
            <w:tcW w:type="dxa" w:w="1080"/>
          </w:tcPr>
          <w:p>
            <w:r/>
            <w:r>
              <w:rPr>
                <w:b w:val="0"/>
                <w:color w:val="C00000"/>
              </w:rPr>
              <w:t>574</w:t>
            </w:r>
          </w:p>
        </w:tc>
        <w:tc>
          <w:tcPr>
            <w:tcW w:type="dxa" w:w="1080"/>
          </w:tcPr>
          <w:p>
            <w:r/>
            <w:r>
              <w:rPr>
                <w:b w:val="0"/>
                <w:color w:val="C00000"/>
              </w:rPr>
              <w:t>0.612</w:t>
            </w:r>
          </w:p>
        </w:tc>
        <w:tc>
          <w:tcPr>
            <w:tcW w:type="dxa" w:w="1080"/>
          </w:tcPr>
          <w:p>
            <w:r/>
            <w:r>
              <w:rPr>
                <w:b w:val="0"/>
                <w:color w:val="C00000"/>
              </w:rPr>
              <w:t>0.715</w:t>
            </w:r>
          </w:p>
        </w:tc>
        <w:tc>
          <w:tcPr>
            <w:tcW w:type="dxa" w:w="1080"/>
          </w:tcPr>
          <w:p>
            <w:r/>
            <w:r>
              <w:rPr>
                <w:b w:val="0"/>
                <w:color w:val="C00000"/>
              </w:rPr>
              <w:t>0.171</w:t>
            </w:r>
          </w:p>
        </w:tc>
        <w:tc>
          <w:tcPr>
            <w:tcW w:type="dxa" w:w="1080"/>
          </w:tcPr>
          <w:p>
            <w:r/>
            <w:r>
              <w:rPr>
                <w:b w:val="0"/>
                <w:color w:val="C00000"/>
              </w:rPr>
              <w:t>0.143</w:t>
            </w:r>
          </w:p>
        </w:tc>
      </w:tr>
      <w:tr>
        <w:tc>
          <w:tcPr>
            <w:tcW w:type="dxa" w:w="1080"/>
          </w:tcPr>
          <w:p>
            <w:r/>
            <w:r>
              <w:rPr>
                <w:b w:val="0"/>
                <w:color w:val="C00000"/>
              </w:rPr>
              <w:t>At-Risk</w:t>
            </w:r>
          </w:p>
        </w:tc>
        <w:tc>
          <w:tcPr>
            <w:tcW w:type="dxa" w:w="1080"/>
          </w:tcPr>
          <w:p>
            <w:r/>
            <w:r>
              <w:rPr>
                <w:b w:val="0"/>
                <w:color w:val="C00000"/>
              </w:rPr>
              <w:t>gender</w:t>
            </w:r>
          </w:p>
        </w:tc>
        <w:tc>
          <w:tcPr>
            <w:tcW w:type="dxa" w:w="1080"/>
          </w:tcPr>
          <w:p>
            <w:r/>
            <w:r>
              <w:rPr>
                <w:b w:val="0"/>
                <w:color w:val="C00000"/>
              </w:rPr>
              <w:t>Male</w:t>
            </w:r>
          </w:p>
        </w:tc>
        <w:tc>
          <w:tcPr>
            <w:tcW w:type="dxa" w:w="1080"/>
          </w:tcPr>
          <w:p>
            <w:r/>
            <w:r>
              <w:rPr>
                <w:b w:val="0"/>
                <w:color w:val="C00000"/>
              </w:rPr>
              <w:t>804</w:t>
            </w:r>
          </w:p>
        </w:tc>
        <w:tc>
          <w:tcPr>
            <w:tcW w:type="dxa" w:w="1080"/>
          </w:tcPr>
          <w:p>
            <w:r/>
            <w:r>
              <w:rPr>
                <w:b w:val="0"/>
                <w:color w:val="C00000"/>
              </w:rPr>
              <w:t>0.641</w:t>
            </w:r>
          </w:p>
        </w:tc>
        <w:tc>
          <w:tcPr>
            <w:tcW w:type="dxa" w:w="1080"/>
          </w:tcPr>
          <w:p>
            <w:r/>
            <w:r>
              <w:rPr>
                <w:b w:val="0"/>
                <w:color w:val="C00000"/>
              </w:rPr>
              <w:t>0.572</w:t>
            </w:r>
          </w:p>
        </w:tc>
        <w:tc>
          <w:tcPr>
            <w:tcW w:type="dxa" w:w="1080"/>
          </w:tcPr>
          <w:p>
            <w:r/>
            <w:r>
              <w:rPr>
                <w:b w:val="0"/>
                <w:color w:val="C00000"/>
              </w:rPr>
              <w:t>0.226</w:t>
            </w:r>
          </w:p>
        </w:tc>
        <w:tc>
          <w:tcPr>
            <w:tcW w:type="dxa" w:w="1080"/>
          </w:tcPr>
          <w:p>
            <w:r/>
            <w:r>
              <w:rPr>
                <w:b w:val="0"/>
                <w:color w:val="C00000"/>
              </w:rPr>
              <w:t>0.143</w:t>
            </w:r>
          </w:p>
        </w:tc>
      </w:tr>
      <w:tr>
        <w:tc>
          <w:tcPr>
            <w:tcW w:type="dxa" w:w="1080"/>
          </w:tcPr>
          <w:p>
            <w:r/>
            <w:r>
              <w:rPr>
                <w:b w:val="0"/>
                <w:color w:val="C00000"/>
              </w:rPr>
              <w:t>At-Risk</w:t>
            </w:r>
          </w:p>
        </w:tc>
        <w:tc>
          <w:tcPr>
            <w:tcW w:type="dxa" w:w="1080"/>
          </w:tcPr>
          <w:p>
            <w:r/>
            <w:r>
              <w:rPr>
                <w:b w:val="0"/>
                <w:color w:val="C00000"/>
              </w:rPr>
              <w:t>residence_type</w:t>
            </w:r>
          </w:p>
        </w:tc>
        <w:tc>
          <w:tcPr>
            <w:tcW w:type="dxa" w:w="1080"/>
          </w:tcPr>
          <w:p>
            <w:r/>
            <w:r>
              <w:rPr>
                <w:b w:val="0"/>
                <w:color w:val="C00000"/>
              </w:rPr>
              <w:t>RURAL</w:t>
            </w:r>
          </w:p>
        </w:tc>
        <w:tc>
          <w:tcPr>
            <w:tcW w:type="dxa" w:w="1080"/>
          </w:tcPr>
          <w:p>
            <w:r/>
            <w:r>
              <w:rPr>
                <w:b w:val="0"/>
                <w:color w:val="C00000"/>
              </w:rPr>
              <w:t>370</w:t>
            </w:r>
          </w:p>
        </w:tc>
        <w:tc>
          <w:tcPr>
            <w:tcW w:type="dxa" w:w="1080"/>
          </w:tcPr>
          <w:p>
            <w:r/>
            <w:r>
              <w:rPr>
                <w:b w:val="0"/>
                <w:color w:val="C00000"/>
              </w:rPr>
              <w:t>0.6</w:t>
            </w:r>
          </w:p>
        </w:tc>
        <w:tc>
          <w:tcPr>
            <w:tcW w:type="dxa" w:w="1080"/>
          </w:tcPr>
          <w:p>
            <w:r/>
            <w:r>
              <w:rPr>
                <w:b w:val="0"/>
                <w:color w:val="C00000"/>
              </w:rPr>
              <w:t>0.701</w:t>
            </w:r>
          </w:p>
        </w:tc>
        <w:tc>
          <w:tcPr>
            <w:tcW w:type="dxa" w:w="1080"/>
          </w:tcPr>
          <w:p>
            <w:r/>
            <w:r>
              <w:rPr>
                <w:b w:val="0"/>
                <w:color w:val="C00000"/>
              </w:rPr>
              <w:t>0.219</w:t>
            </w:r>
          </w:p>
        </w:tc>
        <w:tc>
          <w:tcPr>
            <w:tcW w:type="dxa" w:w="1080"/>
          </w:tcPr>
          <w:p>
            <w:r/>
            <w:r>
              <w:rPr>
                <w:b w:val="0"/>
                <w:color w:val="C00000"/>
              </w:rPr>
              <w:t>0.115</w:t>
            </w:r>
          </w:p>
        </w:tc>
      </w:tr>
      <w:tr>
        <w:tc>
          <w:tcPr>
            <w:tcW w:type="dxa" w:w="1080"/>
          </w:tcPr>
          <w:p>
            <w:r/>
            <w:r>
              <w:rPr>
                <w:b w:val="0"/>
                <w:color w:val="C00000"/>
              </w:rPr>
              <w:t>At-Risk</w:t>
            </w:r>
          </w:p>
        </w:tc>
        <w:tc>
          <w:tcPr>
            <w:tcW w:type="dxa" w:w="1080"/>
          </w:tcPr>
          <w:p>
            <w:r/>
            <w:r>
              <w:rPr>
                <w:b w:val="0"/>
                <w:color w:val="C00000"/>
              </w:rPr>
              <w:t>residence_type</w:t>
            </w:r>
          </w:p>
        </w:tc>
        <w:tc>
          <w:tcPr>
            <w:tcW w:type="dxa" w:w="1080"/>
          </w:tcPr>
          <w:p>
            <w:r/>
            <w:r>
              <w:rPr>
                <w:b w:val="0"/>
                <w:color w:val="C00000"/>
              </w:rPr>
              <w:t>URBAN</w:t>
            </w:r>
          </w:p>
        </w:tc>
        <w:tc>
          <w:tcPr>
            <w:tcW w:type="dxa" w:w="1080"/>
          </w:tcPr>
          <w:p>
            <w:r/>
            <w:r>
              <w:rPr>
                <w:b w:val="0"/>
                <w:color w:val="C00000"/>
              </w:rPr>
              <w:t>1008</w:t>
            </w:r>
          </w:p>
        </w:tc>
        <w:tc>
          <w:tcPr>
            <w:tcW w:type="dxa" w:w="1080"/>
          </w:tcPr>
          <w:p>
            <w:r/>
            <w:r>
              <w:rPr>
                <w:b w:val="0"/>
                <w:color w:val="C00000"/>
              </w:rPr>
              <w:t>0.652</w:t>
            </w:r>
          </w:p>
        </w:tc>
        <w:tc>
          <w:tcPr>
            <w:tcW w:type="dxa" w:w="1080"/>
          </w:tcPr>
          <w:p>
            <w:r/>
            <w:r>
              <w:rPr>
                <w:b w:val="0"/>
                <w:color w:val="C00000"/>
              </w:rPr>
              <w:t>0.586</w:t>
            </w:r>
          </w:p>
        </w:tc>
        <w:tc>
          <w:tcPr>
            <w:tcW w:type="dxa" w:w="1080"/>
          </w:tcPr>
          <w:p>
            <w:r/>
            <w:r>
              <w:rPr>
                <w:b w:val="0"/>
                <w:color w:val="C00000"/>
              </w:rPr>
              <w:t>0.197</w:t>
            </w:r>
          </w:p>
        </w:tc>
        <w:tc>
          <w:tcPr>
            <w:tcW w:type="dxa" w:w="1080"/>
          </w:tcPr>
          <w:p>
            <w:r/>
            <w:r>
              <w:rPr>
                <w:b w:val="0"/>
                <w:color w:val="C00000"/>
              </w:rPr>
              <w:t>0.115</w:t>
            </w:r>
          </w:p>
        </w:tc>
      </w:tr>
      <w:tr>
        <w:tc>
          <w:tcPr>
            <w:tcW w:type="dxa" w:w="1080"/>
          </w:tcPr>
          <w:p>
            <w:r/>
            <w:r>
              <w:rPr>
                <w:b w:val="0"/>
                <w:color w:val="C00000"/>
              </w:rPr>
              <w:t>At-Risk</w:t>
            </w:r>
          </w:p>
        </w:tc>
        <w:tc>
          <w:tcPr>
            <w:tcW w:type="dxa" w:w="1080"/>
          </w:tcPr>
          <w:p>
            <w:r/>
            <w:r>
              <w:rPr>
                <w:b w:val="0"/>
                <w:color w:val="C00000"/>
              </w:rPr>
              <w:t>family_income_bracket</w:t>
            </w:r>
          </w:p>
        </w:tc>
        <w:tc>
          <w:tcPr>
            <w:tcW w:type="dxa" w:w="1080"/>
          </w:tcPr>
          <w:p>
            <w:r/>
            <w:r>
              <w:rPr>
                <w:b w:val="0"/>
                <w:color w:val="C00000"/>
              </w:rPr>
              <w:t>2.5 Lakh to 8 Lakh</w:t>
            </w:r>
          </w:p>
        </w:tc>
        <w:tc>
          <w:tcPr>
            <w:tcW w:type="dxa" w:w="1080"/>
          </w:tcPr>
          <w:p>
            <w:r/>
            <w:r>
              <w:rPr>
                <w:b w:val="0"/>
                <w:color w:val="C00000"/>
              </w:rPr>
              <w:t>414</w:t>
            </w:r>
          </w:p>
        </w:tc>
        <w:tc>
          <w:tcPr>
            <w:tcW w:type="dxa" w:w="1080"/>
          </w:tcPr>
          <w:p>
            <w:r/>
            <w:r>
              <w:rPr>
                <w:b w:val="0"/>
                <w:color w:val="C00000"/>
              </w:rPr>
              <w:t>0.674</w:t>
            </w:r>
          </w:p>
        </w:tc>
        <w:tc>
          <w:tcPr>
            <w:tcW w:type="dxa" w:w="1080"/>
          </w:tcPr>
          <w:p>
            <w:r/>
            <w:r>
              <w:rPr>
                <w:b w:val="0"/>
                <w:color w:val="C00000"/>
              </w:rPr>
              <w:t>0.548</w:t>
            </w:r>
          </w:p>
        </w:tc>
        <w:tc>
          <w:tcPr>
            <w:tcW w:type="dxa" w:w="1080"/>
          </w:tcPr>
          <w:p>
            <w:r/>
            <w:r>
              <w:rPr>
                <w:b w:val="0"/>
                <w:color w:val="C00000"/>
              </w:rPr>
              <w:t>0.192</w:t>
            </w:r>
          </w:p>
        </w:tc>
        <w:tc>
          <w:tcPr>
            <w:tcW w:type="dxa" w:w="1080"/>
          </w:tcPr>
          <w:p>
            <w:r/>
            <w:r>
              <w:rPr>
                <w:b w:val="0"/>
                <w:color w:val="C00000"/>
              </w:rPr>
              <w:t>0.249</w:t>
            </w:r>
          </w:p>
        </w:tc>
      </w:tr>
      <w:tr>
        <w:tc>
          <w:tcPr>
            <w:tcW w:type="dxa" w:w="1080"/>
          </w:tcPr>
          <w:p>
            <w:r/>
            <w:r>
              <w:rPr>
                <w:b w:val="0"/>
                <w:color w:val="C00000"/>
              </w:rPr>
              <w:t>At-Risk</w:t>
            </w:r>
          </w:p>
        </w:tc>
        <w:tc>
          <w:tcPr>
            <w:tcW w:type="dxa" w:w="1080"/>
          </w:tcPr>
          <w:p>
            <w:r/>
            <w:r>
              <w:rPr>
                <w:b w:val="0"/>
                <w:color w:val="C00000"/>
              </w:rPr>
              <w:t>family_income_bracket</w:t>
            </w:r>
          </w:p>
        </w:tc>
        <w:tc>
          <w:tcPr>
            <w:tcW w:type="dxa" w:w="1080"/>
          </w:tcPr>
          <w:p>
            <w:r/>
            <w:r>
              <w:rPr>
                <w:b w:val="0"/>
                <w:color w:val="C00000"/>
              </w:rPr>
              <w:t>8 Lakh to 15 Lakh</w:t>
            </w:r>
          </w:p>
        </w:tc>
        <w:tc>
          <w:tcPr>
            <w:tcW w:type="dxa" w:w="1080"/>
          </w:tcPr>
          <w:p>
            <w:r/>
            <w:r>
              <w:rPr>
                <w:b w:val="0"/>
                <w:color w:val="C00000"/>
              </w:rPr>
              <w:t>167</w:t>
            </w:r>
          </w:p>
        </w:tc>
        <w:tc>
          <w:tcPr>
            <w:tcW w:type="dxa" w:w="1080"/>
          </w:tcPr>
          <w:p>
            <w:r/>
            <w:r>
              <w:rPr>
                <w:b w:val="0"/>
                <w:color w:val="C00000"/>
              </w:rPr>
              <w:t>0.671</w:t>
            </w:r>
          </w:p>
        </w:tc>
        <w:tc>
          <w:tcPr>
            <w:tcW w:type="dxa" w:w="1080"/>
          </w:tcPr>
          <w:p>
            <w:r/>
            <w:r>
              <w:rPr>
                <w:b w:val="0"/>
                <w:color w:val="C00000"/>
              </w:rPr>
              <w:t>0.587</w:t>
            </w:r>
          </w:p>
        </w:tc>
        <w:tc>
          <w:tcPr>
            <w:tcW w:type="dxa" w:w="1080"/>
          </w:tcPr>
          <w:p>
            <w:r/>
            <w:r>
              <w:rPr>
                <w:b w:val="0"/>
                <w:color w:val="C00000"/>
              </w:rPr>
              <w:t>0.186</w:t>
            </w:r>
          </w:p>
        </w:tc>
        <w:tc>
          <w:tcPr>
            <w:tcW w:type="dxa" w:w="1080"/>
          </w:tcPr>
          <w:p>
            <w:r/>
            <w:r>
              <w:rPr>
                <w:b w:val="0"/>
                <w:color w:val="C00000"/>
              </w:rPr>
              <w:t>0.249</w:t>
            </w:r>
          </w:p>
        </w:tc>
      </w:tr>
      <w:tr>
        <w:tc>
          <w:tcPr>
            <w:tcW w:type="dxa" w:w="1080"/>
          </w:tcPr>
          <w:p>
            <w:r/>
            <w:r>
              <w:rPr>
                <w:b w:val="0"/>
                <w:color w:val="C00000"/>
              </w:rPr>
              <w:t>At-Risk</w:t>
            </w:r>
          </w:p>
        </w:tc>
        <w:tc>
          <w:tcPr>
            <w:tcW w:type="dxa" w:w="1080"/>
          </w:tcPr>
          <w:p>
            <w:r/>
            <w:r>
              <w:rPr>
                <w:b w:val="0"/>
                <w:color w:val="C00000"/>
              </w:rPr>
              <w:t>family_income_bracket</w:t>
            </w:r>
          </w:p>
        </w:tc>
        <w:tc>
          <w:tcPr>
            <w:tcW w:type="dxa" w:w="1080"/>
          </w:tcPr>
          <w:p>
            <w:r/>
            <w:r>
              <w:rPr>
                <w:b w:val="0"/>
                <w:color w:val="C00000"/>
              </w:rPr>
              <w:t>Less than 2.5 Lakh</w:t>
            </w:r>
          </w:p>
        </w:tc>
        <w:tc>
          <w:tcPr>
            <w:tcW w:type="dxa" w:w="1080"/>
          </w:tcPr>
          <w:p>
            <w:r/>
            <w:r>
              <w:rPr>
                <w:b w:val="0"/>
                <w:color w:val="C00000"/>
              </w:rPr>
              <w:t>737</w:t>
            </w:r>
          </w:p>
        </w:tc>
        <w:tc>
          <w:tcPr>
            <w:tcW w:type="dxa" w:w="1080"/>
          </w:tcPr>
          <w:p>
            <w:r/>
            <w:r>
              <w:rPr>
                <w:b w:val="0"/>
                <w:color w:val="C00000"/>
              </w:rPr>
              <w:t>0.604</w:t>
            </w:r>
          </w:p>
        </w:tc>
        <w:tc>
          <w:tcPr>
            <w:tcW w:type="dxa" w:w="1080"/>
          </w:tcPr>
          <w:p>
            <w:r/>
            <w:r>
              <w:rPr>
                <w:b w:val="0"/>
                <w:color w:val="C00000"/>
              </w:rPr>
              <w:t>0.678</w:t>
            </w:r>
          </w:p>
        </w:tc>
        <w:tc>
          <w:tcPr>
            <w:tcW w:type="dxa" w:w="1080"/>
          </w:tcPr>
          <w:p>
            <w:r/>
            <w:r>
              <w:rPr>
                <w:b w:val="0"/>
                <w:color w:val="C00000"/>
              </w:rPr>
              <w:t>0.216</w:t>
            </w:r>
          </w:p>
        </w:tc>
        <w:tc>
          <w:tcPr>
            <w:tcW w:type="dxa" w:w="1080"/>
          </w:tcPr>
          <w:p>
            <w:r/>
            <w:r>
              <w:rPr>
                <w:b w:val="0"/>
                <w:color w:val="C00000"/>
              </w:rPr>
              <w:t>0.249</w:t>
            </w:r>
          </w:p>
        </w:tc>
      </w:tr>
      <w:tr>
        <w:tc>
          <w:tcPr>
            <w:tcW w:type="dxa" w:w="1080"/>
          </w:tcPr>
          <w:p>
            <w:r/>
            <w:r>
              <w:rPr>
                <w:b w:val="0"/>
                <w:color w:val="C00000"/>
              </w:rPr>
              <w:t>At-Risk</w:t>
            </w:r>
          </w:p>
        </w:tc>
        <w:tc>
          <w:tcPr>
            <w:tcW w:type="dxa" w:w="1080"/>
          </w:tcPr>
          <w:p>
            <w:r/>
            <w:r>
              <w:rPr>
                <w:b w:val="0"/>
                <w:color w:val="C00000"/>
              </w:rPr>
              <w:t>family_income_bracket</w:t>
            </w:r>
          </w:p>
        </w:tc>
        <w:tc>
          <w:tcPr>
            <w:tcW w:type="dxa" w:w="1080"/>
          </w:tcPr>
          <w:p>
            <w:r/>
            <w:r>
              <w:rPr>
                <w:b w:val="0"/>
                <w:color w:val="C00000"/>
              </w:rPr>
              <w:t>More than  15 Lakh</w:t>
            </w:r>
          </w:p>
        </w:tc>
        <w:tc>
          <w:tcPr>
            <w:tcW w:type="dxa" w:w="1080"/>
          </w:tcPr>
          <w:p>
            <w:r/>
            <w:r>
              <w:rPr>
                <w:b w:val="0"/>
                <w:color w:val="C00000"/>
              </w:rPr>
              <w:t>60</w:t>
            </w:r>
          </w:p>
        </w:tc>
        <w:tc>
          <w:tcPr>
            <w:tcW w:type="dxa" w:w="1080"/>
          </w:tcPr>
          <w:p>
            <w:r/>
            <w:r>
              <w:rPr>
                <w:b w:val="0"/>
                <w:color w:val="C00000"/>
              </w:rPr>
              <w:t>0.704</w:t>
            </w:r>
          </w:p>
        </w:tc>
        <w:tc>
          <w:tcPr>
            <w:tcW w:type="dxa" w:w="1080"/>
          </w:tcPr>
          <w:p>
            <w:r/>
            <w:r>
              <w:rPr>
                <w:b w:val="0"/>
                <w:color w:val="C00000"/>
              </w:rPr>
              <w:t>0.429</w:t>
            </w:r>
          </w:p>
        </w:tc>
        <w:tc>
          <w:tcPr>
            <w:tcW w:type="dxa" w:w="1080"/>
          </w:tcPr>
          <w:p>
            <w:r/>
            <w:r>
              <w:rPr>
                <w:b w:val="0"/>
                <w:color w:val="C00000"/>
              </w:rPr>
              <w:t>0.159</w:t>
            </w:r>
          </w:p>
        </w:tc>
        <w:tc>
          <w:tcPr>
            <w:tcW w:type="dxa" w:w="1080"/>
          </w:tcPr>
          <w:p>
            <w:r/>
            <w:r>
              <w:rPr>
                <w:b w:val="0"/>
                <w:color w:val="C00000"/>
              </w:rPr>
              <w:t>0.249</w:t>
            </w:r>
          </w:p>
        </w:tc>
      </w:tr>
    </w:tbl>
    <w:p/>
    <w:p>
      <w:r>
        <w:rPr>
          <w:b/>
          <w:color w:val="C00000"/>
        </w:rPr>
        <w:t>Discussion.</w:t>
      </w:r>
      <w:r>
        <w:rPr>
          <w:b w:val="0"/>
          <w:color w:val="C00000"/>
        </w:rPr>
        <w:t xml:space="preserve"> The presence of `gender` among top SHAP features does </w:t>
      </w:r>
      <w:r>
        <w:rPr>
          <w:b/>
          <w:color w:val="C00000"/>
        </w:rPr>
        <w:t>not</w:t>
      </w:r>
      <w:r>
        <w:rPr>
          <w:b w:val="0"/>
          <w:color w:val="C00000"/>
        </w:rPr>
        <w:t xml:space="preserve"> imply that the framework treats gender as a causal driver of academic outcome; it reflects correlations in the regional dataset between gender and study-context variables. We therefore advise that any institutional deployment (i) monitor disparate impact via the equalised-odds gap, (ii) apply post-hoc reweighting when this gap exceeds an operationally chosen threshold, and (iii) restrict recommendations to features marked *modifiable* in `MODIFIABLE_FEATURES`, never to immutable demographic features.</w:t>
      </w:r>
    </w:p>
    <w:p>
      <w:r>
        <w:br w:type="page"/>
      </w:r>
    </w:p>
    <w:p>
      <w:pPr>
        <w:pStyle w:val="Heading1"/>
      </w:pPr>
      <w:r>
        <w:rPr>
          <w:color w:val="000000"/>
        </w:rPr>
        <w:t>11_section_5_5_text_corrections.md</w:t>
      </w:r>
    </w:p>
    <w:p>
      <w:pPr>
        <w:pStyle w:val="Heading1"/>
      </w:pPr>
      <w:r>
        <w:rPr>
          <w:color w:val="C00000"/>
        </w:rPr>
        <w:t>Patch 11 — Numerical / formatting corrections in §5.3, §5.5 (R1.8, R1.9, R1.10)</w:t>
      </w:r>
    </w:p>
    <w:p/>
    <w:p>
      <w:pPr>
        <w:pStyle w:val="Heading2"/>
      </w:pPr>
      <w:r>
        <w:rPr>
          <w:color w:val="C00000"/>
        </w:rPr>
        <w:t>R1.8 — `3.800d7` artefact in §5.5 / §5.5 Discussion</w:t>
      </w:r>
    </w:p>
    <w:p/>
    <w:p>
      <w:r>
        <w:rPr>
          <w:b w:val="0"/>
          <w:color w:val="C00000"/>
        </w:rPr>
        <w:t>Replace:</w:t>
      </w:r>
    </w:p>
    <w:p/>
    <w:p>
      <w:r>
        <w:rPr>
          <w:b w:val="0"/>
          <w:color w:val="C00000"/>
        </w:rPr>
        <w:t>&gt; "academic_index (SHAP=0.126 for at-risk) is 3.800d7 more influential than the next raw feature (tenth_percentage, SHAP=0.033)."</w:t>
      </w:r>
    </w:p>
    <w:p/>
    <w:p>
      <w:r>
        <w:rPr>
          <w:b w:val="0"/>
          <w:color w:val="C00000"/>
        </w:rPr>
        <w:t>With:</w:t>
      </w:r>
    </w:p>
    <w:p/>
    <w:p>
      <w:r>
        <w:rPr>
          <w:b w:val="0"/>
          <w:color w:val="C00000"/>
        </w:rPr>
        <w:t xml:space="preserve">&gt; "academic_index (SHAP = 0.126 for at-risk) is </w:t>
      </w:r>
      <w:r>
        <w:rPr>
          <w:b/>
          <w:color w:val="C00000"/>
        </w:rPr>
        <w:t>approximately 3.82× more influential</w:t>
      </w:r>
      <w:r>
        <w:rPr>
          <w:b w:val="0"/>
          <w:color w:val="C00000"/>
        </w:rPr>
        <w:t xml:space="preserve"> than the next raw feature (tenth_percentage, SHAP = 0.033)."</w:t>
      </w:r>
    </w:p>
    <w:p/>
    <w:p>
      <w:pPr>
        <w:pStyle w:val="Heading2"/>
      </w:pPr>
      <w:r>
        <w:rPr>
          <w:color w:val="C00000"/>
        </w:rPr>
        <w:t>R1.9 — `6.600d7` artefact in §5.5 Discussion</w:t>
      </w:r>
    </w:p>
    <w:p/>
    <w:p>
      <w:r>
        <w:rPr>
          <w:b w:val="0"/>
          <w:color w:val="C00000"/>
        </w:rPr>
        <w:t>Replace:</w:t>
      </w:r>
    </w:p>
    <w:p/>
    <w:p>
      <w:r>
        <w:rPr>
          <w:b w:val="0"/>
          <w:color w:val="C00000"/>
        </w:rPr>
        <w:t>&gt; "the highest-impact intervention (workshop participation) has a SHAP impact 6.600d7 larger than the fifth-ranked factor (teamwork skills)"</w:t>
      </w:r>
    </w:p>
    <w:p/>
    <w:p>
      <w:r>
        <w:rPr>
          <w:b w:val="0"/>
          <w:color w:val="C00000"/>
        </w:rPr>
        <w:t>With:</w:t>
      </w:r>
    </w:p>
    <w:p/>
    <w:p>
      <w:r>
        <w:rPr>
          <w:b w:val="0"/>
          <w:color w:val="C00000"/>
        </w:rPr>
        <w:t xml:space="preserve">&gt; "the highest-impact intervention (workshop participation) has a SHAP impact </w:t>
      </w:r>
      <w:r>
        <w:rPr>
          <w:b/>
          <w:color w:val="C00000"/>
        </w:rPr>
        <w:t>approximately 6.62× larger</w:t>
      </w:r>
      <w:r>
        <w:rPr>
          <w:b w:val="0"/>
          <w:color w:val="C00000"/>
        </w:rPr>
        <w:t xml:space="preserve"> than the fifth-ranked factor (teamwork skills)"</w:t>
      </w:r>
    </w:p>
    <w:p/>
    <w:p>
      <w:pPr>
        <w:pStyle w:val="Heading2"/>
      </w:pPr>
      <w:r>
        <w:rPr>
          <w:color w:val="C00000"/>
        </w:rPr>
        <w:t>R1.10 — Transformer F1 range consistency in §5.2</w:t>
      </w:r>
    </w:p>
    <w:p/>
    <w:p>
      <w:r>
        <w:rPr>
          <w:b w:val="0"/>
          <w:color w:val="C00000"/>
        </w:rPr>
        <w:t>Replace:</w:t>
      </w:r>
    </w:p>
    <w:p/>
    <w:p>
      <w:r>
        <w:rPr>
          <w:b w:val="0"/>
          <w:color w:val="C00000"/>
        </w:rPr>
        <w:t>&gt; "Transformer-based models struggle: FT-Transformer and SAINT significantly underperform on all objectives (F1=0.41–0.58)"</w:t>
      </w:r>
    </w:p>
    <w:p/>
    <w:p>
      <w:r>
        <w:rPr>
          <w:b w:val="0"/>
          <w:color w:val="C00000"/>
        </w:rPr>
        <w:t>With:</w:t>
      </w:r>
    </w:p>
    <w:p/>
    <w:p>
      <w:r>
        <w:rPr>
          <w:b w:val="0"/>
          <w:color w:val="C00000"/>
        </w:rPr>
        <w:t xml:space="preserve">&gt; "Transformer-based models struggle: FT-Transformer and SAINT significantly underperform on all objectives (F1 = </w:t>
      </w:r>
      <w:r>
        <w:rPr>
          <w:b/>
          <w:color w:val="C00000"/>
        </w:rPr>
        <w:t>0.42–0.58</w:t>
      </w:r>
      <w:r>
        <w:rPr>
          <w:b w:val="0"/>
          <w:color w:val="C00000"/>
        </w:rPr>
        <w:t>)"</w:t>
      </w:r>
    </w:p>
    <w:p/>
    <w:p>
      <w:r>
        <w:rPr>
          <w:b w:val="0"/>
          <w:color w:val="C00000"/>
        </w:rPr>
        <w:t>(matches the rounded values in Table 4: 0.423–0.584)</w:t>
      </w:r>
    </w:p>
    <w:p>
      <w:r>
        <w:br w:type="page"/>
      </w:r>
    </w:p>
    <w:p>
      <w:pPr>
        <w:pStyle w:val="Heading1"/>
      </w:pPr>
      <w:r>
        <w:rPr>
          <w:color w:val="000000"/>
        </w:rPr>
        <w:t>12_section_6_threats_validity_addendum.md</w:t>
      </w:r>
    </w:p>
    <w:p>
      <w:pPr>
        <w:pStyle w:val="Heading1"/>
      </w:pPr>
      <w:r>
        <w:rPr>
          <w:color w:val="C00000"/>
        </w:rPr>
        <w:t>Patch 12 — Threats-to-Validity addendum and §6 reframing (R2.2)</w:t>
      </w:r>
    </w:p>
    <w:p/>
    <w:p>
      <w:pPr>
        <w:pStyle w:val="Heading2"/>
      </w:pPr>
      <w:r>
        <w:rPr>
          <w:color w:val="C00000"/>
        </w:rPr>
        <w:t>Append to §5.7 (Threats to Validity)</w:t>
      </w:r>
    </w:p>
    <w:p/>
    <w:p>
      <w:r>
        <w:rPr>
          <w:b w:val="0"/>
          <w:color w:val="C00000"/>
        </w:rPr>
        <w:t>Add the following bullet:</w:t>
      </w:r>
    </w:p>
    <w:p/>
    <w:p>
      <w:r>
        <w:rPr>
          <w:b w:val="0"/>
          <w:color w:val="C00000"/>
        </w:rPr>
        <w:t xml:space="preserve">&gt; </w:t>
      </w:r>
      <w:r>
        <w:rPr>
          <w:b/>
          <w:color w:val="C00000"/>
        </w:rPr>
        <w:t>Causal validity.</w:t>
      </w:r>
      <w:r>
        <w:rPr>
          <w:b w:val="0"/>
          <w:color w:val="C00000"/>
        </w:rPr>
        <w:t xml:space="preserve"> SHAP attributions are associational and not, on their own, sufficient to support intervention prioritisation. The propensity-score-matched analysis in §5.5 provides a plausibility check showing that the directional signs of the SHAP-derived recommendations are consistent with directional ATT estimates after controlling for measured confounders, but observational matching cannot rule out unobserved confounding. Recommendations should therefore be interpreted as </w:t>
      </w:r>
      <w:r>
        <w:rPr>
          <w:b/>
          <w:color w:val="C00000"/>
        </w:rPr>
        <w:t>hypothesis-generating decision support for academic advisors</w:t>
      </w:r>
      <w:r>
        <w:rPr>
          <w:b w:val="0"/>
          <w:color w:val="C00000"/>
        </w:rPr>
        <w:t>, not as established causal interventions. Validation requires longitudinal panel data or randomised cluster-level interventions, identified as principal future-work items in §6.</w:t>
      </w:r>
    </w:p>
    <w:p/>
    <w:p>
      <w:pPr>
        <w:pStyle w:val="Heading2"/>
      </w:pPr>
      <w:r>
        <w:rPr>
          <w:color w:val="C00000"/>
        </w:rPr>
        <w:t>Replace the future-work paragraph in §6 with</w:t>
      </w:r>
    </w:p>
    <w:p/>
    <w:p>
      <w:r>
        <w:rPr>
          <w:b w:val="0"/>
          <w:color w:val="C00000"/>
        </w:rPr>
        <w:t>&gt; Future work includes: (1) cluster-randomised intervention trials at the institute level for the top-ranked modifiable features (workshop participation, peer-group quality, stress coping), (2) longitudinal extension to a multi-semester panel that allows directed acyclic-graph-based causal inference, (3) external validation on multi-institutional and multi-disciplinary datasets across different educational systems, (4) integration of structural causal-effect estimators (g-formula, doubly-robust ATE estimation), (5) interactive dashboard development for real-time advisor use with embedded fairness monitors, and (6) extension to sequential prediction using temporal student data.</w:t>
      </w:r>
    </w:p>
    <w:p>
      <w:r>
        <w:br w:type="page"/>
      </w:r>
    </w:p>
    <w:p>
      <w:pPr>
        <w:pStyle w:val="Heading1"/>
      </w:pPr>
      <w:r>
        <w:rPr>
          <w:color w:val="000000"/>
        </w:rPr>
        <w:t>13_appendix_a_replication.md</w:t>
      </w:r>
    </w:p>
    <w:p>
      <w:pPr>
        <w:pStyle w:val="Heading1"/>
      </w:pPr>
      <w:r>
        <w:rPr>
          <w:color w:val="C00000"/>
        </w:rPr>
        <w:t>Patch 13 — New Appendix A Replication Package (R2.3)</w:t>
      </w:r>
    </w:p>
    <w:p/>
    <w:p>
      <w:r>
        <w:rPr>
          <w:b w:val="0"/>
          <w:color w:val="C00000"/>
        </w:rPr>
        <w:t>Insert as a new Appendix A immediately before the References section.</w:t>
      </w:r>
    </w:p>
    <w:p/>
    <w:p>
      <w:pPr>
        <w:pStyle w:val="Heading2"/>
      </w:pPr>
      <w:r>
        <w:rPr>
          <w:color w:val="C00000"/>
        </w:rPr>
        <w:t>Appendix A. Replication Package</w:t>
      </w:r>
    </w:p>
    <w:p/>
    <w:p>
      <w:r>
        <w:rPr>
          <w:b w:val="0"/>
          <w:color w:val="C00000"/>
        </w:rPr>
        <w:t>The complete pipeline used in this paper is publicly released at</w:t>
      </w:r>
    </w:p>
    <w:p/>
    <w:p>
      <w:r>
        <w:rPr>
          <w:b w:val="0"/>
          <w:color w:val="C00000"/>
        </w:rPr>
        <w:t>&gt; https://github.com/shikhapachouly/student-recommondation</w:t>
      </w:r>
    </w:p>
    <w:p/>
    <w:p>
      <w:r>
        <w:rPr>
          <w:b w:val="0"/>
          <w:color w:val="C00000"/>
        </w:rPr>
        <w:t>under the MIT licence. The repository includes preprocessed data tensors, training/CV scripts, the SHAP-based recommendation engine, and the revision-cycle modules described in this appendix. The dataset is available for legitimate academic research on signed data-use agreement.</w:t>
      </w:r>
    </w:p>
    <w:p/>
    <w:p>
      <w:r>
        <w:rPr>
          <w:b w:val="0"/>
          <w:color w:val="C00000"/>
        </w:rPr>
        <w:t>The four tables that follow are produced verbatim by `python -m revision.code.replication_tables` and are committed under `recent-review-comments/revision/output/tables/`.</w:t>
      </w:r>
    </w:p>
    <w:p/>
    <w:p>
      <w:r>
        <w:rPr>
          <w:b w:val="0"/>
          <w:color w:val="C00000"/>
        </w:rPr>
        <w:t xml:space="preserve">* </w:t>
      </w:r>
      <w:r>
        <w:rPr>
          <w:b/>
          <w:color w:val="C00000"/>
        </w:rPr>
        <w:t>Table A1</w:t>
      </w:r>
      <w:r>
        <w:rPr>
          <w:b w:val="0"/>
          <w:color w:val="C00000"/>
        </w:rPr>
        <w:t xml:space="preserve"> — Optuna search space per model</w:t>
      </w:r>
    </w:p>
    <w:p>
      <w:r>
        <w:rPr>
          <w:b w:val="0"/>
          <w:color w:val="C00000"/>
        </w:rPr>
        <w:t xml:space="preserve">  *(`tableA1_search_spaces.md`)*</w:t>
      </w:r>
    </w:p>
    <w:p>
      <w:r>
        <w:rPr>
          <w:b w:val="0"/>
          <w:color w:val="C00000"/>
        </w:rPr>
        <w:t xml:space="preserve">* </w:t>
      </w:r>
      <w:r>
        <w:rPr>
          <w:b/>
          <w:color w:val="C00000"/>
        </w:rPr>
        <w:t>Table A2</w:t>
      </w:r>
      <w:r>
        <w:rPr>
          <w:b w:val="0"/>
          <w:color w:val="C00000"/>
        </w:rPr>
        <w:t xml:space="preserve"> — Best hyperparameters per (model × objective)</w:t>
      </w:r>
    </w:p>
    <w:p>
      <w:r>
        <w:rPr>
          <w:b w:val="0"/>
          <w:color w:val="C00000"/>
        </w:rPr>
        <w:t xml:space="preserve">  *(`tableA2_best_hyperparams.md`)*</w:t>
      </w:r>
    </w:p>
    <w:p>
      <w:r>
        <w:rPr>
          <w:b w:val="0"/>
          <w:color w:val="C00000"/>
        </w:rPr>
        <w:t xml:space="preserve">* </w:t>
      </w:r>
      <w:r>
        <w:rPr>
          <w:b/>
          <w:color w:val="C00000"/>
        </w:rPr>
        <w:t>Table A3</w:t>
      </w:r>
      <w:r>
        <w:rPr>
          <w:b w:val="0"/>
          <w:color w:val="C00000"/>
        </w:rPr>
        <w:t xml:space="preserve"> — Preprocessing mappings (ordinal encodings, binary columns, low-variance drops, target features)</w:t>
      </w:r>
    </w:p>
    <w:p>
      <w:r>
        <w:rPr>
          <w:b w:val="0"/>
          <w:color w:val="C00000"/>
        </w:rPr>
        <w:t xml:space="preserve">  *(`tableA3_preprocessing.md`)*</w:t>
      </w:r>
    </w:p>
    <w:p>
      <w:r>
        <w:rPr>
          <w:b w:val="0"/>
          <w:color w:val="C00000"/>
        </w:rPr>
        <w:t xml:space="preserve">* </w:t>
      </w:r>
      <w:r>
        <w:rPr>
          <w:b/>
          <w:color w:val="C00000"/>
        </w:rPr>
        <w:t>Table A4</w:t>
      </w:r>
      <w:r>
        <w:rPr>
          <w:b w:val="0"/>
          <w:color w:val="C00000"/>
        </w:rPr>
        <w:t xml:space="preserve"> — Runtime / CV / SMOTE / SHAP configuration and software versions</w:t>
      </w:r>
    </w:p>
    <w:p>
      <w:r>
        <w:rPr>
          <w:b w:val="0"/>
          <w:color w:val="C00000"/>
        </w:rPr>
        <w:t xml:space="preserve">  *(`tableA4_runtime.md`)*</w:t>
      </w:r>
    </w:p>
    <w:p>
      <w:r>
        <w:rPr>
          <w:b w:val="0"/>
          <w:color w:val="C00000"/>
        </w:rPr>
        <w:t xml:space="preserve">* </w:t>
      </w:r>
      <w:r>
        <w:rPr>
          <w:b/>
          <w:color w:val="C00000"/>
        </w:rPr>
        <w:t>Table A5</w:t>
      </w:r>
      <w:r>
        <w:rPr>
          <w:b w:val="0"/>
          <w:color w:val="C00000"/>
        </w:rPr>
        <w:t xml:space="preserve"> — Per-feature classification trace (raw column → Table-2 category → recommendation tier)</w:t>
      </w:r>
    </w:p>
    <w:p>
      <w:r>
        <w:rPr>
          <w:b w:val="0"/>
          <w:color w:val="C00000"/>
        </w:rPr>
        <w:t xml:space="preserve">  *(`feature_audit_full.md`)*</w:t>
      </w:r>
    </w:p>
    <w:p>
      <w:r>
        <w:rPr>
          <w:b w:val="0"/>
          <w:color w:val="C00000"/>
        </w:rPr>
        <w:t xml:space="preserve">* </w:t>
      </w:r>
      <w:r>
        <w:rPr>
          <w:b/>
          <w:color w:val="C00000"/>
        </w:rPr>
        <w:t>Table A6</w:t>
      </w:r>
      <w:r>
        <w:rPr>
          <w:b w:val="0"/>
          <w:color w:val="C00000"/>
        </w:rPr>
        <w:t xml:space="preserve"> — Full per-subgroup fairness audit</w:t>
      </w:r>
    </w:p>
    <w:p>
      <w:r>
        <w:rPr>
          <w:b w:val="0"/>
          <w:color w:val="C00000"/>
        </w:rPr>
        <w:t xml:space="preserve">  *(`fairness_subgroups.md`)*</w:t>
      </w:r>
    </w:p>
    <w:p/>
    <w:p>
      <w:pPr>
        <w:pStyle w:val="Heading3"/>
      </w:pPr>
      <w:r>
        <w:rPr>
          <w:color w:val="C00000"/>
        </w:rPr>
        <w:t>Reproduction in three commands</w:t>
      </w:r>
    </w:p>
    <w:p/>
    <w:p>
      <w:r>
        <w:rPr>
          <w:rFonts w:ascii="Consolas" w:hAnsi="Consolas"/>
          <w:color w:val="C00000"/>
          <w:sz w:val="20"/>
        </w:rPr>
        <w:t>git clone https://github.com/shikhapachouly/student-recommondation.git</w:t>
      </w:r>
    </w:p>
    <w:p>
      <w:r>
        <w:rPr>
          <w:rFonts w:ascii="Consolas" w:hAnsi="Consolas"/>
          <w:color w:val="C00000"/>
          <w:sz w:val="20"/>
        </w:rPr>
        <w:t>pip install -r requirements.txt</w:t>
      </w:r>
    </w:p>
    <w:p>
      <w:r>
        <w:rPr>
          <w:rFonts w:ascii="Consolas" w:hAnsi="Consolas"/>
          <w:color w:val="C00000"/>
          <w:sz w:val="20"/>
        </w:rPr>
        <w:t>python -m src.pipeline --stage all       # produces all paper tables and figures</w:t>
      </w:r>
    </w:p>
    <w:p>
      <w:r>
        <w:rPr>
          <w:rFonts w:ascii="Consolas" w:hAnsi="Consolas"/>
          <w:color w:val="C00000"/>
          <w:sz w:val="20"/>
        </w:rPr>
        <w:t>python -m revision.code.run_all          # produces all revision tables and figures</w:t>
      </w:r>
    </w:p>
    <w:p/>
    <w:p>
      <w:r>
        <w:rPr>
          <w:b w:val="0"/>
          <w:color w:val="C00000"/>
        </w:rPr>
        <w:t xml:space="preserve">Random seeds: `numpy = 42`, `random = 42`, `torch.manual_seed = 42`. CV: `StratifiedKFold(n_splits=5, shuffle=True, random_state=42)`. SMOTE: `k_neighbors = 5`, `random_state = 42`, applied </w:t>
      </w:r>
      <w:r>
        <w:rPr>
          <w:b/>
          <w:color w:val="C00000"/>
        </w:rPr>
        <w:t>only</w:t>
      </w:r>
      <w:r>
        <w:rPr>
          <w:b w:val="0"/>
          <w:color w:val="C00000"/>
        </w:rPr>
        <w:t xml:space="preserve"> within each training fold.</w:t>
      </w:r>
    </w:p>
    <w:p>
      <w:r>
        <w:br w:type="page"/>
      </w:r>
    </w:p>
    <w:p>
      <w:pPr>
        <w:pStyle w:val="Heading1"/>
      </w:pPr>
      <w:r>
        <w:rPr>
          <w:color w:val="000000"/>
        </w:rPr>
        <w:t>14_table2_corrected.md</w:t>
      </w:r>
    </w:p>
    <w:p>
      <w:pPr>
        <w:pStyle w:val="Heading1"/>
      </w:pPr>
      <w:r>
        <w:rPr>
          <w:color w:val="C00000"/>
        </w:rPr>
        <w:t>Patch 14 — Corrected Table 2 (R1.6)</w:t>
      </w:r>
    </w:p>
    <w:p/>
    <w:p>
      <w:r>
        <w:rPr>
          <w:b w:val="0"/>
          <w:color w:val="C00000"/>
        </w:rPr>
        <w:t>Replace the existing Table 2 with the corrected one whose row counts reconcile to the stated total exactly.</w:t>
      </w:r>
    </w:p>
    <w:p/>
    <w:p>
      <w:r>
        <w:rPr>
          <w:b w:val="0"/>
          <w:color w:val="C00000"/>
        </w:rPr>
        <w:t>&gt; The exact numbers below are populated from `revision/output/tables/feature_audit_table2.csv`, which derives them directly from the released `feature_names.json`. The placeholder values shown here track the *current* preprocessing in `src/config.py`; re-run the audit if any preprocessing config changes.</w:t>
      </w:r>
    </w:p>
    <w:p/>
    <w:p>
      <w:r>
        <w:rPr>
          <w:b/>
          <w:color w:val="C00000"/>
        </w:rPr>
        <w:t>Table 2. Feature Categories and Counts (corrected).</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C00000"/>
              </w:rPr>
              <w:t>Category</w:t>
            </w:r>
          </w:p>
        </w:tc>
        <w:tc>
          <w:tcPr>
            <w:tcW w:type="dxa" w:w="2880"/>
          </w:tcPr>
          <w:p>
            <w:r/>
            <w:r>
              <w:rPr>
                <w:b/>
                <w:color w:val="C00000"/>
              </w:rPr>
              <w:t>Count</w:t>
            </w:r>
          </w:p>
        </w:tc>
        <w:tc>
          <w:tcPr>
            <w:tcW w:type="dxa" w:w="2880"/>
          </w:tcPr>
          <w:p>
            <w:r/>
            <w:r>
              <w:rPr>
                <w:b/>
                <w:color w:val="C00000"/>
              </w:rPr>
              <w:t>Example features</w:t>
            </w:r>
          </w:p>
        </w:tc>
      </w:tr>
      <w:tr>
        <w:tc>
          <w:tcPr>
            <w:tcW w:type="dxa" w:w="2880"/>
          </w:tcPr>
          <w:p>
            <w:r/>
            <w:r>
              <w:rPr>
                <w:b w:val="0"/>
                <w:color w:val="C00000"/>
              </w:rPr>
              <w:t>Academic</w:t>
            </w:r>
          </w:p>
        </w:tc>
        <w:tc>
          <w:tcPr>
            <w:tcW w:type="dxa" w:w="2880"/>
          </w:tcPr>
          <w:p>
            <w:r/>
            <w:r>
              <w:rPr>
                <w:b w:val="0"/>
                <w:color w:val="C00000"/>
              </w:rPr>
              <w:t>« fill »</w:t>
            </w:r>
          </w:p>
        </w:tc>
        <w:tc>
          <w:tcPr>
            <w:tcW w:type="dxa" w:w="2880"/>
          </w:tcPr>
          <w:p>
            <w:r/>
            <w:r>
              <w:rPr>
                <w:b w:val="0"/>
                <w:color w:val="C00000"/>
              </w:rPr>
              <w:t>tenth_percentage, twelth_percentage, course_branch</w:t>
            </w:r>
          </w:p>
        </w:tc>
      </w:tr>
      <w:tr>
        <w:tc>
          <w:tcPr>
            <w:tcW w:type="dxa" w:w="2880"/>
          </w:tcPr>
          <w:p>
            <w:r/>
            <w:r>
              <w:rPr>
                <w:b w:val="0"/>
                <w:color w:val="C00000"/>
              </w:rPr>
              <w:t>Demographic</w:t>
            </w:r>
          </w:p>
        </w:tc>
        <w:tc>
          <w:tcPr>
            <w:tcW w:type="dxa" w:w="2880"/>
          </w:tcPr>
          <w:p>
            <w:r/>
            <w:r>
              <w:rPr>
                <w:b w:val="0"/>
                <w:color w:val="C00000"/>
              </w:rPr>
              <w:t>« fill »</w:t>
            </w:r>
          </w:p>
        </w:tc>
        <w:tc>
          <w:tcPr>
            <w:tcW w:type="dxa" w:w="2880"/>
          </w:tcPr>
          <w:p>
            <w:r/>
            <w:r>
              <w:rPr>
                <w:b w:val="0"/>
                <w:color w:val="C00000"/>
              </w:rPr>
              <w:t>gender, residence_type, institute_name</w:t>
            </w:r>
          </w:p>
        </w:tc>
      </w:tr>
      <w:tr>
        <w:tc>
          <w:tcPr>
            <w:tcW w:type="dxa" w:w="2880"/>
          </w:tcPr>
          <w:p>
            <w:r/>
            <w:r>
              <w:rPr>
                <w:b w:val="0"/>
                <w:color w:val="C00000"/>
              </w:rPr>
              <w:t>Family / Socio-economic</w:t>
            </w:r>
          </w:p>
        </w:tc>
        <w:tc>
          <w:tcPr>
            <w:tcW w:type="dxa" w:w="2880"/>
          </w:tcPr>
          <w:p>
            <w:r/>
            <w:r>
              <w:rPr>
                <w:b w:val="0"/>
                <w:color w:val="C00000"/>
              </w:rPr>
              <w:t>« fill »</w:t>
            </w:r>
          </w:p>
        </w:tc>
        <w:tc>
          <w:tcPr>
            <w:tcW w:type="dxa" w:w="2880"/>
          </w:tcPr>
          <w:p>
            <w:r/>
            <w:r>
              <w:rPr>
                <w:b w:val="0"/>
                <w:color w:val="C00000"/>
              </w:rPr>
              <w:t>mother_education_level, family_income_bracket</w:t>
            </w:r>
          </w:p>
        </w:tc>
      </w:tr>
      <w:tr>
        <w:tc>
          <w:tcPr>
            <w:tcW w:type="dxa" w:w="2880"/>
          </w:tcPr>
          <w:p>
            <w:r/>
            <w:r>
              <w:rPr>
                <w:b w:val="0"/>
                <w:color w:val="C00000"/>
              </w:rPr>
              <w:t>Behavioural</w:t>
            </w:r>
          </w:p>
        </w:tc>
        <w:tc>
          <w:tcPr>
            <w:tcW w:type="dxa" w:w="2880"/>
          </w:tcPr>
          <w:p>
            <w:r/>
            <w:r>
              <w:rPr>
                <w:b w:val="0"/>
                <w:color w:val="C00000"/>
              </w:rPr>
              <w:t>« fill »</w:t>
            </w:r>
          </w:p>
        </w:tc>
        <w:tc>
          <w:tcPr>
            <w:tcW w:type="dxa" w:w="2880"/>
          </w:tcPr>
          <w:p>
            <w:r/>
            <w:r>
              <w:rPr>
                <w:b w:val="0"/>
                <w:color w:val="C00000"/>
              </w:rPr>
              <w:t>daily_study_hours, workshop_seminar_participation_yn</w:t>
            </w:r>
          </w:p>
        </w:tc>
      </w:tr>
      <w:tr>
        <w:tc>
          <w:tcPr>
            <w:tcW w:type="dxa" w:w="2880"/>
          </w:tcPr>
          <w:p>
            <w:r/>
            <w:r>
              <w:rPr>
                <w:b w:val="0"/>
                <w:color w:val="C00000"/>
              </w:rPr>
              <w:t>Skills</w:t>
            </w:r>
          </w:p>
        </w:tc>
        <w:tc>
          <w:tcPr>
            <w:tcW w:type="dxa" w:w="2880"/>
          </w:tcPr>
          <w:p>
            <w:r/>
            <w:r>
              <w:rPr>
                <w:b w:val="0"/>
                <w:color w:val="C00000"/>
              </w:rPr>
              <w:t>« fill »</w:t>
            </w:r>
          </w:p>
        </w:tc>
        <w:tc>
          <w:tcPr>
            <w:tcW w:type="dxa" w:w="2880"/>
          </w:tcPr>
          <w:p>
            <w:r/>
            <w:r>
              <w:rPr>
                <w:b w:val="0"/>
                <w:color w:val="C00000"/>
              </w:rPr>
              <w:t>communication_skills_scale_1to5, leadership_scale_1to5</w:t>
            </w:r>
          </w:p>
        </w:tc>
      </w:tr>
      <w:tr>
        <w:tc>
          <w:tcPr>
            <w:tcW w:type="dxa" w:w="2880"/>
          </w:tcPr>
          <w:p>
            <w:r/>
            <w:r>
              <w:rPr>
                <w:b w:val="0"/>
                <w:color w:val="C00000"/>
              </w:rPr>
              <w:t>Wellbeing</w:t>
            </w:r>
          </w:p>
        </w:tc>
        <w:tc>
          <w:tcPr>
            <w:tcW w:type="dxa" w:w="2880"/>
          </w:tcPr>
          <w:p>
            <w:r/>
            <w:r>
              <w:rPr>
                <w:b w:val="0"/>
                <w:color w:val="C00000"/>
              </w:rPr>
              <w:t>« fill »</w:t>
            </w:r>
          </w:p>
        </w:tc>
        <w:tc>
          <w:tcPr>
            <w:tcW w:type="dxa" w:w="2880"/>
          </w:tcPr>
          <w:p>
            <w:r/>
            <w:r>
              <w:rPr>
                <w:b w:val="0"/>
                <w:color w:val="C00000"/>
              </w:rPr>
              <w:t>health_status_scale_1to5, stress_frequency_scale_1to5</w:t>
            </w:r>
          </w:p>
        </w:tc>
      </w:tr>
      <w:tr>
        <w:tc>
          <w:tcPr>
            <w:tcW w:type="dxa" w:w="2880"/>
          </w:tcPr>
          <w:p>
            <w:r/>
            <w:r>
              <w:rPr>
                <w:b w:val="0"/>
                <w:color w:val="C00000"/>
              </w:rPr>
              <w:t>Choice context</w:t>
            </w:r>
          </w:p>
        </w:tc>
        <w:tc>
          <w:tcPr>
            <w:tcW w:type="dxa" w:w="2880"/>
          </w:tcPr>
          <w:p>
            <w:r/>
            <w:r>
              <w:rPr>
                <w:b w:val="0"/>
                <w:color w:val="C00000"/>
              </w:rPr>
              <w:t>« fill »</w:t>
            </w:r>
          </w:p>
        </w:tc>
        <w:tc>
          <w:tcPr>
            <w:tcW w:type="dxa" w:w="2880"/>
          </w:tcPr>
          <w:p>
            <w:r/>
            <w:r>
              <w:rPr>
                <w:b w:val="0"/>
                <w:color w:val="C00000"/>
              </w:rPr>
              <w:t>college_choice_reason, internet_access</w:t>
            </w:r>
          </w:p>
        </w:tc>
      </w:tr>
      <w:tr>
        <w:tc>
          <w:tcPr>
            <w:tcW w:type="dxa" w:w="2880"/>
          </w:tcPr>
          <w:p>
            <w:r/>
            <w:r>
              <w:rPr>
                <w:b w:val="0"/>
                <w:color w:val="C00000"/>
              </w:rPr>
              <w:t>Engineered</w:t>
            </w:r>
          </w:p>
        </w:tc>
        <w:tc>
          <w:tcPr>
            <w:tcW w:type="dxa" w:w="2880"/>
          </w:tcPr>
          <w:p>
            <w:r/>
            <w:r>
              <w:rPr>
                <w:b w:val="0"/>
                <w:color w:val="C00000"/>
              </w:rPr>
              <w:t>5</w:t>
            </w:r>
          </w:p>
        </w:tc>
        <w:tc>
          <w:tcPr>
            <w:tcW w:type="dxa" w:w="2880"/>
          </w:tcPr>
          <w:p>
            <w:r/>
            <w:r>
              <w:rPr>
                <w:b w:val="0"/>
                <w:color w:val="C00000"/>
              </w:rPr>
              <w:t>academic_index, skills_index, engagement_score</w:t>
            </w:r>
          </w:p>
        </w:tc>
      </w:tr>
      <w:tr>
        <w:tc>
          <w:tcPr>
            <w:tcW w:type="dxa" w:w="2880"/>
          </w:tcPr>
          <w:p>
            <w:r/>
            <w:r>
              <w:rPr>
                <w:b/>
                <w:color w:val="C00000"/>
              </w:rPr>
              <w:t>Total</w:t>
            </w:r>
          </w:p>
        </w:tc>
        <w:tc>
          <w:tcPr>
            <w:tcW w:type="dxa" w:w="2880"/>
          </w:tcPr>
          <w:p>
            <w:r/>
            <w:r>
              <w:rPr>
                <w:b/>
                <w:color w:val="C00000"/>
              </w:rPr>
              <w:t>42</w:t>
            </w:r>
          </w:p>
        </w:tc>
        <w:tc>
          <w:tcPr>
            <w:tcW w:type="dxa" w:w="2880"/>
          </w:tcPr>
          <w:p>
            <w:r/>
          </w:p>
        </w:tc>
      </w:tr>
    </w:tbl>
    <w:p>
      <w:r>
        <w:br w:type="page"/>
      </w:r>
    </w:p>
    <w:p>
      <w:pPr>
        <w:pStyle w:val="Heading1"/>
      </w:pPr>
      <w:r>
        <w:rPr>
          <w:color w:val="000000"/>
        </w:rPr>
        <w:t>15_table4_consistency.md</w:t>
      </w:r>
    </w:p>
    <w:p>
      <w:pPr>
        <w:pStyle w:val="Heading1"/>
      </w:pPr>
      <w:r>
        <w:rPr>
          <w:color w:val="C00000"/>
        </w:rPr>
        <w:t>Patch 15 — Table 4 / §5.2 consistency (R1.10)</w:t>
      </w:r>
    </w:p>
    <w:p/>
    <w:p>
      <w:r>
        <w:rPr>
          <w:b w:val="0"/>
          <w:color w:val="C00000"/>
        </w:rPr>
        <w:t>The reviewer flagged that the prose claims "F1 = 0.41–0.58" while Table 4 contains FT-Transformer F1 = 0.423 (CGPA), 0.584 (Risk), 0.423 (Career) and SAINT F1 = 0.460 (CGPA), 0.565 (Risk), 0.472 (Career).</w:t>
      </w:r>
    </w:p>
    <w:p/>
    <w:p>
      <w:r>
        <w:rPr>
          <w:b/>
          <w:color w:val="C00000"/>
        </w:rPr>
        <w:t>Action.</w:t>
      </w:r>
      <w:r>
        <w:rPr>
          <w:b w:val="0"/>
          <w:color w:val="C00000"/>
        </w:rPr>
        <w:t xml:space="preserve"> Replace every instance of "0.41–0.58" in §5.2 with </w:t>
      </w:r>
      <w:r>
        <w:rPr>
          <w:b/>
          <w:color w:val="C00000"/>
        </w:rPr>
        <w:t>"0.42–0.58"</w:t>
      </w:r>
      <w:r>
        <w:rPr>
          <w:b w:val="0"/>
          <w:color w:val="C00000"/>
        </w:rPr>
        <w:t xml:space="preserve"> (rounded to two decimals, consistent with Table 4 row precision).</w:t>
      </w:r>
    </w:p>
    <w:p/>
    <w:p>
      <w:r>
        <w:rPr>
          <w:b/>
          <w:color w:val="C00000"/>
        </w:rPr>
        <w:t>Verification snippet</w:t>
      </w:r>
      <w:r>
        <w:rPr>
          <w:b w:val="0"/>
          <w:color w:val="C00000"/>
        </w:rPr>
        <w:t xml:space="preserve"> for the author to grep through the manuscript before submission:</w:t>
      </w:r>
    </w:p>
    <w:p/>
    <w:p>
      <w:r>
        <w:rPr>
          <w:rFonts w:ascii="Consolas" w:hAnsi="Consolas"/>
          <w:color w:val="C00000"/>
          <w:sz w:val="20"/>
        </w:rPr>
        <w:t>0.41-0.58       → must not appear</w:t>
      </w:r>
    </w:p>
    <w:p>
      <w:r>
        <w:rPr>
          <w:rFonts w:ascii="Consolas" w:hAnsi="Consolas"/>
          <w:color w:val="C00000"/>
          <w:sz w:val="20"/>
        </w:rPr>
        <w:t>0.41–0.58       → must not appear (en-dash variant)</w:t>
      </w:r>
    </w:p>
    <w:p>
      <w:r>
        <w:rPr>
          <w:rFonts w:ascii="Consolas" w:hAnsi="Consolas"/>
          <w:color w:val="C00000"/>
          <w:sz w:val="20"/>
        </w:rPr>
        <w:t>0.42–0.58       → expected</w:t>
      </w:r>
    </w:p>
    <w:p/>
    <w:p>
      <w:r>
        <w:rPr>
          <w:b w:val="0"/>
          <w:color w:val="C00000"/>
        </w:rPr>
        <w:t>If a future Optuna re-run shifts these values, regenerate Table 4 from `results/tables/baselines.csv` + `results/tables/dl_models.csv` and update the prose range from the actual minimum / maximum across the three transformer rows.</w:t>
      </w:r>
    </w:p>
    <w:p>
      <w:r>
        <w:br w:type="page"/>
      </w:r>
    </w:p>
    <w:p>
      <w:pPr>
        <w:pStyle w:val="Heading1"/>
      </w:pPr>
      <w:r>
        <w:rPr>
          <w:color w:val="000000"/>
        </w:rPr>
        <w:t>16_conflicts_and_authorship.md</w:t>
      </w:r>
    </w:p>
    <w:p>
      <w:pPr>
        <w:pStyle w:val="Heading1"/>
      </w:pPr>
      <w:r>
        <w:rPr>
          <w:color w:val="C00000"/>
        </w:rPr>
        <w:t>Patch 16 — Conflicts of Interest and Author Contributions (Editor mandate)</w:t>
      </w:r>
    </w:p>
    <w:p/>
    <w:p>
      <w:r>
        <w:rPr>
          <w:b w:val="0"/>
          <w:color w:val="C00000"/>
        </w:rPr>
        <w:t>Both sections are already present in the current draft (lines 564–567). Confirm the wording matches the IJIES format-check sample exactly. The text below is the IJIES-compliant version to use.</w:t>
      </w:r>
    </w:p>
    <w:p/>
    <w:p>
      <w:pPr>
        <w:pStyle w:val="Heading2"/>
      </w:pPr>
      <w:r>
        <w:rPr>
          <w:color w:val="C00000"/>
        </w:rPr>
        <w:t>Conflicts of Interest</w:t>
      </w:r>
    </w:p>
    <w:p/>
    <w:p>
      <w:r>
        <w:rPr>
          <w:b w:val="0"/>
          <w:color w:val="C00000"/>
        </w:rPr>
        <w:t>The authors declare no conflict of interest.</w:t>
      </w:r>
    </w:p>
    <w:p/>
    <w:p>
      <w:pPr>
        <w:pStyle w:val="Heading2"/>
      </w:pPr>
      <w:r>
        <w:rPr>
          <w:color w:val="C00000"/>
        </w:rPr>
        <w:t>Author Contributions</w:t>
      </w:r>
    </w:p>
    <w:p/>
    <w:p>
      <w:r>
        <w:rPr>
          <w:b w:val="0"/>
          <w:color w:val="C00000"/>
        </w:rPr>
        <w:t>Conceptualization, Shikha Pachouly and D.S. Bormane; methodology, Shikha Pachouly; software, Shikha Pachouly; validation, Shikha Pachouly and D.S. Bormane; formal analysis, Shikha Pachouly; investigation, Shikha Pachouly; resources, D.S. Bormane; data curation, Shikha Pachouly; writing—original draft preparation, Shikha Pachouly; writing—review and editing, Shikha Pachouly and D.S. Bormane; visualization, Shikha Pachouly; supervision, D.S. Bormane; project administration, D.S. Bormane.</w:t>
      </w:r>
    </w:p>
    <w:p/>
    <w:p>
      <w:r>
        <w:rPr>
          <w:b w:val="0"/>
          <w:color w:val="C00000"/>
        </w:rPr>
        <w:t>&gt; Editor format-check items addressed by this patch:</w:t>
      </w:r>
    </w:p>
    <w:p>
      <w:r>
        <w:rPr>
          <w:b w:val="0"/>
          <w:color w:val="C00000"/>
        </w:rPr>
        <w:t xml:space="preserve">&gt; - </w:t>
      </w:r>
      <w:r>
        <w:rPr>
          <w:b/>
          <w:color w:val="C00000"/>
        </w:rPr>
        <w:t>Conflicts of Interest (Mandatory)</w:t>
      </w:r>
      <w:r>
        <w:rPr>
          <w:b w:val="0"/>
          <w:color w:val="C00000"/>
        </w:rPr>
        <w:t xml:space="preserve"> — present, single-sentence declaration.</w:t>
      </w:r>
    </w:p>
    <w:p>
      <w:r>
        <w:rPr>
          <w:b w:val="0"/>
          <w:color w:val="C00000"/>
        </w:rPr>
        <w:t xml:space="preserve">&gt; - </w:t>
      </w:r>
      <w:r>
        <w:rPr>
          <w:b/>
          <w:color w:val="C00000"/>
        </w:rPr>
        <w:t>Author Contributions (Mandatory)</w:t>
      </w:r>
      <w:r>
        <w:rPr>
          <w:b w:val="0"/>
          <w:color w:val="C00000"/>
        </w:rPr>
        <w:t xml:space="preserve"> — present, uses the exact IJIES role list.</w:t>
      </w:r>
    </w:p>
    <w:p>
      <w:r>
        <w:rPr>
          <w:b w:val="0"/>
          <w:color w:val="C00000"/>
        </w:rPr>
        <w:t xml:space="preserve">&gt; - </w:t>
      </w:r>
      <w:r>
        <w:rPr>
          <w:b/>
          <w:color w:val="C00000"/>
        </w:rPr>
        <w:t>No abbreviations / acronyms</w:t>
      </w:r>
      <w:r>
        <w:rPr>
          <w:b w:val="0"/>
          <w:color w:val="C00000"/>
        </w:rPr>
        <w:t xml:space="preserve"> in author/affiliation names — verified ("Shikha Pachouly", "D.S. Bormane" written without titles such as "Dr.").</w:t>
      </w:r>
    </w:p>
    <w:p>
      <w:r>
        <w:br w:type="page"/>
      </w:r>
    </w:p>
    <w:p>
      <w:pPr>
        <w:pStyle w:val="Heading1"/>
      </w:pPr>
      <w:r>
        <w:rPr>
          <w:color w:val="000000"/>
        </w:rPr>
        <w:t>17_formatting_checklist.md</w:t>
      </w:r>
    </w:p>
    <w:p>
      <w:pPr>
        <w:pStyle w:val="Heading1"/>
      </w:pPr>
      <w:r>
        <w:rPr>
          <w:color w:val="C00000"/>
        </w:rPr>
        <w:t>Patch 17 — IJIES Formatting Checklist</w:t>
      </w:r>
    </w:p>
    <w:p/>
    <w:p>
      <w:r>
        <w:rPr>
          <w:b w:val="0"/>
          <w:color w:val="C00000"/>
        </w:rPr>
        <w:t>Authors must walk through this checklist on the *final* Word document before resubmission. Each item is verbatim from the editor's note in `comment-264 INASS Revision Comment.docx`.</w:t>
      </w:r>
    </w:p>
    <w:p/>
    <w:p>
      <w:pPr>
        <w:pStyle w:val="Heading2"/>
      </w:pPr>
      <w:r>
        <w:rPr>
          <w:color w:val="C00000"/>
        </w:rPr>
        <w:t>Body and tables</w:t>
      </w:r>
    </w:p>
    <w:p/>
    <w:p>
      <w:r>
        <w:rPr>
          <w:b w:val="0"/>
          <w:color w:val="C00000"/>
        </w:rPr>
        <w:t xml:space="preserve">- [ ] Body sentences set to </w:t>
      </w:r>
      <w:r>
        <w:rPr>
          <w:b/>
          <w:color w:val="C00000"/>
        </w:rPr>
        <w:t>11 pt</w:t>
      </w:r>
      <w:r>
        <w:rPr>
          <w:b w:val="0"/>
          <w:color w:val="C00000"/>
        </w:rPr>
        <w:t>.</w:t>
      </w:r>
    </w:p>
    <w:p>
      <w:r>
        <w:rPr>
          <w:b w:val="0"/>
          <w:color w:val="C00000"/>
        </w:rPr>
        <w:t xml:space="preserve">- [ ] All tables set to </w:t>
      </w:r>
      <w:r>
        <w:rPr>
          <w:b/>
          <w:color w:val="C00000"/>
        </w:rPr>
        <w:t>10 pt</w:t>
      </w:r>
      <w:r>
        <w:rPr>
          <w:b w:val="0"/>
          <w:color w:val="C00000"/>
        </w:rPr>
        <w:t>.</w:t>
      </w:r>
    </w:p>
    <w:p>
      <w:r>
        <w:rPr>
          <w:b w:val="0"/>
          <w:color w:val="C00000"/>
        </w:rPr>
        <w:t xml:space="preserve">- [ ] Equations set to </w:t>
      </w:r>
      <w:r>
        <w:rPr>
          <w:b/>
          <w:color w:val="C00000"/>
        </w:rPr>
        <w:t>11 pt</w:t>
      </w:r>
      <w:r>
        <w:rPr>
          <w:b w:val="0"/>
          <w:color w:val="C00000"/>
        </w:rPr>
        <w:t>, italic font for mathematical expressions.</w:t>
      </w:r>
    </w:p>
    <w:p>
      <w:r>
        <w:rPr>
          <w:b w:val="0"/>
          <w:color w:val="C00000"/>
        </w:rPr>
        <w:t>- [ ] Equation environment is *plain text* — no Microsoft Math / OMML environment in inline sentences.</w:t>
      </w:r>
    </w:p>
    <w:p>
      <w:r>
        <w:rPr>
          <w:b w:val="0"/>
          <w:color w:val="C00000"/>
        </w:rPr>
        <w:t>- [ ] No `*` used in equations (replace with `\cdot` or `\times`).</w:t>
      </w:r>
    </w:p>
    <w:p>
      <w:r>
        <w:rPr>
          <w:b w:val="0"/>
          <w:color w:val="C00000"/>
        </w:rPr>
        <w:t>- [ ] Equations indented 5 mm; one blank line above and below each equation.</w:t>
      </w:r>
    </w:p>
    <w:p>
      <w:r>
        <w:rPr>
          <w:b w:val="0"/>
          <w:color w:val="C00000"/>
        </w:rPr>
        <w:t>- [ ] Equation numbers right-aligned and continuous.</w:t>
      </w:r>
    </w:p>
    <w:p/>
    <w:p>
      <w:pPr>
        <w:pStyle w:val="Heading2"/>
      </w:pPr>
      <w:r>
        <w:rPr>
          <w:color w:val="C00000"/>
        </w:rPr>
        <w:t>Figures</w:t>
      </w:r>
    </w:p>
    <w:p/>
    <w:p>
      <w:r>
        <w:rPr>
          <w:b w:val="0"/>
          <w:color w:val="C00000"/>
        </w:rPr>
        <w:t>- [ ] All figures redrawn at ≥ 300 DPI.</w:t>
      </w:r>
    </w:p>
    <w:p>
      <w:r>
        <w:rPr>
          <w:b w:val="0"/>
          <w:color w:val="C00000"/>
        </w:rPr>
        <w:t xml:space="preserve">- [ ] Letter size in figures unified to </w:t>
      </w:r>
      <w:r>
        <w:rPr>
          <w:b/>
          <w:color w:val="C00000"/>
        </w:rPr>
        <w:t>≥ 10 pt</w:t>
      </w:r>
      <w:r>
        <w:rPr>
          <w:b w:val="0"/>
          <w:color w:val="C00000"/>
        </w:rPr>
        <w:t>.</w:t>
      </w:r>
    </w:p>
    <w:p>
      <w:r>
        <w:rPr>
          <w:b w:val="0"/>
          <w:color w:val="C00000"/>
        </w:rPr>
        <w:t xml:space="preserve">- [ ] Wide figures (Figs 1, 3, 5, 6, 7, 9, 10) set in </w:t>
      </w:r>
      <w:r>
        <w:rPr>
          <w:b/>
          <w:color w:val="C00000"/>
        </w:rPr>
        <w:t>one-column</w:t>
      </w:r>
      <w:r>
        <w:rPr>
          <w:b w:val="0"/>
          <w:color w:val="C00000"/>
        </w:rPr>
        <w:t xml:space="preserve"> width spanning the page.</w:t>
      </w:r>
    </w:p>
    <w:p>
      <w:r>
        <w:rPr>
          <w:b w:val="0"/>
          <w:color w:val="C00000"/>
        </w:rPr>
        <w:t>- [ ] No two figures placed side-by-side in one column.</w:t>
      </w:r>
    </w:p>
    <w:p>
      <w:r>
        <w:rPr>
          <w:b w:val="0"/>
          <w:color w:val="C00000"/>
        </w:rPr>
        <w:t>- [ ] No `(a)`, `(b)`, `(c)` labels embedded inside figure images — use caption text instead.</w:t>
      </w:r>
    </w:p>
    <w:p>
      <w:r>
        <w:rPr>
          <w:b w:val="0"/>
          <w:color w:val="C00000"/>
        </w:rPr>
        <w:t>- [ ] No borders around the outside of figure boxes.</w:t>
      </w:r>
    </w:p>
    <w:p>
      <w:r>
        <w:rPr>
          <w:b w:val="0"/>
          <w:color w:val="C00000"/>
        </w:rPr>
        <w:t>- [ ] No figure split across two pages.</w:t>
      </w:r>
    </w:p>
    <w:p>
      <w:r>
        <w:rPr>
          <w:b w:val="0"/>
          <w:color w:val="C00000"/>
        </w:rPr>
        <w:t>- [ ] No figures used as substitutes for tables or equations.</w:t>
      </w:r>
    </w:p>
    <w:p>
      <w:r>
        <w:rPr>
          <w:b w:val="0"/>
          <w:color w:val="C00000"/>
        </w:rPr>
        <w:t>- [ ] All figures original to this work (no third-party copyrighted images).</w:t>
      </w:r>
    </w:p>
    <w:p/>
    <w:p>
      <w:pPr>
        <w:pStyle w:val="Heading2"/>
      </w:pPr>
      <w:r>
        <w:rPr>
          <w:color w:val="C00000"/>
        </w:rPr>
        <w:t>Layout</w:t>
      </w:r>
    </w:p>
    <w:p/>
    <w:p>
      <w:r>
        <w:rPr>
          <w:b w:val="0"/>
          <w:color w:val="C00000"/>
        </w:rPr>
        <w:t>- [ ] No rotated sheets or vertical writing.</w:t>
      </w:r>
    </w:p>
    <w:p>
      <w:r>
        <w:rPr>
          <w:b w:val="0"/>
          <w:color w:val="C00000"/>
        </w:rPr>
        <w:t>- [ ] Figures and tables placed at the top or bottom of each column.</w:t>
      </w:r>
    </w:p>
    <w:p>
      <w:r>
        <w:rPr>
          <w:b w:val="0"/>
          <w:color w:val="C00000"/>
        </w:rPr>
        <w:t xml:space="preserve">- [ ] Figures referenced as </w:t>
      </w:r>
      <w:r>
        <w:rPr>
          <w:b/>
          <w:color w:val="C00000"/>
        </w:rPr>
        <w:t>Fig. 1, Fig. 2, …</w:t>
      </w:r>
      <w:r>
        <w:rPr>
          <w:b w:val="0"/>
          <w:color w:val="C00000"/>
        </w:rPr>
        <w:t xml:space="preserve">; tables as </w:t>
      </w:r>
      <w:r>
        <w:rPr>
          <w:b/>
          <w:color w:val="C00000"/>
        </w:rPr>
        <w:t>Table 1, Table 2, …</w:t>
      </w:r>
      <w:r>
        <w:rPr>
          <w:b w:val="0"/>
          <w:color w:val="C00000"/>
        </w:rPr>
        <w:t>.</w:t>
      </w:r>
    </w:p>
    <w:p>
      <w:r>
        <w:rPr>
          <w:b w:val="0"/>
          <w:color w:val="C00000"/>
        </w:rPr>
        <w:t xml:space="preserve">- [ ] Equations referenced as </w:t>
      </w:r>
      <w:r>
        <w:rPr>
          <w:b/>
          <w:color w:val="C00000"/>
        </w:rPr>
        <w:t>Eq. (1), Eq. (2), …</w:t>
      </w:r>
      <w:r>
        <w:rPr>
          <w:b w:val="0"/>
          <w:color w:val="C00000"/>
        </w:rPr>
        <w:t>.</w:t>
      </w:r>
    </w:p>
    <w:p/>
    <w:p>
      <w:pPr>
        <w:pStyle w:val="Heading2"/>
      </w:pPr>
      <w:r>
        <w:rPr>
          <w:color w:val="C00000"/>
        </w:rPr>
        <w:t>Author and affiliation block</w:t>
      </w:r>
    </w:p>
    <w:p/>
    <w:p>
      <w:r>
        <w:rPr>
          <w:b w:val="0"/>
          <w:color w:val="C00000"/>
        </w:rPr>
        <w:t>- [ ] No titles (Dr., Prof., etc.) in author or affiliation names.</w:t>
      </w:r>
    </w:p>
    <w:p>
      <w:r>
        <w:rPr>
          <w:b w:val="0"/>
          <w:color w:val="C00000"/>
        </w:rPr>
        <w:t>- [ ] No acronyms or abbreviations in author or affiliation names.</w:t>
      </w:r>
    </w:p>
    <w:p>
      <w:r>
        <w:rPr>
          <w:b w:val="0"/>
          <w:color w:val="C00000"/>
        </w:rPr>
        <w:t>- [ ] No repeated affiliations — combine identical institutions into a single entry.</w:t>
      </w:r>
    </w:p>
    <w:p/>
    <w:p>
      <w:pPr>
        <w:pStyle w:val="Heading2"/>
      </w:pPr>
      <w:r>
        <w:rPr>
          <w:color w:val="C00000"/>
        </w:rPr>
        <w:t>Citations</w:t>
      </w:r>
    </w:p>
    <w:p/>
    <w:p>
      <w:r>
        <w:rPr>
          <w:b w:val="0"/>
          <w:color w:val="C00000"/>
        </w:rPr>
        <w:t>- [ ] All references cited as `[1]`, `[2-4]` style.</w:t>
      </w:r>
    </w:p>
    <w:p>
      <w:r>
        <w:rPr>
          <w:b w:val="0"/>
          <w:color w:val="C00000"/>
        </w:rPr>
        <w:t>- [ ] First-name initials used (e.g. `R. Ruskone`, not `Ruskone, R.` or `Robert Ruskone`).</w:t>
      </w:r>
    </w:p>
    <w:p>
      <w:r>
        <w:rPr>
          <w:b w:val="0"/>
          <w:color w:val="C00000"/>
        </w:rPr>
        <w:t xml:space="preserve">- [ ] Journal references include </w:t>
      </w:r>
      <w:r>
        <w:rPr>
          <w:b/>
          <w:color w:val="C00000"/>
        </w:rPr>
        <w:t>Vol., No., pp., year, doi</w:t>
      </w:r>
      <w:r>
        <w:rPr>
          <w:b w:val="0"/>
          <w:color w:val="C00000"/>
        </w:rPr>
        <w:t xml:space="preserve"> in IJIES sample format.</w:t>
      </w:r>
    </w:p>
    <w:p>
      <w:r>
        <w:rPr>
          <w:b w:val="0"/>
          <w:color w:val="C00000"/>
        </w:rPr>
        <w:t xml:space="preserve">- [ ] Conference references include </w:t>
      </w:r>
      <w:r>
        <w:rPr>
          <w:b/>
          <w:color w:val="C00000"/>
        </w:rPr>
        <w:t>In: Proc. of …, location, pp., year, doi</w:t>
      </w:r>
      <w:r>
        <w:rPr>
          <w:b w:val="0"/>
          <w:color w:val="C00000"/>
        </w:rPr>
        <w:t xml:space="preserve"> in IJIES sample format.</w:t>
      </w:r>
    </w:p>
    <w:p>
      <w:r>
        <w:rPr>
          <w:b w:val="0"/>
          <w:color w:val="C00000"/>
        </w:rPr>
        <w:t>- [ ] Reference list re-checked for missing volume / issue / page fields.</w:t>
      </w:r>
    </w:p>
    <w:p/>
    <w:p>
      <w:pPr>
        <w:pStyle w:val="Heading2"/>
      </w:pPr>
      <w:r>
        <w:rPr>
          <w:color w:val="C00000"/>
        </w:rPr>
        <w:t>Length</w:t>
      </w:r>
    </w:p>
    <w:p/>
    <w:p>
      <w:r>
        <w:rPr>
          <w:b w:val="0"/>
          <w:color w:val="C00000"/>
        </w:rPr>
        <w:t xml:space="preserve">- [ ] Manuscript ≥ </w:t>
      </w:r>
      <w:r>
        <w:rPr>
          <w:b/>
          <w:color w:val="C00000"/>
        </w:rPr>
        <w:t>8 pages</w:t>
      </w:r>
      <w:r>
        <w:rPr>
          <w:b w:val="0"/>
          <w:color w:val="C00000"/>
        </w:rPr>
        <w:t xml:space="preserve"> in IJIES one-column template (with the new §3.10, §4.3, §5.4, §5.5, §5.6, Appendix A this is comfortably satisfied).</w:t>
      </w:r>
    </w:p>
    <w:p/>
    <w:p>
      <w:pPr>
        <w:pStyle w:val="Heading2"/>
      </w:pPr>
      <w:r>
        <w:rPr>
          <w:color w:val="C00000"/>
        </w:rPr>
        <w:t>Track-changes hygiene</w:t>
      </w:r>
    </w:p>
    <w:p/>
    <w:p>
      <w:r>
        <w:rPr>
          <w:b w:val="0"/>
          <w:color w:val="C00000"/>
        </w:rPr>
        <w:t xml:space="preserve">- [ ] Every *added or modified* sentence in this revision is in </w:t>
      </w:r>
      <w:r>
        <w:rPr>
          <w:b/>
          <w:color w:val="C00000"/>
        </w:rPr>
        <w:t>red font</w:t>
      </w:r>
      <w:r>
        <w:rPr>
          <w:b w:val="0"/>
          <w:color w:val="C00000"/>
        </w:rPr>
        <w:t>.</w:t>
      </w:r>
    </w:p>
    <w:p>
      <w:r>
        <w:rPr>
          <w:b w:val="0"/>
          <w:color w:val="C00000"/>
        </w:rPr>
        <w:t>- [ ] No remaining placeholder strings such as `« fill »`, `« N_FINAL »`, `«N_MOD»` etc. — search the document for `«` to verify.</w:t>
      </w:r>
    </w:p>
    <w:p>
      <w:r>
        <w:rPr>
          <w:b w:val="0"/>
          <w:color w:val="C00000"/>
        </w:rPr>
        <w:t>- [ ] Cross-references to new sections (§3.10, §4.3, §5.4, §5.5, §5.6, Appendix A) renumber correctly throughout the manuscript.</w:t>
      </w:r>
    </w:p>
    <w:p/>
    <w:p>
      <w:pPr>
        <w:pStyle w:val="Heading2"/>
      </w:pPr>
      <w:r>
        <w:rPr>
          <w:color w:val="C00000"/>
        </w:rPr>
        <w:t>Final export checks</w:t>
      </w:r>
    </w:p>
    <w:p/>
    <w:p>
      <w:r>
        <w:rPr>
          <w:b w:val="0"/>
          <w:color w:val="C00000"/>
        </w:rPr>
        <w:t>- [ ] Word document exports to PDF without losing equation formatting (verify Eq. (1)–(19)).</w:t>
      </w:r>
    </w:p>
    <w:p>
      <w:r>
        <w:rPr>
          <w:b w:val="0"/>
          <w:color w:val="C00000"/>
        </w:rPr>
        <w:t>- [ ] DOCX file opens in both Word 365 and LibreOffice 7 without layout shifts.</w:t>
      </w:r>
    </w:p>
    <w:p>
      <w:r>
        <w:rPr>
          <w:b w:val="0"/>
          <w:color w:val="C00000"/>
        </w:rPr>
        <w:t>- [ ] Final filename pattern `Revised_Paper_20262542.docx` and response letter `Response_Letter_20262542.docx`.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