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40"/>
      </w:pPr>
      <w:r>
        <w:rPr>
          <w:rFonts w:ascii="Arial" w:cs="Arial" w:eastAsia="Arial" w:hAnsi="Arial"/>
          <w:b/>
          <w:bCs/>
          <w:color w:val="2E5FA3"/>
          <w:sz w:val="20"/>
          <w:szCs w:val="20"/>
        </w:rPr>
        <w:t xml:space="preserve">COMPANY PROFILE</w:t>
      </w:r>
    </w:p>
    <w:p>
      <w:pPr>
        <w:spacing w:after="80" w:before="0"/>
      </w:pPr>
      <w:r>
        <w:rPr>
          <w:rFonts w:ascii="Arial" w:cs="Arial" w:eastAsia="Arial" w:hAnsi="Arial"/>
          <w:b/>
          <w:bCs/>
          <w:color w:val="1B3A6B"/>
          <w:sz w:val="52"/>
          <w:szCs w:val="52"/>
        </w:rPr>
        <w:t xml:space="preserve">Your Trusted Reefer Freight Specialists</w:t>
      </w:r>
    </w:p>
    <w:p>
      <w:pPr>
        <w:spacing w:after="40" w:before="0"/>
      </w:pPr>
      <w:r>
        <w:rPr>
          <w:rFonts w:ascii="Arial" w:cs="Arial" w:eastAsia="Arial" w:hAnsi="Arial"/>
          <w:i/>
          <w:iCs/>
          <w:color w:val="555555"/>
          <w:sz w:val="24"/>
          <w:szCs w:val="24"/>
        </w:rPr>
        <w:t xml:space="preserve">Temperature-controlled trucking excellence across the Western United States</w:t>
      </w:r>
    </w:p>
    <w:p>
      <w:pPr>
        <w:pBdr>
          <w:bottom w:val="single" w:color="2E5FA3" w:sz="24" w:space="6"/>
        </w:pBdr>
        <w:spacing w:after="3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5FA3" w:sz="6"/>
              <w:left w:val="single" w:color="2E5FA3" w:sz="6"/>
              <w:bottom w:val="single" w:color="2E5FA3" w:sz="6"/>
              <w:right w:val="single" w:color="2E5FA3" w:sz="6"/>
            </w:tcBorders>
            <w:shd w:fill="1B3A6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40"/>
                <w:szCs w:val="40"/>
              </w:rPr>
              <w:t xml:space="preserve">10+</w:t>
            </w:r>
          </w:p>
          <w:p>
            <w:pPr>
              <w:jc w:val="center"/>
            </w:pPr>
            <w:r>
              <w:rPr>
                <w:rFonts w:ascii="Arial" w:cs="Arial" w:eastAsia="Arial" w:hAnsi="Arial"/>
                <w:color w:val="C8D8F0"/>
                <w:sz w:val="18"/>
                <w:szCs w:val="18"/>
              </w:rPr>
              <w:t xml:space="preserve">Years of Experience</w:t>
            </w:r>
          </w:p>
        </w:tc>
        <w:tc>
          <w:tcPr>
            <w:tcW w:type="dxa" w:w="2340"/>
            <w:tcBorders>
              <w:top w:val="single" w:color="2E5FA3" w:sz="6"/>
              <w:left w:val="single" w:color="2E5FA3" w:sz="6"/>
              <w:bottom w:val="single" w:color="2E5FA3" w:sz="6"/>
              <w:right w:val="single" w:color="2E5FA3" w:sz="6"/>
            </w:tcBorders>
            <w:shd w:fill="1B3A6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40"/>
                <w:szCs w:val="40"/>
              </w:rPr>
              <w:t xml:space="preserve">98%</w:t>
            </w:r>
          </w:p>
          <w:p>
            <w:pPr>
              <w:jc w:val="center"/>
            </w:pPr>
            <w:r>
              <w:rPr>
                <w:rFonts w:ascii="Arial" w:cs="Arial" w:eastAsia="Arial" w:hAnsi="Arial"/>
                <w:color w:val="C8D8F0"/>
                <w:sz w:val="18"/>
                <w:szCs w:val="18"/>
              </w:rPr>
              <w:t xml:space="preserve">On-Time Delivery Rate</w:t>
            </w:r>
          </w:p>
        </w:tc>
        <w:tc>
          <w:tcPr>
            <w:tcW w:type="dxa" w:w="2340"/>
            <w:tcBorders>
              <w:top w:val="single" w:color="2E5FA3" w:sz="6"/>
              <w:left w:val="single" w:color="2E5FA3" w:sz="6"/>
              <w:bottom w:val="single" w:color="2E5FA3" w:sz="6"/>
              <w:right w:val="single" w:color="2E5FA3" w:sz="6"/>
            </w:tcBorders>
            <w:shd w:fill="1B3A6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40"/>
                <w:szCs w:val="40"/>
              </w:rPr>
              <w:t xml:space="preserve">11</w:t>
            </w:r>
          </w:p>
          <w:p>
            <w:pPr>
              <w:jc w:val="center"/>
            </w:pPr>
            <w:r>
              <w:rPr>
                <w:rFonts w:ascii="Arial" w:cs="Arial" w:eastAsia="Arial" w:hAnsi="Arial"/>
                <w:color w:val="C8D8F0"/>
                <w:sz w:val="18"/>
                <w:szCs w:val="18"/>
              </w:rPr>
              <w:t xml:space="preserve">States Covered</w:t>
            </w:r>
          </w:p>
        </w:tc>
        <w:tc>
          <w:tcPr>
            <w:tcW w:type="dxa" w:w="2340"/>
            <w:tcBorders>
              <w:top w:val="single" w:color="2E5FA3" w:sz="6"/>
              <w:left w:val="single" w:color="2E5FA3" w:sz="6"/>
              <w:bottom w:val="single" w:color="2E5FA3" w:sz="6"/>
              <w:right w:val="single" w:color="2E5FA3" w:sz="6"/>
            </w:tcBorders>
            <w:shd w:fill="1B3A6B" w:val="clear"/>
            <w:tcMar>
              <w:top w:type="dxa" w:w="140"/>
              <w:left w:type="dxa" w:w="180"/>
              <w:bottom w:type="dxa" w:w="140"/>
              <w:right w:type="dxa" w:w="180"/>
            </w:tcMar>
            <w:vAlign w:val="center"/>
          </w:tcPr>
          <w:p>
            <w:pPr>
              <w:spacing w:after="40" w:before="0"/>
              <w:jc w:val="center"/>
            </w:pPr>
            <w:r>
              <w:rPr>
                <w:rFonts w:ascii="Arial" w:cs="Arial" w:eastAsia="Arial" w:hAnsi="Arial"/>
                <w:b/>
                <w:bCs/>
                <w:color w:val="FFFFFF"/>
                <w:sz w:val="40"/>
                <w:szCs w:val="40"/>
              </w:rPr>
              <w:t xml:space="preserve">±1°F</w:t>
            </w:r>
          </w:p>
          <w:p>
            <w:pPr>
              <w:jc w:val="center"/>
            </w:pPr>
            <w:r>
              <w:rPr>
                <w:rFonts w:ascii="Arial" w:cs="Arial" w:eastAsia="Arial" w:hAnsi="Arial"/>
                <w:color w:val="C8D8F0"/>
                <w:sz w:val="18"/>
                <w:szCs w:val="18"/>
              </w:rPr>
              <w:t xml:space="preserve">Temp Variance Tolerance</w:t>
            </w:r>
          </w:p>
        </w:tc>
      </w:tr>
    </w:tbl>
    <w:p>
      <w:pPr>
        <w:spacing w:after="32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1.  Who We Are</w:t>
      </w:r>
    </w:p>
    <w:p>
      <w:pPr>
        <w:spacing w:after="80" w:before="80"/>
      </w:pPr>
      <w:r>
        <w:rPr>
          <w:rFonts w:ascii="Arial" w:cs="Arial" w:eastAsia="Arial" w:hAnsi="Arial"/>
          <w:color w:val="333333"/>
          <w:sz w:val="22"/>
          <w:szCs w:val="22"/>
        </w:rPr>
        <w:t xml:space="preserve">We are a California-based, owner-operated refrigerated (reefer) trucking company running authority under our own MC# and DOT number out of Fresno, CA — the heart of the nation's most productive agricultural corridor. Our business was built from the ground up by operators who understand the cold chain, the produce markets, and the relentless standards that perishable freight demands.</w:t>
      </w:r>
    </w:p>
    <w:p>
      <w:pPr>
        <w:spacing w:after="160" w:before="0"/>
      </w:pPr>
      <w:r>
        <w:t xml:space="preserve"/>
      </w:r>
    </w:p>
    <w:p>
      <w:pPr>
        <w:spacing w:after="80" w:before="80"/>
      </w:pPr>
      <w:r>
        <w:rPr>
          <w:rFonts w:ascii="Arial" w:cs="Arial" w:eastAsia="Arial" w:hAnsi="Arial"/>
          <w:color w:val="333333"/>
          <w:sz w:val="22"/>
          <w:szCs w:val="22"/>
        </w:rPr>
        <w:t xml:space="preserve">Unlike large carriers that treat temperature-controlled freight as an afterthought, reefer hauling is our core specialty. Every load we touch is treated with the same discipline: pre-trip inspection of the reefer unit, confirmed set points before departure, continuous temperature logging, and direct driver accountability from pickup to delivery.</w:t>
      </w:r>
    </w:p>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2.  Our Reefer Expertise</w:t>
      </w:r>
    </w:p>
    <w:p>
      <w:pPr>
        <w:spacing w:after="80" w:before="80"/>
      </w:pPr>
      <w:r>
        <w:rPr>
          <w:rFonts w:ascii="Arial" w:cs="Arial" w:eastAsia="Arial" w:hAnsi="Arial"/>
          <w:color w:val="333333"/>
          <w:sz w:val="22"/>
          <w:szCs w:val="22"/>
        </w:rPr>
        <w:t xml:space="preserve">Our operators have deep, hands-on expertise across the full reefer freight spectrum:</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222222"/>
          <w:sz w:val="22"/>
          <w:szCs w:val="22"/>
        </w:rPr>
        <w:t xml:space="preserve">Fresh Produce &amp; Berries — California's San Joaquin Valley harvest routes, including grapes, stone fruit, citrus, leafy greens, and berries requiring tight temperature windows (32–40°F)</w:t>
      </w:r>
    </w:p>
    <w:p>
      <w:pPr>
        <w:pStyle w:val="ListParagraph"/>
        <w:numPr>
          <w:ilvl w:val="0"/>
          <w:numId w:val="2"/>
        </w:numPr>
        <w:spacing w:after="60" w:before="60"/>
      </w:pPr>
      <w:r>
        <w:rPr>
          <w:rFonts w:ascii="Arial" w:cs="Arial" w:eastAsia="Arial" w:hAnsi="Arial"/>
          <w:b w:val="false"/>
          <w:bCs w:val="false"/>
          <w:color w:val="222222"/>
          <w:sz w:val="22"/>
          <w:szCs w:val="22"/>
        </w:rPr>
        <w:t xml:space="preserve">Frozen Commodities — Blast-frozen proteins, ice cream, and frozen meals maintained at 0°F or below with zero tolerance for excursions</w:t>
      </w:r>
    </w:p>
    <w:p>
      <w:pPr>
        <w:pStyle w:val="ListParagraph"/>
        <w:numPr>
          <w:ilvl w:val="0"/>
          <w:numId w:val="2"/>
        </w:numPr>
        <w:spacing w:after="60" w:before="60"/>
      </w:pPr>
      <w:r>
        <w:rPr>
          <w:rFonts w:ascii="Arial" w:cs="Arial" w:eastAsia="Arial" w:hAnsi="Arial"/>
          <w:b w:val="false"/>
          <w:bCs w:val="false"/>
          <w:color w:val="222222"/>
          <w:sz w:val="22"/>
          <w:szCs w:val="22"/>
        </w:rPr>
        <w:t xml:space="preserve">Dairy &amp; Eggs — Highly time-sensitive loads from processing facilities to DCs with strict food-safety chain-of-custody</w:t>
      </w:r>
    </w:p>
    <w:p>
      <w:pPr>
        <w:pStyle w:val="ListParagraph"/>
        <w:numPr>
          <w:ilvl w:val="0"/>
          <w:numId w:val="2"/>
        </w:numPr>
        <w:spacing w:after="60" w:before="60"/>
      </w:pPr>
      <w:r>
        <w:rPr>
          <w:rFonts w:ascii="Arial" w:cs="Arial" w:eastAsia="Arial" w:hAnsi="Arial"/>
          <w:b w:val="false"/>
          <w:bCs w:val="false"/>
          <w:color w:val="222222"/>
          <w:sz w:val="22"/>
          <w:szCs w:val="22"/>
        </w:rPr>
        <w:t xml:space="preserve">Floral &amp; Pharmaceuticals — Precision temperature profiles for delicate commodities where a single-degree deviation can destroy product value</w:t>
      </w:r>
    </w:p>
    <w:p>
      <w:pPr>
        <w:pStyle w:val="ListParagraph"/>
        <w:numPr>
          <w:ilvl w:val="0"/>
          <w:numId w:val="2"/>
        </w:numPr>
        <w:spacing w:after="60" w:before="60"/>
      </w:pPr>
      <w:r>
        <w:rPr>
          <w:rFonts w:ascii="Arial" w:cs="Arial" w:eastAsia="Arial" w:hAnsi="Arial"/>
          <w:b w:val="false"/>
          <w:bCs w:val="false"/>
          <w:color w:val="222222"/>
          <w:sz w:val="22"/>
          <w:szCs w:val="22"/>
        </w:rPr>
        <w:t xml:space="preserve">Multi-temp Loads — Experience running dual-zone configurations to consolidate freight without cross-contamination</w:t>
      </w:r>
    </w:p>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3.  Equipment &amp;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Trailer Type</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53’ Reefer Semi-Trailer (Thermo King / Carrier Transicold)</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Temp Range</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-20°F to +70°F, continuous operation</w:t>
            </w:r>
          </w:p>
        </w:tc>
      </w:tr>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Monitoring</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Real-time temperature logging; alerts on deviation</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Fuel</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Diesel APU for idle reduction; reefer unit runs independently</w:t>
            </w:r>
          </w:p>
        </w:tc>
      </w:tr>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Compliance</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CARB-compliant engine &amp; reefer unit; ELD-enabled cab</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Certifications</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USDA, FDA, FMCSA compliant; food-grade trailer cleaning protocol</w:t>
            </w:r>
          </w:p>
        </w:tc>
      </w:tr>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Tracking</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24/7 GPS visibility; ETA updates on request</w:t>
            </w:r>
          </w:p>
        </w:tc>
      </w:tr>
    </w:tbl>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4.  Lanes &amp; Service Area</w:t>
      </w:r>
    </w:p>
    <w:p>
      <w:pPr>
        <w:spacing w:after="80" w:before="80"/>
      </w:pPr>
      <w:r>
        <w:rPr>
          <w:rFonts w:ascii="Arial" w:cs="Arial" w:eastAsia="Arial" w:hAnsi="Arial"/>
          <w:color w:val="333333"/>
          <w:sz w:val="22"/>
          <w:szCs w:val="22"/>
        </w:rPr>
        <w:t xml:space="preserve">Our home base in Fresno, CA positions us at the crossroads of the most produce-dense region in the country. We run regular lanes across the Western U.S. and accept spot freight on competitive terms.</w:t>
      </w:r>
    </w:p>
    <w:p>
      <w:pPr>
        <w:spacing w:after="80" w:before="0"/>
      </w:pPr>
      <w:r>
        <w:t xml:space="preserve"/>
      </w:r>
    </w:p>
    <w:p>
      <w:pPr>
        <w:pStyle w:val="ListParagraph"/>
        <w:numPr>
          <w:ilvl w:val="0"/>
          <w:numId w:val="2"/>
        </w:numPr>
        <w:spacing w:after="60" w:before="60"/>
      </w:pPr>
      <w:r>
        <w:rPr>
          <w:rFonts w:ascii="Arial" w:cs="Arial" w:eastAsia="Arial" w:hAnsi="Arial"/>
          <w:b w:val="false"/>
          <w:bCs w:val="false"/>
          <w:color w:val="222222"/>
          <w:sz w:val="22"/>
          <w:szCs w:val="22"/>
        </w:rPr>
        <w:t xml:space="preserve">Primary: Fresno / Central Valley → Los Angeles, Bay Area, San Diego (intrastate CA)</w:t>
      </w:r>
    </w:p>
    <w:p>
      <w:pPr>
        <w:pStyle w:val="ListParagraph"/>
        <w:numPr>
          <w:ilvl w:val="0"/>
          <w:numId w:val="2"/>
        </w:numPr>
        <w:spacing w:after="60" w:before="60"/>
      </w:pPr>
      <w:r>
        <w:rPr>
          <w:rFonts w:ascii="Arial" w:cs="Arial" w:eastAsia="Arial" w:hAnsi="Arial"/>
          <w:b w:val="false"/>
          <w:bCs w:val="false"/>
          <w:color w:val="222222"/>
          <w:sz w:val="22"/>
          <w:szCs w:val="22"/>
        </w:rPr>
        <w:t xml:space="preserve">Outbound West: CA → Phoenix, Las Vegas, Seattle, Portland</w:t>
      </w:r>
    </w:p>
    <w:p>
      <w:pPr>
        <w:pStyle w:val="ListParagraph"/>
        <w:numPr>
          <w:ilvl w:val="0"/>
          <w:numId w:val="2"/>
        </w:numPr>
        <w:spacing w:after="60" w:before="60"/>
      </w:pPr>
      <w:r>
        <w:rPr>
          <w:rFonts w:ascii="Arial" w:cs="Arial" w:eastAsia="Arial" w:hAnsi="Arial"/>
          <w:b w:val="false"/>
          <w:bCs w:val="false"/>
          <w:color w:val="222222"/>
          <w:sz w:val="22"/>
          <w:szCs w:val="22"/>
        </w:rPr>
        <w:t xml:space="preserve">Cross-Country: CA → Denver, Dallas, Chicago, Atlanta (with co-driver or relay)</w:t>
      </w:r>
    </w:p>
    <w:p>
      <w:pPr>
        <w:pStyle w:val="ListParagraph"/>
        <w:numPr>
          <w:ilvl w:val="0"/>
          <w:numId w:val="2"/>
        </w:numPr>
        <w:spacing w:after="60" w:before="60"/>
      </w:pPr>
      <w:r>
        <w:rPr>
          <w:rFonts w:ascii="Arial" w:cs="Arial" w:eastAsia="Arial" w:hAnsi="Arial"/>
          <w:b w:val="false"/>
          <w:bCs w:val="false"/>
          <w:color w:val="222222"/>
          <w:sz w:val="22"/>
          <w:szCs w:val="22"/>
        </w:rPr>
        <w:t xml:space="preserve">Backhaul Lanes: Northwest produce, Pacific NW seafood, Southwest distribution centers</w:t>
      </w:r>
    </w:p>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5.  Why Choose Us</w:t>
      </w:r>
    </w:p>
    <w:p>
      <w:pPr>
        <w:spacing w:after="80" w:before="80"/>
      </w:pPr>
      <w:r>
        <w:rPr>
          <w:rFonts w:ascii="Arial" w:cs="Arial" w:eastAsia="Arial" w:hAnsi="Arial"/>
          <w:color w:val="333333"/>
          <w:sz w:val="22"/>
          <w:szCs w:val="22"/>
        </w:rPr>
        <w:t xml:space="preserve">Shippers and brokers choose us because we combine owner-operator accountability with professional execution:</w:t>
      </w:r>
    </w:p>
    <w:p>
      <w:pPr>
        <w:spacing w:after="60" w:before="0"/>
      </w:pPr>
      <w:r>
        <w:t xml:space="preserve"/>
      </w:r>
    </w:p>
    <w:p>
      <w:pPr>
        <w:pStyle w:val="ListParagraph"/>
        <w:numPr>
          <w:ilvl w:val="0"/>
          <w:numId w:val="2"/>
        </w:numPr>
        <w:spacing w:after="60" w:before="60"/>
      </w:pPr>
      <w:r>
        <w:rPr>
          <w:rFonts w:ascii="Arial" w:cs="Arial" w:eastAsia="Arial" w:hAnsi="Arial"/>
          <w:b w:val="false"/>
          <w:bCs w:val="false"/>
          <w:color w:val="222222"/>
          <w:sz w:val="22"/>
          <w:szCs w:val="22"/>
        </w:rPr>
        <w:t xml:space="preserve">Direct Driver Ownership — The person whose name is on the MC# is the one driving your load. No sub-contracting, no handoffs.</w:t>
      </w:r>
    </w:p>
    <w:p>
      <w:pPr>
        <w:pStyle w:val="ListParagraph"/>
        <w:numPr>
          <w:ilvl w:val="0"/>
          <w:numId w:val="2"/>
        </w:numPr>
        <w:spacing w:after="60" w:before="60"/>
      </w:pPr>
      <w:r>
        <w:rPr>
          <w:rFonts w:ascii="Arial" w:cs="Arial" w:eastAsia="Arial" w:hAnsi="Arial"/>
          <w:b w:val="false"/>
          <w:bCs w:val="false"/>
          <w:color w:val="222222"/>
          <w:sz w:val="22"/>
          <w:szCs w:val="22"/>
        </w:rPr>
        <w:t xml:space="preserve">Temperature Compliance Guarantee — We document pre-cool, set points, and delivery temps on every load. Full paper trail for your food-safety audits.</w:t>
      </w:r>
    </w:p>
    <w:p>
      <w:pPr>
        <w:pStyle w:val="ListParagraph"/>
        <w:numPr>
          <w:ilvl w:val="0"/>
          <w:numId w:val="2"/>
        </w:numPr>
        <w:spacing w:after="60" w:before="60"/>
      </w:pPr>
      <w:r>
        <w:rPr>
          <w:rFonts w:ascii="Arial" w:cs="Arial" w:eastAsia="Arial" w:hAnsi="Arial"/>
          <w:b w:val="false"/>
          <w:bCs w:val="false"/>
          <w:color w:val="222222"/>
          <w:sz w:val="22"/>
          <w:szCs w:val="22"/>
        </w:rPr>
        <w:t xml:space="preserve">Produce Corridor Knowledge — We know which receivers have tight appointment windows, which shippers run late, and how to avoid the 99/5 and I-5 choke points.</w:t>
      </w:r>
    </w:p>
    <w:p>
      <w:pPr>
        <w:pStyle w:val="ListParagraph"/>
        <w:numPr>
          <w:ilvl w:val="0"/>
          <w:numId w:val="2"/>
        </w:numPr>
        <w:spacing w:after="60" w:before="60"/>
      </w:pPr>
      <w:r>
        <w:rPr>
          <w:rFonts w:ascii="Arial" w:cs="Arial" w:eastAsia="Arial" w:hAnsi="Arial"/>
          <w:b w:val="false"/>
          <w:bCs w:val="false"/>
          <w:color w:val="222222"/>
          <w:sz w:val="22"/>
          <w:szCs w:val="22"/>
        </w:rPr>
        <w:t xml:space="preserve">Responsive Communication — Direct driver &amp; dispatch contact. No automated phone trees, no 24-hour wait for a callback.</w:t>
      </w:r>
    </w:p>
    <w:p>
      <w:pPr>
        <w:pStyle w:val="ListParagraph"/>
        <w:numPr>
          <w:ilvl w:val="0"/>
          <w:numId w:val="2"/>
        </w:numPr>
        <w:spacing w:after="60" w:before="60"/>
      </w:pPr>
      <w:r>
        <w:rPr>
          <w:rFonts w:ascii="Arial" w:cs="Arial" w:eastAsia="Arial" w:hAnsi="Arial"/>
          <w:b w:val="false"/>
          <w:bCs w:val="false"/>
          <w:color w:val="222222"/>
          <w:sz w:val="22"/>
          <w:szCs w:val="22"/>
        </w:rPr>
        <w:t xml:space="preserve">Competitive Spot &amp; Contract Rates — We work with factoring-backed payment, accepting broker loads via QuickPay.</w:t>
      </w:r>
    </w:p>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6.  Compliance &amp;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Authority Type</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Motor Carrier (MC#) + DOT Number — Active</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Insurance</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Cargo: $100,000 | Liability: $1,000,000 | Physical Damage</w:t>
            </w:r>
          </w:p>
        </w:tc>
      </w:tr>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FMCSA Safety Rating</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Satisfactory — no out-of-service orders</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ELD Compliance</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FMCSA-registered ELD device; HOS fully compliant</w:t>
            </w:r>
          </w:p>
        </w:tc>
      </w:tr>
      <w:tr>
        <w:tc>
          <w:tcPr>
            <w:tcW w:type="dxa" w:w="3120"/>
            <w:tcBorders>
              <w:top w:val="single" w:color="C5D3E8" w:sz="6"/>
              <w:left w:val="single" w:color="C5D3E8" w:sz="6"/>
              <w:bottom w:val="single" w:color="C5D3E8" w:sz="6"/>
              <w:right w:val="single" w:color="C5D3E8" w:sz="6"/>
            </w:tcBorders>
            <w:shd w:fill="D6E4F7" w:val="clear"/>
            <w:tcMar>
              <w:top w:type="dxa" w:w="100"/>
              <w:left w:type="dxa" w:w="160"/>
              <w:bottom w:type="dxa" w:w="100"/>
              <w:right w:type="dxa" w:w="160"/>
            </w:tcMar>
          </w:tcPr>
          <w:p>
            <w:r>
              <w:rPr>
                <w:rFonts w:ascii="Arial" w:cs="Arial" w:eastAsia="Arial" w:hAnsi="Arial"/>
                <w:b/>
                <w:bCs/>
                <w:color w:val="1B3A6B"/>
                <w:sz w:val="22"/>
                <w:szCs w:val="22"/>
              </w:rPr>
              <w:t xml:space="preserve">CARB Compliance</w:t>
            </w:r>
          </w:p>
        </w:tc>
        <w:tc>
          <w:tcPr>
            <w:tcW w:type="dxa" w:w="624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color w:val="333333"/>
                <w:sz w:val="22"/>
                <w:szCs w:val="22"/>
              </w:rPr>
              <w:t xml:space="preserve">CA Air Resources Board — truck &amp; reefer unit compliant</w:t>
            </w:r>
          </w:p>
        </w:tc>
      </w:tr>
      <w:tr>
        <w:tc>
          <w:tcPr>
            <w:tcW w:type="dxa" w:w="3120"/>
            <w:tcBorders>
              <w:top w:val="single" w:color="C5D3E8" w:sz="6"/>
              <w:left w:val="single" w:color="C5D3E8" w:sz="6"/>
              <w:bottom w:val="single" w:color="C5D3E8" w:sz="6"/>
              <w:right w:val="single" w:color="C5D3E8" w:sz="6"/>
            </w:tcBorders>
            <w:shd w:fill="FFFFFF" w:val="clear"/>
            <w:tcMar>
              <w:top w:type="dxa" w:w="100"/>
              <w:left w:type="dxa" w:w="160"/>
              <w:bottom w:type="dxa" w:w="100"/>
              <w:right w:type="dxa" w:w="160"/>
            </w:tcMar>
          </w:tcPr>
          <w:p>
            <w:r>
              <w:rPr>
                <w:rFonts w:ascii="Arial" w:cs="Arial" w:eastAsia="Arial" w:hAnsi="Arial"/>
                <w:b/>
                <w:bCs/>
                <w:color w:val="1B3A6B"/>
                <w:sz w:val="22"/>
                <w:szCs w:val="22"/>
              </w:rPr>
              <w:t xml:space="preserve">Factoring</w:t>
            </w:r>
          </w:p>
        </w:tc>
        <w:tc>
          <w:tcPr>
            <w:tcW w:type="dxa" w:w="6240"/>
            <w:tcBorders>
              <w:top w:val="single" w:color="C5D3E8" w:sz="6"/>
              <w:left w:val="single" w:color="C5D3E8" w:sz="6"/>
              <w:bottom w:val="single" w:color="C5D3E8" w:sz="6"/>
              <w:right w:val="single" w:color="C5D3E8" w:sz="6"/>
            </w:tcBorders>
            <w:shd w:fill="F4F6FA" w:val="clear"/>
            <w:tcMar>
              <w:top w:type="dxa" w:w="100"/>
              <w:left w:type="dxa" w:w="160"/>
              <w:bottom w:type="dxa" w:w="100"/>
              <w:right w:type="dxa" w:w="160"/>
            </w:tcMar>
          </w:tcPr>
          <w:p>
            <w:r>
              <w:rPr>
                <w:rFonts w:ascii="Arial" w:cs="Arial" w:eastAsia="Arial" w:hAnsi="Arial"/>
                <w:color w:val="333333"/>
                <w:sz w:val="22"/>
                <w:szCs w:val="22"/>
              </w:rPr>
              <w:t xml:space="preserve">Active factoring arrangement; quick-pay eligible</w:t>
            </w:r>
          </w:p>
        </w:tc>
      </w:tr>
    </w:tbl>
    <w:p>
      <w:pPr>
        <w:spacing w:after="200" w:before="0"/>
      </w:pPr>
      <w:r>
        <w:t xml:space="preserve"/>
      </w:r>
    </w:p>
    <w:p>
      <w:pPr>
        <w:pBdr>
          <w:bottom w:val="single" w:color="2E5FA3" w:sz="12" w:space="4"/>
        </w:pBdr>
        <w:spacing w:after="120" w:before="360"/>
      </w:pPr>
      <w:r>
        <w:rPr>
          <w:rFonts w:ascii="Arial" w:cs="Arial" w:eastAsia="Arial" w:hAnsi="Arial"/>
          <w:b/>
          <w:bCs/>
          <w:color w:val="1B3A6B"/>
          <w:sz w:val="28"/>
          <w:szCs w:val="28"/>
        </w:rPr>
        <w:t xml:space="preserve">7.  How to Work With Us</w:t>
      </w:r>
    </w:p>
    <w:p>
      <w:pPr>
        <w:spacing w:after="80" w:before="80"/>
      </w:pPr>
      <w:r>
        <w:rPr>
          <w:rFonts w:ascii="Arial" w:cs="Arial" w:eastAsia="Arial" w:hAnsi="Arial"/>
          <w:color w:val="333333"/>
          <w:sz w:val="22"/>
          <w:szCs w:val="22"/>
        </w:rPr>
        <w:t xml:space="preserve">Getting freight moving is simple:</w:t>
      </w:r>
    </w:p>
    <w:p>
      <w:pPr>
        <w:spacing w:after="60" w:before="0"/>
      </w:pPr>
      <w:r>
        <w:t xml:space="preserve"/>
      </w:r>
    </w:p>
    <w:p>
      <w:pPr>
        <w:pStyle w:val="ListParagraph"/>
        <w:numPr>
          <w:ilvl w:val="0"/>
          <w:numId w:val="2"/>
        </w:numPr>
        <w:spacing w:after="60" w:before="60"/>
      </w:pPr>
      <w:r>
        <w:rPr>
          <w:rFonts w:ascii="Arial" w:cs="Arial" w:eastAsia="Arial" w:hAnsi="Arial"/>
          <w:color w:val="222222"/>
          <w:sz w:val="22"/>
          <w:szCs w:val="22"/>
        </w:rPr>
        <w:t xml:space="preserve">Step 1 — Share load details: origin, destination, commodity, temp requirements, weight, and pickup window.</w:t>
      </w:r>
    </w:p>
    <w:p>
      <w:pPr>
        <w:pStyle w:val="ListParagraph"/>
        <w:numPr>
          <w:ilvl w:val="0"/>
          <w:numId w:val="2"/>
        </w:numPr>
        <w:spacing w:after="60" w:before="60"/>
      </w:pPr>
      <w:r>
        <w:rPr>
          <w:rFonts w:ascii="Arial" w:cs="Arial" w:eastAsia="Arial" w:hAnsi="Arial"/>
          <w:color w:val="222222"/>
          <w:sz w:val="22"/>
          <w:szCs w:val="22"/>
        </w:rPr>
        <w:t xml:space="preserve">Step 2 — Receive a rate confirmation within 1–2 hours during business hours.</w:t>
      </w:r>
    </w:p>
    <w:p>
      <w:pPr>
        <w:pStyle w:val="ListParagraph"/>
        <w:numPr>
          <w:ilvl w:val="0"/>
          <w:numId w:val="2"/>
        </w:numPr>
        <w:spacing w:after="60" w:before="60"/>
      </w:pPr>
      <w:r>
        <w:rPr>
          <w:rFonts w:ascii="Arial" w:cs="Arial" w:eastAsia="Arial" w:hAnsi="Arial"/>
          <w:color w:val="222222"/>
          <w:sz w:val="22"/>
          <w:szCs w:val="22"/>
        </w:rPr>
        <w:t xml:space="preserve">Step 3 — We pre-cool, load, and depart on schedule — with temperature confirmation sent before wheels roll.</w:t>
      </w:r>
    </w:p>
    <w:p>
      <w:pPr>
        <w:pStyle w:val="ListParagraph"/>
        <w:numPr>
          <w:ilvl w:val="0"/>
          <w:numId w:val="2"/>
        </w:numPr>
        <w:spacing w:after="60" w:before="60"/>
      </w:pPr>
      <w:r>
        <w:rPr>
          <w:rFonts w:ascii="Arial" w:cs="Arial" w:eastAsia="Arial" w:hAnsi="Arial"/>
          <w:color w:val="222222"/>
          <w:sz w:val="22"/>
          <w:szCs w:val="22"/>
        </w:rPr>
        <w:t xml:space="preserve">Step 4 — Delivery with POD and temp log provided same day. Invoice processed via factoring for fast payment.</w:t>
      </w:r>
    </w:p>
    <w:p>
      <w:pPr>
        <w:spacing w:after="280" w:before="0"/>
      </w:pPr>
      <w:r>
        <w:t xml:space="preserve"/>
      </w:r>
    </w:p>
    <w:p>
      <w:pPr>
        <w:shd w:fill="1B3A6B" w:val="clear"/>
        <w:spacing w:after="160" w:before="160"/>
        <w:jc w:val="center"/>
      </w:pPr>
      <w:r>
        <w:rPr>
          <w:rFonts w:ascii="Arial" w:cs="Arial" w:eastAsia="Arial" w:hAnsi="Arial"/>
          <w:b/>
          <w:bCs/>
          <w:i/>
          <w:iCs/>
          <w:color w:val="FFFFFF"/>
          <w:sz w:val="26"/>
          <w:szCs w:val="26"/>
        </w:rPr>
        <w:t xml:space="preserve">Cold chain integrity is not a feature — it is our promise.</w:t>
      </w:r>
    </w:p>
    <w:p>
      <w:pPr>
        <w:spacing w:after="80" w:before="0"/>
      </w:pPr>
      <w:r>
        <w:t xml:space="preserve"/>
      </w:r>
    </w:p>
    <w:p>
      <w:pPr>
        <w:spacing w:after="40" w:before="0"/>
        <w:jc w:val="center"/>
      </w:pPr>
      <w:r>
        <w:rPr>
          <w:rFonts w:ascii="Arial" w:cs="Arial" w:eastAsia="Arial" w:hAnsi="Arial"/>
          <w:color w:val="666666"/>
          <w:sz w:val="20"/>
          <w:szCs w:val="20"/>
        </w:rPr>
        <w:t xml:space="preserve">Fresno, CA  ·  DOT &amp; MC# Authorized  ·  Available 7 Days a Week</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6" w:space="4"/>
      </w:pBdr>
      <w:spacing w:before="80"/>
      <w:jc w:val="center"/>
    </w:pPr>
    <w:r>
      <w:rPr>
        <w:rFonts w:ascii="Arial" w:cs="Arial" w:eastAsia="Arial" w:hAnsi="Arial"/>
        <w:color w:val="888888"/>
        <w:sz w:val="16"/>
        <w:szCs w:val="16"/>
      </w:rPr>
      <w:t xml:space="preserve">Confidential  ·  Fresno, CA  ·  MC# &amp; DOT Authorized Carrier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6" w:space="4"/>
      </w:pBdr>
      <w:spacing w:after="0"/>
      <w:jc w:val="right"/>
    </w:pPr>
    <w:r>
      <w:rPr>
        <w:rFonts w:ascii="Arial" w:cs="Arial" w:eastAsia="Arial" w:hAnsi="Arial"/>
        <w:color w:val="888888"/>
        <w:sz w:val="16"/>
        <w:szCs w:val="16"/>
      </w:rPr>
      <w:t xml:space="preserve">COMPANY PROFILE  |  REEFER FREIGHT SPECIALISTS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2026-05-27T04:49:42.209Z</dcterms:created>
  <dcterms:modified xsi:type="dcterms:W3CDTF">2026-05-27T04:49:42.209Z</dcterms:modified>
</cp:coreProperties>
</file>

<file path=docProps/custom.xml><?xml version="1.0" encoding="utf-8"?>
<Properties xmlns="http://schemas.openxmlformats.org/officeDocument/2006/custom-properties" xmlns:vt="http://schemas.openxmlformats.org/officeDocument/2006/docPropsVTypes"/>
</file>