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Antigravity Build Specification</w:t>
      </w:r>
    </w:p>
    <w:p>
      <w:pPr>
        <w:pStyle w:val="Heading2"/>
        <w:pStyle w:val="MdHeading2"/>
      </w:pPr>
      <w:r>
        <w:t xml:space="preserve">AI-Powered Paper Trading and Portfolio Risk Intelligence Platform</w:t>
      </w:r>
    </w:p>
    <w:p>
      <w:pPr>
        <w:pStyle w:val="MdBlockquote"/>
      </w:pPr>
      <w:r>
        <w:rPr>
          <w:rStyle w:val="MdStrong"/>
          <w:b/>
          <w:bCs/>
        </w:rPr>
        <w:t xml:space="preserve">Purpose:</w:t>
      </w:r>
      <w:r>
        <w:t xml:space="preserve"> Build a portfolio-quality, interview-ready fintech system that demonstrates full-stack engineering, financial mathematics, data engineering, explainable machine learning, security, testing, and production practices.</w:t>
      </w:r>
    </w:p>
    <w:p>
      <w:pPr>
        <w:pStyle w:val="MdSpace"/>
        <w:spacing w:before="0" w:after="60"/>
      </w:pPr>
    </w:p>
    <w:p>
      <w:pPr>
        <w:pStyle w:val="MdBlockquote"/>
      </w:pPr>
      <w:r>
        <w:rPr>
          <w:rStyle w:val="MdStrong"/>
          <w:b/>
          <w:bCs/>
        </w:rPr>
        <w:t xml:space="preserve">Non-negotiable product boundary:</w:t>
      </w:r>
      <w:r>
        <w:t xml:space="preserve"> This is an educational </w:t>
      </w:r>
      <w:r>
        <w:rPr>
          <w:rStyle w:val="MdStrong"/>
          <w:b/>
          <w:bCs/>
        </w:rPr>
        <w:t xml:space="preserve">paper-trading simulation</w:t>
      </w:r>
      <w:r>
        <w:t xml:space="preserve">. It must never support real-money deposits, withdrawals, payments, brokerage execution, or financial-account connectivity.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Build Objective</w:t>
      </w:r>
    </w:p>
    <w:p>
      <w:pPr>
        <w:pStyle w:val="MdParagraph"/>
      </w:pPr>
      <w:r>
        <w:t xml:space="preserve">Build a production-quality web application called </w:t>
      </w:r>
      <w:r>
        <w:rPr>
          <w:rStyle w:val="MdStrong"/>
          <w:b/>
          <w:bCs/>
        </w:rPr>
        <w:t xml:space="preserve">RiskLens</w:t>
      </w:r>
      <w:r>
        <w:t xml:space="preserve">. RiskLens helps users practice trading with virtual capital while understanding portfolio risk, concentration, diversification, market scenarios, and their own trading behavior.</w:t>
      </w:r>
    </w:p>
    <w:p>
      <w:pPr>
        <w:pStyle w:val="MdSpace"/>
        <w:spacing w:before="0" w:after="60"/>
      </w:pPr>
    </w:p>
    <w:p>
      <w:pPr>
        <w:pStyle w:val="MdParagraph"/>
      </w:pPr>
      <w:r>
        <w:t xml:space="preserve">The application must answer five questions clearly:</w:t>
      </w:r>
    </w:p>
    <w:p>
      <w:pPr>
        <w:pStyle w:val="MdSpace"/>
        <w:spacing w:before="0" w:after="60"/>
      </w:pPr>
    </w:p>
    <w:p>
      <w:pPr>
        <w:pStyle w:val="MdListItem"/>
        <w:numPr>
          <w:ilvl w:val="0"/>
          <w:numId w:val="2"/>
        </w:numPr>
      </w:pPr>
      <w:r>
        <w:rPr>
          <w:rStyle w:val="MdStrong"/>
          <w:b/>
          <w:bCs/>
        </w:rPr>
        <w:t xml:space="preserve">What is happening?</w:t>
      </w:r>
      <w:r>
        <w:t xml:space="preserve"> Market prices, charts, orders, portfolio performance, and news.</w:t>
      </w:r>
    </w:p>
    <w:p>
      <w:pPr>
        <w:pStyle w:val="MdListItem"/>
        <w:numPr>
          <w:ilvl w:val="0"/>
          <w:numId w:val="2"/>
        </w:numPr>
      </w:pPr>
      <w:r>
        <w:rPr>
          <w:rStyle w:val="MdStrong"/>
          <w:b/>
          <w:bCs/>
        </w:rPr>
        <w:t xml:space="preserve">How risky is it?</w:t>
      </w:r>
      <w:r>
        <w:t xml:space="preserve"> Stock-level and portfolio-level risk scores with professional metrics.</w:t>
      </w:r>
    </w:p>
    <w:p>
      <w:pPr>
        <w:pStyle w:val="MdListItem"/>
        <w:numPr>
          <w:ilvl w:val="0"/>
          <w:numId w:val="2"/>
        </w:numPr>
      </w:pPr>
      <w:r>
        <w:rPr>
          <w:rStyle w:val="MdStrong"/>
          <w:b/>
          <w:bCs/>
        </w:rPr>
        <w:t xml:space="preserve">Why is it risky?</w:t>
      </w:r>
      <w:r>
        <w:t xml:space="preserve"> Volatility, drawdown, beta, correlation, concentration, liquidity, and explainable contributors.</w:t>
      </w:r>
    </w:p>
    <w:p>
      <w:pPr>
        <w:pStyle w:val="MdListItem"/>
        <w:numPr>
          <w:ilvl w:val="0"/>
          <w:numId w:val="2"/>
        </w:numPr>
      </w:pPr>
      <w:r>
        <w:rPr>
          <w:rStyle w:val="MdStrong"/>
          <w:b/>
          <w:bCs/>
        </w:rPr>
        <w:t xml:space="preserve">What happens if conditions worsen?</w:t>
      </w:r>
      <w:r>
        <w:t xml:space="preserve"> What-if analysis, historical-style stress scenarios, and Value at Risk.</w:t>
      </w:r>
    </w:p>
    <w:p>
      <w:pPr>
        <w:pStyle w:val="MdListItem"/>
        <w:numPr>
          <w:ilvl w:val="0"/>
          <w:numId w:val="2"/>
        </w:numPr>
      </w:pPr>
      <w:r>
        <w:rPr>
          <w:rStyle w:val="MdStrong"/>
          <w:b/>
          <w:bCs/>
        </w:rPr>
        <w:t xml:space="preserve">Am I becoming a better trader?</w:t>
      </w:r>
      <w:r>
        <w:t xml:space="preserve"> Journal analysis, trading habits, discipline metrics, strategy performance, and trade post-mortems.</w:t>
      </w:r>
    </w:p>
    <w:p>
      <w:pPr>
        <w:pStyle w:val="MdSpace"/>
        <w:spacing w:before="0" w:after="60"/>
      </w:pPr>
    </w:p>
    <w:p>
      <w:pPr>
        <w:pStyle w:val="MdParagraph"/>
      </w:pPr>
      <w:r>
        <w:t xml:space="preserve">Prioritize mathematical correctness, traceability, clear data lineage, and a coherent end-to-end product over superficial feature count.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Required Technology Stack</w:t>
      </w:r>
    </w:p>
    <w:p>
      <w:pPr>
        <w:pStyle w:val="MdParagraph"/>
      </w:pPr>
      <w:r>
        <w:t xml:space="preserve">Use a TypeScript monorepo with a Python analytics service.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Layer</w:t>
            </w:r>
          </w:p>
        </w:tc>
        <w:tc>
          <w:tcPr>
            <w:tcMar>
              <w:top w:type="dxa" w:w="100"/>
              <w:left w:type="dxa" w:w="120"/>
              <w:bottom w:type="dxa" w:w="100"/>
              <w:right w:type="dxa" w:w="120"/>
            </w:tcMar>
            <w:vAlign w:val="center"/>
          </w:tcPr>
          <w:p>
            <w:pPr>
              <w:pStyle w:val="MdTableHeader"/>
            </w:pPr>
            <w:r>
              <w:t xml:space="preserve">Technology</w:t>
            </w:r>
          </w:p>
        </w:tc>
        <w:tc>
          <w:tcPr>
            <w:tcBorders>
              <w:right w:val="none"/>
            </w:tcBorders>
            <w:tcMar>
              <w:top w:type="dxa" w:w="100"/>
              <w:left w:type="dxa" w:w="120"/>
              <w:bottom w:type="dxa" w:w="100"/>
              <w:right w:type="dxa" w:w="120"/>
            </w:tcMar>
            <w:vAlign w:val="center"/>
          </w:tcPr>
          <w:p>
            <w:pPr>
              <w:pStyle w:val="MdTableHeader"/>
            </w:pPr>
            <w:r>
              <w:t xml:space="preserve">Responsibility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 client</w:t>
            </w:r>
          </w:p>
        </w:tc>
        <w:tc>
          <w:tcPr>
            <w:tcMar>
              <w:top w:type="dxa" w:w="80"/>
              <w:left w:type="dxa" w:w="120"/>
              <w:bottom w:type="dxa" w:w="80"/>
              <w:right w:type="dxa" w:w="120"/>
            </w:tcMar>
            <w:vAlign w:val="center"/>
          </w:tcPr>
          <w:p>
            <w:pPr>
              <w:pStyle w:val="MdTableCell"/>
            </w:pPr>
            <w:r>
              <w:t xml:space="preserve">React, TypeScript, Vite</w:t>
            </w:r>
          </w:p>
        </w:tc>
        <w:tc>
          <w:tcPr>
            <w:tcBorders>
              <w:right w:val="none"/>
            </w:tcBorders>
            <w:tcMar>
              <w:top w:type="dxa" w:w="80"/>
              <w:left w:type="dxa" w:w="120"/>
              <w:bottom w:type="dxa" w:w="80"/>
              <w:right w:type="dxa" w:w="120"/>
            </w:tcMar>
            <w:vAlign w:val="center"/>
          </w:tcPr>
          <w:p>
            <w:pPr>
              <w:pStyle w:val="MdTableCell"/>
            </w:pPr>
            <w:r>
              <w:t xml:space="preserve">User interface and client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Styling</w:t>
            </w:r>
          </w:p>
        </w:tc>
        <w:tc>
          <w:tcPr>
            <w:tcMar>
              <w:top w:type="dxa" w:w="80"/>
              <w:left w:type="dxa" w:w="120"/>
              <w:bottom w:type="dxa" w:w="80"/>
              <w:right w:type="dxa" w:w="120"/>
            </w:tcMar>
            <w:vAlign w:val="center"/>
          </w:tcPr>
          <w:p>
            <w:pPr>
              <w:pStyle w:val="MdTableCell"/>
            </w:pPr>
            <w:r>
              <w:t xml:space="preserve">Tailwind CSS, CSS variables</w:t>
            </w:r>
          </w:p>
        </w:tc>
        <w:tc>
          <w:tcPr>
            <w:tcBorders>
              <w:right w:val="none"/>
            </w:tcBorders>
            <w:tcMar>
              <w:top w:type="dxa" w:w="80"/>
              <w:left w:type="dxa" w:w="120"/>
              <w:bottom w:type="dxa" w:w="80"/>
              <w:right w:type="dxa" w:w="120"/>
            </w:tcMar>
            <w:vAlign w:val="center"/>
          </w:tcPr>
          <w:p>
            <w:pPr>
              <w:pStyle w:val="MdTableCell"/>
            </w:pPr>
            <w:r>
              <w:t xml:space="preserve">Responsive professional trading UI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UI components</w:t>
            </w:r>
          </w:p>
        </w:tc>
        <w:tc>
          <w:tcPr>
            <w:tcMar>
              <w:top w:type="dxa" w:w="80"/>
              <w:left w:type="dxa" w:w="120"/>
              <w:bottom w:type="dxa" w:w="80"/>
              <w:right w:type="dxa" w:w="120"/>
            </w:tcMar>
            <w:vAlign w:val="center"/>
          </w:tcPr>
          <w:p>
            <w:pPr>
              <w:pStyle w:val="MdTableCell"/>
            </w:pPr>
            <w:r>
              <w:t xml:space="preserve">Accessible headless component primitives</w:t>
            </w:r>
          </w:p>
        </w:tc>
        <w:tc>
          <w:tcPr>
            <w:tcBorders>
              <w:right w:val="none"/>
            </w:tcBorders>
            <w:tcMar>
              <w:top w:type="dxa" w:w="80"/>
              <w:left w:type="dxa" w:w="120"/>
              <w:bottom w:type="dxa" w:w="80"/>
              <w:right w:type="dxa" w:w="120"/>
            </w:tcMar>
            <w:vAlign w:val="center"/>
          </w:tcPr>
          <w:p>
            <w:pPr>
              <w:pStyle w:val="MdTableCell"/>
            </w:pPr>
            <w:r>
              <w:t xml:space="preserve">Forms, dialogs, tables, tabs, tooltips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Client data</w:t>
            </w:r>
          </w:p>
        </w:tc>
        <w:tc>
          <w:tcPr>
            <w:tcMar>
              <w:top w:type="dxa" w:w="80"/>
              <w:left w:type="dxa" w:w="120"/>
              <w:bottom w:type="dxa" w:w="80"/>
              <w:right w:type="dxa" w:w="120"/>
            </w:tcMar>
            <w:vAlign w:val="center"/>
          </w:tcPr>
          <w:p>
            <w:pPr>
              <w:pStyle w:val="MdTableCell"/>
            </w:pPr>
            <w:r>
              <w:t xml:space="preserve">TanStack Query</w:t>
            </w:r>
          </w:p>
        </w:tc>
        <w:tc>
          <w:tcPr>
            <w:tcBorders>
              <w:right w:val="none"/>
            </w:tcBorders>
            <w:tcMar>
              <w:top w:type="dxa" w:w="80"/>
              <w:left w:type="dxa" w:w="120"/>
              <w:bottom w:type="dxa" w:w="80"/>
              <w:right w:type="dxa" w:w="120"/>
            </w:tcMar>
            <w:vAlign w:val="center"/>
          </w:tcPr>
          <w:p>
            <w:pPr>
              <w:pStyle w:val="MdTableCell"/>
            </w:pPr>
            <w:r>
              <w:t xml:space="preserve">Server state, caching, retries, invalidation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Client local state</w:t>
            </w:r>
          </w:p>
        </w:tc>
        <w:tc>
          <w:tcPr>
            <w:tcMar>
              <w:top w:type="dxa" w:w="80"/>
              <w:left w:type="dxa" w:w="120"/>
              <w:bottom w:type="dxa" w:w="80"/>
              <w:right w:type="dxa" w:w="120"/>
            </w:tcMar>
            <w:vAlign w:val="center"/>
          </w:tcPr>
          <w:p>
            <w:pPr>
              <w:pStyle w:val="MdTableCell"/>
            </w:pPr>
            <w:r>
              <w:t xml:space="preserve">Zustand</w:t>
            </w:r>
          </w:p>
        </w:tc>
        <w:tc>
          <w:tcPr>
            <w:tcBorders>
              <w:right w:val="none"/>
            </w:tcBorders>
            <w:tcMar>
              <w:top w:type="dxa" w:w="80"/>
              <w:left w:type="dxa" w:w="120"/>
              <w:bottom w:type="dxa" w:w="80"/>
              <w:right w:type="dxa" w:w="120"/>
            </w:tcMar>
            <w:vAlign w:val="center"/>
          </w:tcPr>
          <w:p>
            <w:pPr>
              <w:pStyle w:val="MdTableCell"/>
            </w:pPr>
            <w:r>
              <w:t xml:space="preserve">Auth UI state, chart preferences, filters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Routing</w:t>
            </w:r>
          </w:p>
        </w:tc>
        <w:tc>
          <w:tcPr>
            <w:tcMar>
              <w:top w:type="dxa" w:w="80"/>
              <w:left w:type="dxa" w:w="120"/>
              <w:bottom w:type="dxa" w:w="80"/>
              <w:right w:type="dxa" w:w="120"/>
            </w:tcMar>
            <w:vAlign w:val="center"/>
          </w:tcPr>
          <w:p>
            <w:pPr>
              <w:pStyle w:val="MdTableCell"/>
            </w:pPr>
            <w:r>
              <w:t xml:space="preserve">React Router</w:t>
            </w:r>
          </w:p>
        </w:tc>
        <w:tc>
          <w:tcPr>
            <w:tcBorders>
              <w:right w:val="none"/>
            </w:tcBorders>
            <w:tcMar>
              <w:top w:type="dxa" w:w="80"/>
              <w:left w:type="dxa" w:w="120"/>
              <w:bottom w:type="dxa" w:w="80"/>
              <w:right w:type="dxa" w:w="120"/>
            </w:tcMar>
            <w:vAlign w:val="center"/>
          </w:tcPr>
          <w:p>
            <w:pPr>
              <w:pStyle w:val="MdTableCell"/>
            </w:pPr>
            <w:r>
              <w:t xml:space="preserve">Protected and public routes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Charts</w:t>
            </w:r>
          </w:p>
        </w:tc>
        <w:tc>
          <w:tcPr>
            <w:tcMar>
              <w:top w:type="dxa" w:w="80"/>
              <w:left w:type="dxa" w:w="120"/>
              <w:bottom w:type="dxa" w:w="80"/>
              <w:right w:type="dxa" w:w="120"/>
            </w:tcMar>
            <w:vAlign w:val="center"/>
          </w:tcPr>
          <w:p>
            <w:pPr>
              <w:pStyle w:val="MdTableCell"/>
            </w:pPr>
            <w:r>
              <w:t xml:space="preserve">TradingView Lightweight Charts or equivalent</w:t>
            </w:r>
          </w:p>
        </w:tc>
        <w:tc>
          <w:tcPr>
            <w:tcBorders>
              <w:right w:val="none"/>
            </w:tcBorders>
            <w:tcMar>
              <w:top w:type="dxa" w:w="80"/>
              <w:left w:type="dxa" w:w="120"/>
              <w:bottom w:type="dxa" w:w="80"/>
              <w:right w:type="dxa" w:w="120"/>
            </w:tcMar>
            <w:vAlign w:val="center"/>
          </w:tcPr>
          <w:p>
            <w:pPr>
              <w:pStyle w:val="MdTableCell"/>
            </w:pPr>
            <w:r>
              <w:t xml:space="preserve">Candles, line charts, volume, crosshair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Secondary charts</w:t>
            </w:r>
          </w:p>
        </w:tc>
        <w:tc>
          <w:tcPr>
            <w:tcMar>
              <w:top w:type="dxa" w:w="80"/>
              <w:left w:type="dxa" w:w="120"/>
              <w:bottom w:type="dxa" w:w="80"/>
              <w:right w:type="dxa" w:w="120"/>
            </w:tcMar>
            <w:vAlign w:val="center"/>
          </w:tcPr>
          <w:p>
            <w:pPr>
              <w:pStyle w:val="MdTableCell"/>
            </w:pPr>
            <w:r>
              <w:t xml:space="preserve">Recharts or equivalent</w:t>
            </w:r>
          </w:p>
        </w:tc>
        <w:tc>
          <w:tcPr>
            <w:tcBorders>
              <w:right w:val="none"/>
            </w:tcBorders>
            <w:tcMar>
              <w:top w:type="dxa" w:w="80"/>
              <w:left w:type="dxa" w:w="120"/>
              <w:bottom w:type="dxa" w:w="80"/>
              <w:right w:type="dxa" w:w="120"/>
            </w:tcMar>
            <w:vAlign w:val="center"/>
          </w:tcPr>
          <w:p>
            <w:pPr>
              <w:pStyle w:val="MdTableCell"/>
            </w:pPr>
            <w:r>
              <w:t xml:space="preserve">Allocation, distributions, score breakdowns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API server</w:t>
            </w:r>
          </w:p>
        </w:tc>
        <w:tc>
          <w:tcPr>
            <w:tcMar>
              <w:top w:type="dxa" w:w="80"/>
              <w:left w:type="dxa" w:w="120"/>
              <w:bottom w:type="dxa" w:w="80"/>
              <w:right w:type="dxa" w:w="120"/>
            </w:tcMar>
            <w:vAlign w:val="center"/>
          </w:tcPr>
          <w:p>
            <w:pPr>
              <w:pStyle w:val="MdTableCell"/>
            </w:pPr>
            <w:r>
              <w:t xml:space="preserve">Node.js, Express, TypeScript</w:t>
            </w:r>
          </w:p>
        </w:tc>
        <w:tc>
          <w:tcPr>
            <w:tcBorders>
              <w:right w:val="none"/>
            </w:tcBorders>
            <w:tcMar>
              <w:top w:type="dxa" w:w="80"/>
              <w:left w:type="dxa" w:w="120"/>
              <w:bottom w:type="dxa" w:w="80"/>
              <w:right w:type="dxa" w:w="120"/>
            </w:tcMar>
            <w:vAlign w:val="center"/>
          </w:tcPr>
          <w:p>
            <w:pPr>
              <w:pStyle w:val="MdTableCell"/>
            </w:pPr>
            <w:r>
              <w:t xml:space="preserve">REST API, auth, order orchestration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Validation</w:t>
            </w:r>
          </w:p>
        </w:tc>
        <w:tc>
          <w:tcPr>
            <w:tcMar>
              <w:top w:type="dxa" w:w="80"/>
              <w:left w:type="dxa" w:w="120"/>
              <w:bottom w:type="dxa" w:w="80"/>
              <w:right w:type="dxa" w:w="120"/>
            </w:tcMar>
            <w:vAlign w:val="center"/>
          </w:tcPr>
          <w:p>
            <w:pPr>
              <w:pStyle w:val="MdTableCell"/>
            </w:pPr>
            <w:r>
              <w:t xml:space="preserve">Zod on the API boundary</w:t>
            </w:r>
          </w:p>
        </w:tc>
        <w:tc>
          <w:tcPr>
            <w:tcBorders>
              <w:right w:val="none"/>
            </w:tcBorders>
            <w:tcMar>
              <w:top w:type="dxa" w:w="80"/>
              <w:left w:type="dxa" w:w="120"/>
              <w:bottom w:type="dxa" w:w="80"/>
              <w:right w:type="dxa" w:w="120"/>
            </w:tcMar>
            <w:vAlign w:val="center"/>
          </w:tcPr>
          <w:p>
            <w:pPr>
              <w:pStyle w:val="MdTableCell"/>
            </w:pPr>
            <w:r>
              <w:t xml:space="preserve">Runtime request and response validation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ORM</w:t>
            </w:r>
          </w:p>
        </w:tc>
        <w:tc>
          <w:tcPr>
            <w:tcMar>
              <w:top w:type="dxa" w:w="80"/>
              <w:left w:type="dxa" w:w="120"/>
              <w:bottom w:type="dxa" w:w="80"/>
              <w:right w:type="dxa" w:w="120"/>
            </w:tcMar>
            <w:vAlign w:val="center"/>
          </w:tcPr>
          <w:p>
            <w:pPr>
              <w:pStyle w:val="MdTableCell"/>
            </w:pPr>
            <w:r>
              <w:t xml:space="preserve">Prisma</w:t>
            </w:r>
          </w:p>
        </w:tc>
        <w:tc>
          <w:tcPr>
            <w:tcBorders>
              <w:right w:val="none"/>
            </w:tcBorders>
            <w:tcMar>
              <w:top w:type="dxa" w:w="80"/>
              <w:left w:type="dxa" w:w="120"/>
              <w:bottom w:type="dxa" w:w="80"/>
              <w:right w:type="dxa" w:w="120"/>
            </w:tcMar>
            <w:vAlign w:val="center"/>
          </w:tcPr>
          <w:p>
            <w:pPr>
              <w:pStyle w:val="MdTableCell"/>
            </w:pPr>
            <w:r>
              <w:t xml:space="preserve">PostgreSQL access and migrations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Database</w:t>
            </w:r>
          </w:p>
        </w:tc>
        <w:tc>
          <w:tcPr>
            <w:tcMar>
              <w:top w:type="dxa" w:w="80"/>
              <w:left w:type="dxa" w:w="120"/>
              <w:bottom w:type="dxa" w:w="80"/>
              <w:right w:type="dxa" w:w="120"/>
            </w:tcMar>
            <w:vAlign w:val="center"/>
          </w:tcPr>
          <w:p>
            <w:pPr>
              <w:pStyle w:val="MdTableCell"/>
            </w:pPr>
            <w:r>
              <w:t xml:space="preserve">PostgreSQL</w:t>
            </w:r>
          </w:p>
        </w:tc>
        <w:tc>
          <w:tcPr>
            <w:tcBorders>
              <w:right w:val="none"/>
            </w:tcBorders>
            <w:tcMar>
              <w:top w:type="dxa" w:w="80"/>
              <w:left w:type="dxa" w:w="120"/>
              <w:bottom w:type="dxa" w:w="80"/>
              <w:right w:type="dxa" w:w="120"/>
            </w:tcMar>
            <w:vAlign w:val="center"/>
          </w:tcPr>
          <w:p>
            <w:pPr>
              <w:pStyle w:val="MdTableCell"/>
            </w:pPr>
            <w:r>
              <w:t xml:space="preserve">System of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Cache and queue</w:t>
            </w:r>
          </w:p>
        </w:tc>
        <w:tc>
          <w:tcPr>
            <w:tcMar>
              <w:top w:type="dxa" w:w="80"/>
              <w:left w:type="dxa" w:w="120"/>
              <w:bottom w:type="dxa" w:w="80"/>
              <w:right w:type="dxa" w:w="120"/>
            </w:tcMar>
            <w:vAlign w:val="center"/>
          </w:tcPr>
          <w:p>
            <w:pPr>
              <w:pStyle w:val="MdTableCell"/>
            </w:pPr>
            <w:r>
              <w:t xml:space="preserve">Redis, BullMQ</w:t>
            </w:r>
          </w:p>
        </w:tc>
        <w:tc>
          <w:tcPr>
            <w:tcBorders>
              <w:right w:val="none"/>
            </w:tcBorders>
            <w:tcMar>
              <w:top w:type="dxa" w:w="80"/>
              <w:left w:type="dxa" w:w="120"/>
              <w:bottom w:type="dxa" w:w="80"/>
              <w:right w:type="dxa" w:w="120"/>
            </w:tcMar>
            <w:vAlign w:val="center"/>
          </w:tcPr>
          <w:p>
            <w:pPr>
              <w:pStyle w:val="MdTableCell"/>
            </w:pPr>
            <w:r>
              <w:t xml:space="preserve">Cache, rate limiting, background jobs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Analytics service</w:t>
            </w:r>
          </w:p>
        </w:tc>
        <w:tc>
          <w:tcPr>
            <w:tcMar>
              <w:top w:type="dxa" w:w="80"/>
              <w:left w:type="dxa" w:w="120"/>
              <w:bottom w:type="dxa" w:w="80"/>
              <w:right w:type="dxa" w:w="120"/>
            </w:tcMar>
            <w:vAlign w:val="center"/>
          </w:tcPr>
          <w:p>
            <w:pPr>
              <w:pStyle w:val="MdTableCell"/>
            </w:pPr>
            <w:r>
              <w:t xml:space="preserve">Python, FastAPI</w:t>
            </w:r>
          </w:p>
        </w:tc>
        <w:tc>
          <w:tcPr>
            <w:tcBorders>
              <w:right w:val="none"/>
            </w:tcBorders>
            <w:tcMar>
              <w:top w:type="dxa" w:w="80"/>
              <w:left w:type="dxa" w:w="120"/>
              <w:bottom w:type="dxa" w:w="80"/>
              <w:right w:type="dxa" w:w="120"/>
            </w:tcMar>
            <w:vAlign w:val="center"/>
          </w:tcPr>
          <w:p>
            <w:pPr>
              <w:pStyle w:val="MdTableCell"/>
            </w:pPr>
            <w:r>
              <w:t xml:space="preserve">Risk calculations, ML, quantitative analytics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Analytics libraries</w:t>
            </w:r>
          </w:p>
        </w:tc>
        <w:tc>
          <w:tcPr>
            <w:tcMar>
              <w:top w:type="dxa" w:w="80"/>
              <w:left w:type="dxa" w:w="120"/>
              <w:bottom w:type="dxa" w:w="80"/>
              <w:right w:type="dxa" w:w="120"/>
            </w:tcMar>
            <w:vAlign w:val="center"/>
          </w:tcPr>
          <w:p>
            <w:pPr>
              <w:pStyle w:val="MdTableCell"/>
            </w:pPr>
            <w:r>
              <w:t xml:space="preserve">NumPy, Pandas, SciPy, scikit-learn</w:t>
            </w:r>
          </w:p>
        </w:tc>
        <w:tc>
          <w:tcPr>
            <w:tcBorders>
              <w:right w:val="none"/>
            </w:tcBorders>
            <w:tcMar>
              <w:top w:type="dxa" w:w="80"/>
              <w:left w:type="dxa" w:w="120"/>
              <w:bottom w:type="dxa" w:w="80"/>
              <w:right w:type="dxa" w:w="120"/>
            </w:tcMar>
            <w:vAlign w:val="center"/>
          </w:tcPr>
          <w:p>
            <w:pPr>
              <w:pStyle w:val="MdTableCell"/>
            </w:pPr>
            <w:r>
              <w:t xml:space="preserve">Financial statistics and ML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Testing</w:t>
            </w:r>
          </w:p>
        </w:tc>
        <w:tc>
          <w:tcPr>
            <w:tcMar>
              <w:top w:type="dxa" w:w="80"/>
              <w:left w:type="dxa" w:w="120"/>
              <w:bottom w:type="dxa" w:w="80"/>
              <w:right w:type="dxa" w:w="120"/>
            </w:tcMar>
            <w:vAlign w:val="center"/>
          </w:tcPr>
          <w:p>
            <w:pPr>
              <w:pStyle w:val="MdTableCell"/>
            </w:pPr>
            <w:r>
              <w:t xml:space="preserve">Vitest, Supertest, Playwright, Pytest</w:t>
            </w:r>
          </w:p>
        </w:tc>
        <w:tc>
          <w:tcPr>
            <w:tcBorders>
              <w:right w:val="none"/>
            </w:tcBorders>
            <w:tcMar>
              <w:top w:type="dxa" w:w="80"/>
              <w:left w:type="dxa" w:w="120"/>
              <w:bottom w:type="dxa" w:w="80"/>
              <w:right w:type="dxa" w:w="120"/>
            </w:tcMar>
            <w:vAlign w:val="center"/>
          </w:tcPr>
          <w:p>
            <w:pPr>
              <w:pStyle w:val="MdTableCell"/>
            </w:pPr>
            <w:r>
              <w:t xml:space="preserve">Unit, integration, and end-to-end tests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Dev environment</w:t>
            </w:r>
          </w:p>
        </w:tc>
        <w:tc>
          <w:tcPr>
            <w:tcMar>
              <w:top w:type="dxa" w:w="80"/>
              <w:left w:type="dxa" w:w="120"/>
              <w:bottom w:type="dxa" w:w="80"/>
              <w:right w:type="dxa" w:w="120"/>
            </w:tcMar>
            <w:vAlign w:val="center"/>
          </w:tcPr>
          <w:p>
            <w:pPr>
              <w:pStyle w:val="MdTableCell"/>
            </w:pPr>
            <w:r>
              <w:t xml:space="preserve">Docker Compose</w:t>
            </w:r>
          </w:p>
        </w:tc>
        <w:tc>
          <w:tcPr>
            <w:tcBorders>
              <w:right w:val="none"/>
            </w:tcBorders>
            <w:tcMar>
              <w:top w:type="dxa" w:w="80"/>
              <w:left w:type="dxa" w:w="120"/>
              <w:bottom w:type="dxa" w:w="80"/>
              <w:right w:type="dxa" w:w="120"/>
            </w:tcMar>
            <w:vAlign w:val="center"/>
          </w:tcPr>
          <w:p>
            <w:pPr>
              <w:pStyle w:val="MdTableCell"/>
            </w:pPr>
            <w:r>
              <w:t xml:space="preserve">PostgreSQL, Redis, API, worker, ML service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CI</w:t>
            </w:r>
          </w:p>
        </w:tc>
        <w:tc>
          <w:tcPr>
            <w:tcBorders>
              <w:bottom w:val="single" w:color="E1E4E8" w:sz="4"/>
            </w:tcBorders>
            <w:tcMar>
              <w:top w:type="dxa" w:w="80"/>
              <w:left w:type="dxa" w:w="120"/>
              <w:bottom w:type="dxa" w:w="80"/>
              <w:right w:type="dxa" w:w="120"/>
            </w:tcMar>
            <w:vAlign w:val="center"/>
          </w:tcPr>
          <w:p>
            <w:pPr>
              <w:pStyle w:val="MdTableCell"/>
            </w:pPr>
            <w:r>
              <w:t xml:space="preserve">GitHub Actions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Lint, type-check, tests, build, security checks</w:t>
            </w:r>
          </w:p>
        </w:tc>
      </w:tr>
    </w:tbl>
    <w:p>
      <w:pPr>
        <w:pStyle w:val="MdParagraph"/>
      </w:pPr>
      <w:r>
        <w:t xml:space="preserve">Use strict TypeScript. Do not use </w:t>
      </w:r>
      <w:r>
        <w:rPr>
          <w:rStyle w:val="MdCode"/>
          <w:u w:val="single"/>
        </w:rPr>
        <w:t xml:space="preserve">any</w:t>
      </w:r>
      <w:r>
        <w:t xml:space="preserve"> for domain objects. Use UTC timestamps in storage and ISO-8601 timestamps at API boundaries. Store monetary values as integer minor units where practical, with an explicit currency field. For Indian Rupee display, format in INR in the UI.</w:t>
      </w:r>
    </w:p>
    <w:p>
      <w:pPr>
        <w:pStyle w:val="MdSpace"/>
        <w:spacing w:before="0" w:after="60"/>
      </w:pPr>
    </w:p>
    <w:p>
      <w:pPr>
        <w:pStyle w:val="MdParagraph"/>
      </w:pPr>
      <w:r>
        <w:t xml:space="preserve">Use a </w:t>
      </w:r>
      <w:r>
        <w:rPr>
          <w:rStyle w:val="MdStrong"/>
          <w:b/>
          <w:bCs/>
        </w:rPr>
        <w:t xml:space="preserve">modular monolith</w:t>
      </w:r>
      <w:r>
        <w:t xml:space="preserve"> for the Node.js backend rather than premature microservices. Keep the Python analytics service separate because it has a distinct runtime and dependency profile. This architecture is easier to run locally, easier to test, and still demonstrates clear service boundaries.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Repository Structure</w:t>
      </w:r>
    </w:p>
    <w:p>
      <w:pPr>
        <w:pStyle w:val="MdParagraph"/>
      </w:pPr>
      <w:r>
        <w:t xml:space="preserve">Create this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risklens/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web/                         # React frontend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api/                         # Express REST 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worker/                      # BullMQ background workers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ml-service/                  # FastAPI quantitative analytics service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contracts/                   # Shared Zod schemas and API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domain/                      # Shared enums and pure domain types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config/                      # Environment parsing and configuration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eslint-config/</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prisma/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schema.prisma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migrations/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seed.ts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architecture.md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risk-methodology.md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api.md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adr/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scripts/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seed-demo-data.ts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verify-demo-flow.ts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docker-compose.yml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Dockerfile.api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Dockerfile.web</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Dockerfile.worker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Dockerfile.ml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pnpm-workspace.yaml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package.json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turbo.json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.env.example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README.md</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.github/workflows/ci.yml</w:t>
      </w:r>
    </w:p>
    <w:p>
      <w:pPr>
        <w:pStyle w:val="MdSpace"/>
        <w:spacing w:before="0" w:after="60"/>
      </w:pPr>
    </w:p>
    <w:p>
      <w:pPr>
        <w:pStyle w:val="MdParagraph"/>
      </w:pPr>
      <w:r>
        <w:t xml:space="preserve">Within the API, use feature modules: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apps/api/src/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app.ts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server.ts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middleware/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modules/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auth/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users/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market-data/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portfolio/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risk/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journal/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alerts/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copilot/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integrations/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market-data/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llm/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jobs/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db/</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observability/</w:t>
      </w:r>
    </w:p>
    <w:p>
      <w:pPr>
        <w:pStyle w:val="MdSpace"/>
        <w:spacing w:before="0" w:after="60"/>
      </w:pPr>
    </w:p>
    <w:p>
      <w:pPr>
        <w:pStyle w:val="MdParagraph"/>
      </w:pPr>
      <w:r>
        <w:t xml:space="preserve">Each module must separate </w:t>
      </w:r>
      <w:r>
        <w:rPr>
          <w:rStyle w:val="MdCode"/>
          <w:u w:val="single"/>
        </w:rPr>
        <w:t xml:space="preserve">routes</w:t>
      </w:r>
      <w:r>
        <w:t xml:space="preserve">, </w:t>
      </w:r>
      <w:r>
        <w:rPr>
          <w:rStyle w:val="MdCode"/>
          <w:u w:val="single"/>
        </w:rPr>
        <w:t xml:space="preserve">schemas</w:t>
      </w:r>
      <w:r>
        <w:t xml:space="preserve">, </w:t>
      </w:r>
      <w:r>
        <w:rPr>
          <w:rStyle w:val="MdCode"/>
          <w:u w:val="single"/>
        </w:rPr>
        <w:t xml:space="preserve">service</w:t>
      </w:r>
      <w:r>
        <w:t xml:space="preserve">, </w:t>
      </w:r>
      <w:r>
        <w:rPr>
          <w:rStyle w:val="MdCode"/>
          <w:u w:val="single"/>
        </w:rPr>
        <w:t xml:space="preserve">repository</w:t>
      </w:r>
      <w:r>
        <w:t xml:space="preserve">, and </w:t>
      </w:r>
      <w:r>
        <w:rPr>
          <w:rStyle w:val="MdCode"/>
          <w:u w:val="single"/>
        </w:rPr>
        <w:t xml:space="preserve">mapper</w:t>
      </w:r>
      <w:r>
        <w:t xml:space="preserve"> responsibilities. Routes handle HTTP only. Services own business rules. Repositories own persistence. Domain calculations must be pure functions where possible.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Product and UX Requirements</w:t>
      </w:r>
    </w:p>
    <w:p>
      <w:pPr>
        <w:pStyle w:val="MdParagraph"/>
      </w:pPr>
      <w:r>
        <w:t xml:space="preserve">Use a serious financial-product visual language. The default theme should be dark, with a light-mode toggle. Use a restrained palette, dense but readable layouts, tabular numerals, clear hierarchy, and responsive behavior.</w:t>
      </w:r>
    </w:p>
    <w:p>
      <w:pPr>
        <w:pStyle w:val="MdSpace"/>
        <w:spacing w:before="0" w:after="60"/>
      </w:pPr>
    </w:p>
    <w:p>
      <w:pPr>
        <w:pStyle w:val="MdParagraph"/>
      </w:pPr>
      <w:r>
        <w:t xml:space="preserve">Do not use generic Bootstrap styling, excessive gradients, random animation, neon colors, fake live-data claims, or a permanently expanded chatbot. Use skeleton states, empty states, inline validation, error recovery, and tooltips for unfamiliar metrics.</w:t>
      </w:r>
    </w:p>
    <w:p>
      <w:pPr>
        <w:pStyle w:val="MdSpace"/>
        <w:spacing w:before="0" w:after="60"/>
      </w:pPr>
    </w:p>
    <w:p>
      <w:pPr>
        <w:pStyle w:val="MdParagraph"/>
      </w:pPr>
      <w:r>
        <w:t xml:space="preserve">Every risk indicator must include text as well as color. Use the following labels: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Score</w:t>
            </w:r>
          </w:p>
        </w:tc>
        <w:tc>
          <w:tcPr>
            <w:tcBorders>
              <w:right w:val="none"/>
            </w:tcBorders>
            <w:tcMar>
              <w:top w:type="dxa" w:w="100"/>
              <w:left w:type="dxa" w:w="120"/>
              <w:bottom w:type="dxa" w:w="100"/>
              <w:right w:type="dxa" w:w="120"/>
            </w:tcMar>
            <w:vAlign w:val="center"/>
          </w:tcPr>
          <w:p>
            <w:pPr>
              <w:pStyle w:val="MdTableHeader"/>
            </w:pPr>
            <w:r>
              <w:t xml:space="preserve">Label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0–20</w:t>
            </w:r>
          </w:p>
        </w:tc>
        <w:tc>
          <w:tcPr>
            <w:tcBorders>
              <w:right w:val="none"/>
            </w:tcBorders>
            <w:tcMar>
              <w:top w:type="dxa" w:w="80"/>
              <w:left w:type="dxa" w:w="120"/>
              <w:bottom w:type="dxa" w:w="80"/>
              <w:right w:type="dxa" w:w="120"/>
            </w:tcMar>
            <w:vAlign w:val="center"/>
          </w:tcPr>
          <w:p>
            <w:pPr>
              <w:pStyle w:val="MdTableCell"/>
            </w:pPr>
            <w:r>
              <w:t xml:space="preserve">Very 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21–40</w:t>
            </w:r>
          </w:p>
        </w:tc>
        <w:tc>
          <w:tcPr>
            <w:tcBorders>
              <w:right w:val="none"/>
            </w:tcBorders>
            <w:tcMar>
              <w:top w:type="dxa" w:w="80"/>
              <w:left w:type="dxa" w:w="120"/>
              <w:bottom w:type="dxa" w:w="80"/>
              <w:right w:type="dxa" w:w="120"/>
            </w:tcMar>
            <w:vAlign w:val="center"/>
          </w:tcPr>
          <w:p>
            <w:pPr>
              <w:pStyle w:val="MdTableCell"/>
            </w:pPr>
            <w:r>
              <w:t xml:space="preserve">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41–60</w:t>
            </w:r>
          </w:p>
        </w:tc>
        <w:tc>
          <w:tcPr>
            <w:tcBorders>
              <w:right w:val="none"/>
            </w:tcBorders>
            <w:tcMar>
              <w:top w:type="dxa" w:w="80"/>
              <w:left w:type="dxa" w:w="120"/>
              <w:bottom w:type="dxa" w:w="80"/>
              <w:right w:type="dxa" w:w="120"/>
            </w:tcMar>
            <w:vAlign w:val="center"/>
          </w:tcPr>
          <w:p>
            <w:pPr>
              <w:pStyle w:val="MdTableCell"/>
            </w:pPr>
            <w:r>
              <w:t xml:space="preserve">Moderate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61–80</w:t>
            </w:r>
          </w:p>
        </w:tc>
        <w:tc>
          <w:tcPr>
            <w:tcBorders>
              <w:right w:val="none"/>
            </w:tcBorders>
            <w:tcMar>
              <w:top w:type="dxa" w:w="80"/>
              <w:left w:type="dxa" w:w="120"/>
              <w:bottom w:type="dxa" w:w="80"/>
              <w:right w:type="dxa" w:w="120"/>
            </w:tcMar>
            <w:vAlign w:val="center"/>
          </w:tcPr>
          <w:p>
            <w:pPr>
              <w:pStyle w:val="MdTableCell"/>
            </w:pPr>
            <w:r>
              <w:t xml:space="preserve">High</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81–100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Very High</w:t>
            </w:r>
          </w:p>
        </w:tc>
      </w:tr>
    </w:tbl>
    <w:p>
      <w:pPr>
        <w:pStyle w:val="MdParagraph"/>
      </w:pPr>
      <w:r>
        <w:t xml:space="preserve">Place a persistent but unobtrusive banner in the authenticated app:</w:t>
      </w:r>
    </w:p>
    <w:p>
      <w:pPr>
        <w:pStyle w:val="MdSpace"/>
        <w:spacing w:before="0" w:after="60"/>
      </w:pPr>
    </w:p>
    <w:p>
      <w:pPr>
        <w:pStyle w:val="MdBlockquote"/>
      </w:pPr>
      <w:r>
        <w:rPr>
          <w:rStyle w:val="MdStrong"/>
          <w:b/>
          <w:bCs/>
        </w:rPr>
        <w:t xml:space="preserve">PAPER TRADING / SIMULATION.</w:t>
      </w:r>
      <w:r>
        <w:t xml:space="preserve"> This platform uses virtual capital for educational purposes. Risk scores, simulations, predictions, and AI-generated insights are estimates based on available data and assumptions. They are not financial advice and do not guarantee outcomes.</w:t>
      </w:r>
    </w:p>
    <w:p>
      <w:pPr>
        <w:pStyle w:val="MdSpace"/>
        <w:spacing w:before="0" w:after="60"/>
      </w:pPr>
    </w:p>
    <w:p>
      <w:pPr>
        <w:pStyle w:val="MdParagraph"/>
      </w:pPr>
      <w:r>
        <w:t xml:space="preserve">Primary navigation:</w:t>
      </w:r>
    </w:p>
    <w:p>
      <w:pPr>
        <w:pStyle w:val="MdSpace"/>
        <w:spacing w:before="0" w:after="60"/>
      </w:pPr>
    </w:p>
    <w:p>
      <w:pPr>
        <w:pStyle w:val="MdListItem"/>
        <w:numPr>
          <w:ilvl w:val="0"/>
          <w:numId w:val="3"/>
        </w:numPr>
      </w:pPr>
      <w:r>
        <w:t xml:space="preserve">Dashboard</w:t>
      </w:r>
    </w:p>
    <w:p>
      <w:pPr>
        <w:pStyle w:val="MdListItem"/>
        <w:numPr>
          <w:ilvl w:val="0"/>
          <w:numId w:val="3"/>
        </w:numPr>
      </w:pPr>
      <w:r>
        <w:t xml:space="preserve">Markets</w:t>
      </w:r>
    </w:p>
    <w:p>
      <w:pPr>
        <w:pStyle w:val="MdListItem"/>
        <w:numPr>
          <w:ilvl w:val="0"/>
          <w:numId w:val="3"/>
        </w:numPr>
      </w:pPr>
      <w:r>
        <w:t xml:space="preserve">Watchlist</w:t>
      </w:r>
    </w:p>
    <w:p>
      <w:pPr>
        <w:pStyle w:val="MdListItem"/>
        <w:numPr>
          <w:ilvl w:val="0"/>
          <w:numId w:val="3"/>
        </w:numPr>
      </w:pPr>
      <w:r>
        <w:t xml:space="preserve">Portfolio</w:t>
      </w:r>
    </w:p>
    <w:p>
      <w:pPr>
        <w:pStyle w:val="MdListItem"/>
        <w:numPr>
          <w:ilvl w:val="0"/>
          <w:numId w:val="3"/>
        </w:numPr>
      </w:pPr>
      <w:r>
        <w:t xml:space="preserve">Trade</w:t>
      </w:r>
    </w:p>
    <w:p>
      <w:pPr>
        <w:pStyle w:val="MdListItem"/>
        <w:numPr>
          <w:ilvl w:val="0"/>
          <w:numId w:val="3"/>
        </w:numPr>
      </w:pPr>
      <w:r>
        <w:t xml:space="preserve">Orders</w:t>
      </w:r>
    </w:p>
    <w:p>
      <w:pPr>
        <w:pStyle w:val="MdListItem"/>
        <w:numPr>
          <w:ilvl w:val="0"/>
          <w:numId w:val="3"/>
        </w:numPr>
      </w:pPr>
      <w:r>
        <w:t xml:space="preserve">Risk Analysis</w:t>
      </w:r>
    </w:p>
    <w:p>
      <w:pPr>
        <w:pStyle w:val="MdListItem"/>
        <w:numPr>
          <w:ilvl w:val="0"/>
          <w:numId w:val="3"/>
        </w:numPr>
      </w:pPr>
      <w:r>
        <w:t xml:space="preserve">News</w:t>
      </w:r>
    </w:p>
    <w:p>
      <w:pPr>
        <w:pStyle w:val="MdListItem"/>
        <w:numPr>
          <w:ilvl w:val="0"/>
          <w:numId w:val="3"/>
        </w:numPr>
      </w:pPr>
      <w:r>
        <w:t xml:space="preserve">Trading Journal</w:t>
      </w:r>
    </w:p>
    <w:p>
      <w:pPr>
        <w:pStyle w:val="MdListItem"/>
        <w:numPr>
          <w:ilvl w:val="0"/>
          <w:numId w:val="3"/>
        </w:numPr>
      </w:pPr>
      <w:r>
        <w:t xml:space="preserve">Trading Analytics</w:t>
      </w:r>
    </w:p>
    <w:p>
      <w:pPr>
        <w:pStyle w:val="MdListItem"/>
        <w:numPr>
          <w:ilvl w:val="0"/>
          <w:numId w:val="3"/>
        </w:numPr>
      </w:pPr>
      <w:r>
        <w:t xml:space="preserve">AI Copilot</w:t>
      </w:r>
    </w:p>
    <w:p>
      <w:pPr>
        <w:pStyle w:val="MdListItem"/>
        <w:numPr>
          <w:ilvl w:val="0"/>
          <w:numId w:val="3"/>
        </w:numPr>
      </w:pPr>
      <w:r>
        <w:t xml:space="preserve">Profile</w:t>
      </w:r>
    </w:p>
    <w:p>
      <w:pPr>
        <w:pStyle w:val="MdListItem"/>
        <w:numPr>
          <w:ilvl w:val="0"/>
          <w:numId w:val="3"/>
        </w:numPr>
      </w:pPr>
      <w:r>
        <w:t xml:space="preserve">Settings</w:t>
      </w:r>
    </w:p>
    <w:p>
      <w:pPr>
        <w:pStyle w:val="MdSpace"/>
        <w:spacing w:before="0" w:after="60"/>
      </w:pPr>
    </w:p>
    <w:p>
      <w:pPr>
        <w:pStyle w:val="MdParagraph"/>
      </w:pPr>
      <w:r>
        <w:t xml:space="preserve">Required pages:</w:t>
      </w:r>
    </w:p>
    <w:p>
      <w:pPr>
        <w:pStyle w:val="MdSpace"/>
        <w:spacing w:before="0" w:after="60"/>
      </w:pPr>
    </w:p>
    <w:p>
      <w:pPr>
        <w:pStyle w:val="MdListItem"/>
        <w:numPr>
          <w:ilvl w:val="0"/>
          <w:numId w:val="2"/>
        </w:numPr>
      </w:pPr>
      <w:r>
        <w:t xml:space="preserve">Landing and product explanation.</w:t>
      </w:r>
    </w:p>
    <w:p>
      <w:pPr>
        <w:pStyle w:val="MdListItem"/>
        <w:numPr>
          <w:ilvl w:val="0"/>
          <w:numId w:val="2"/>
        </w:numPr>
      </w:pPr>
      <w:r>
        <w:t xml:space="preserve">Register, login, logout, and reset-password request flow.</w:t>
      </w:r>
    </w:p>
    <w:p>
      <w:pPr>
        <w:pStyle w:val="MdListItem"/>
        <w:numPr>
          <w:ilvl w:val="0"/>
          <w:numId w:val="2"/>
        </w:numPr>
      </w:pPr>
      <w:r>
        <w:t xml:space="preserve">Dashboard.</w:t>
      </w:r>
    </w:p>
    <w:p>
      <w:pPr>
        <w:pStyle w:val="MdListItem"/>
        <w:numPr>
          <w:ilvl w:val="0"/>
          <w:numId w:val="2"/>
        </w:numPr>
      </w:pPr>
      <w:r>
        <w:t xml:space="preserve">Markets and searchable instruments.</w:t>
      </w:r>
    </w:p>
    <w:p>
      <w:pPr>
        <w:pStyle w:val="MdListItem"/>
        <w:numPr>
          <w:ilvl w:val="0"/>
          <w:numId w:val="2"/>
        </w:numPr>
      </w:pPr>
      <w:r>
        <w:t xml:space="preserve">Stock detail.</w:t>
      </w:r>
    </w:p>
    <w:p>
      <w:pPr>
        <w:pStyle w:val="MdListItem"/>
        <w:numPr>
          <w:ilvl w:val="0"/>
          <w:numId w:val="2"/>
        </w:numPr>
      </w:pPr>
      <w:r>
        <w:t xml:space="preserve">Portfolio holdings and allocation.</w:t>
      </w:r>
    </w:p>
    <w:p>
      <w:pPr>
        <w:pStyle w:val="MdListItem"/>
        <w:numPr>
          <w:ilvl w:val="0"/>
          <w:numId w:val="2"/>
        </w:numPr>
      </w:pPr>
      <w:r>
        <w:t xml:space="preserve">Order ticket and order history.</w:t>
      </w:r>
    </w:p>
    <w:p>
      <w:pPr>
        <w:pStyle w:val="MdListItem"/>
        <w:numPr>
          <w:ilvl w:val="0"/>
          <w:numId w:val="2"/>
        </w:numPr>
      </w:pPr>
      <w:r>
        <w:t xml:space="preserve">Risk analysis.</w:t>
      </w:r>
    </w:p>
    <w:p>
      <w:pPr>
        <w:pStyle w:val="MdListItem"/>
        <w:numPr>
          <w:ilvl w:val="0"/>
          <w:numId w:val="2"/>
        </w:numPr>
      </w:pPr>
      <w:r>
        <w:t xml:space="preserve">Scenario simulator.</w:t>
      </w:r>
    </w:p>
    <w:p>
      <w:pPr>
        <w:pStyle w:val="MdListItem"/>
        <w:numPr>
          <w:ilvl w:val="0"/>
          <w:numId w:val="2"/>
        </w:numPr>
      </w:pPr>
      <w:r>
        <w:t xml:space="preserve">News and sentiment.</w:t>
      </w:r>
    </w:p>
    <w:p>
      <w:pPr>
        <w:pStyle w:val="MdListItem"/>
        <w:numPr>
          <w:ilvl w:val="0"/>
          <w:numId w:val="2"/>
        </w:numPr>
      </w:pPr>
      <w:r>
        <w:t xml:space="preserve">Trading journal.</w:t>
      </w:r>
    </w:p>
    <w:p>
      <w:pPr>
        <w:pStyle w:val="MdListItem"/>
        <w:numPr>
          <w:ilvl w:val="0"/>
          <w:numId w:val="2"/>
        </w:numPr>
      </w:pPr>
      <w:r>
        <w:t xml:space="preserve">Trading analytics and behavior.</w:t>
      </w:r>
    </w:p>
    <w:p>
      <w:pPr>
        <w:pStyle w:val="MdListItem"/>
        <w:numPr>
          <w:ilvl w:val="0"/>
          <w:numId w:val="2"/>
        </w:numPr>
      </w:pPr>
      <w:r>
        <w:t xml:space="preserve">AI Copilot.</w:t>
      </w:r>
    </w:p>
    <w:p>
      <w:pPr>
        <w:pStyle w:val="MdListItem"/>
        <w:numPr>
          <w:ilvl w:val="0"/>
          <w:numId w:val="2"/>
        </w:numPr>
      </w:pPr>
      <w:r>
        <w:t xml:space="preserve">Profile and settings.</w:t>
      </w:r>
    </w:p>
    <w:p>
      <w:pPr>
        <w:pStyle w:val="MdSpace"/>
        <w:spacing w:before="0" w:after="60"/>
      </w:pPr>
    </w:p>
    <w:p>
      <w:pPr>
        <w:pStyle w:val="MdParagraph"/>
      </w:pPr>
      <w:r>
        <w:t xml:space="preserve">Include a </w:t>
      </w:r>
      <w:r>
        <w:rPr>
          <w:rStyle w:val="MdStrong"/>
          <w:b/>
          <w:bCs/>
        </w:rPr>
        <w:t xml:space="preserve">Demo Mode</w:t>
      </w:r>
      <w:r>
        <w:t xml:space="preserve"> that uses deterministic seeded data and a seeded demo account. The application must be fully demonstrable without external API keys. Make the data source visible as </w:t>
      </w:r>
      <w:r>
        <w:rPr>
          <w:rStyle w:val="MdCode"/>
          <w:u w:val="single"/>
        </w:rPr>
        <w:t xml:space="preserve">DEMO / SIMULATED</w:t>
      </w:r>
      <w:r>
        <w:t xml:space="preserve"> when demo data is active.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Domain Model and Database</w:t>
      </w:r>
    </w:p>
    <w:p>
      <w:pPr>
        <w:pStyle w:val="MdParagraph"/>
      </w:pPr>
      <w:r>
        <w:t xml:space="preserve">Implement PostgreSQL with foreign keys, check constraints, unique constraints, indexes, audit timestamps, and migrations. Use soft deletion only where appropriate. Do not silently overwrite financial records.</w:t>
      </w:r>
    </w:p>
    <w:p>
      <w:pPr>
        <w:pStyle w:val="MdSpace"/>
        <w:spacing w:before="0" w:after="60"/>
      </w:pPr>
    </w:p>
    <w:p>
      <w:pPr>
        <w:pStyle w:val="MdParagraph"/>
      </w:pPr>
      <w:r>
        <w:t xml:space="preserve">Core tables: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Table</w:t>
            </w:r>
          </w:p>
        </w:tc>
        <w:tc>
          <w:tcPr>
            <w:tcBorders>
              <w:right w:val="none"/>
            </w:tcBorders>
            <w:tcMar>
              <w:top w:type="dxa" w:w="100"/>
              <w:left w:type="dxa" w:w="120"/>
              <w:bottom w:type="dxa" w:w="100"/>
              <w:right w:type="dxa" w:w="120"/>
            </w:tcMar>
            <w:vAlign w:val="center"/>
          </w:tcPr>
          <w:p>
            <w:pPr>
              <w:pStyle w:val="MdTableHeader"/>
            </w:pPr>
            <w:r>
              <w:t xml:space="preserve">Important fields and rules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users</w:t>
            </w:r>
          </w:p>
        </w:tc>
        <w:tc>
          <w:tcPr>
            <w:tcBorders>
              <w:right w:val="none"/>
            </w:tcBorders>
            <w:tcMar>
              <w:top w:type="dxa" w:w="80"/>
              <w:left w:type="dxa" w:w="120"/>
              <w:bottom w:type="dxa" w:w="80"/>
              <w:right w:type="dxa" w:w="120"/>
            </w:tcMar>
            <w:vAlign w:val="center"/>
          </w:tcPr>
          <w:p>
            <w:pPr>
              <w:pStyle w:val="MdTableCell"/>
            </w:pPr>
            <w:r>
              <w:t xml:space="preserve">id, email unique, password_hash, name, experience, risk_preference, preferred_market, goals, created_at, updated_at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sessions</w:t>
            </w:r>
          </w:p>
        </w:tc>
        <w:tc>
          <w:tcPr>
            <w:tcBorders>
              <w:right w:val="none"/>
            </w:tcBorders>
            <w:tcMar>
              <w:top w:type="dxa" w:w="80"/>
              <w:left w:type="dxa" w:w="120"/>
              <w:bottom w:type="dxa" w:w="80"/>
              <w:right w:type="dxa" w:w="120"/>
            </w:tcMar>
            <w:vAlign w:val="center"/>
          </w:tcPr>
          <w:p>
            <w:pPr>
              <w:pStyle w:val="MdTableCell"/>
            </w:pPr>
            <w:r>
              <w:t xml:space="preserve">id, user_id, refresh_token_hash, expires_at, revoked_at, device metadata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instruments</w:t>
            </w:r>
          </w:p>
        </w:tc>
        <w:tc>
          <w:tcPr>
            <w:tcBorders>
              <w:right w:val="none"/>
            </w:tcBorders>
            <w:tcMar>
              <w:top w:type="dxa" w:w="80"/>
              <w:left w:type="dxa" w:w="120"/>
              <w:bottom w:type="dxa" w:w="80"/>
              <w:right w:type="dxa" w:w="120"/>
            </w:tcMar>
            <w:vAlign w:val="center"/>
          </w:tcPr>
          <w:p>
            <w:pPr>
              <w:pStyle w:val="MdTableCell"/>
            </w:pPr>
            <w:r>
              <w:t xml:space="preserve">id, symbol, exchange, name, sector, industry, currency, active, provider_symbol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price_bars</w:t>
            </w:r>
          </w:p>
        </w:tc>
        <w:tc>
          <w:tcPr>
            <w:tcBorders>
              <w:right w:val="none"/>
            </w:tcBorders>
            <w:tcMar>
              <w:top w:type="dxa" w:w="80"/>
              <w:left w:type="dxa" w:w="120"/>
              <w:bottom w:type="dxa" w:w="80"/>
              <w:right w:type="dxa" w:w="120"/>
            </w:tcMar>
            <w:vAlign w:val="center"/>
          </w:tcPr>
          <w:p>
            <w:pPr>
              <w:pStyle w:val="MdTableCell"/>
            </w:pPr>
            <w:r>
              <w:t xml:space="preserve">instrument_id, timeframe, timestamp, open, high, low, close, adjusted_close, volume; unique instrument/timeframe/timestamp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market_quotes</w:t>
            </w:r>
          </w:p>
        </w:tc>
        <w:tc>
          <w:tcPr>
            <w:tcBorders>
              <w:right w:val="none"/>
            </w:tcBorders>
            <w:tcMar>
              <w:top w:type="dxa" w:w="80"/>
              <w:left w:type="dxa" w:w="120"/>
              <w:bottom w:type="dxa" w:w="80"/>
              <w:right w:type="dxa" w:w="120"/>
            </w:tcMar>
            <w:vAlign w:val="center"/>
          </w:tcPr>
          <w:p>
            <w:pPr>
              <w:pStyle w:val="MdTableCell"/>
            </w:pPr>
            <w:r>
              <w:t xml:space="preserve">instrument_id, as_of, price, change, change_pct, volume, market_status, data_source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order_books</w:t>
            </w:r>
          </w:p>
        </w:tc>
        <w:tc>
          <w:tcPr>
            <w:tcBorders>
              <w:right w:val="none"/>
            </w:tcBorders>
            <w:tcMar>
              <w:top w:type="dxa" w:w="80"/>
              <w:left w:type="dxa" w:w="120"/>
              <w:bottom w:type="dxa" w:w="80"/>
              <w:right w:type="dxa" w:w="120"/>
            </w:tcMar>
            <w:vAlign w:val="center"/>
          </w:tcPr>
          <w:p>
            <w:pPr>
              <w:pStyle w:val="MdTableCell"/>
            </w:pPr>
            <w:r>
              <w:t xml:space="preserve">instrument_id, as_of, bids_json, asks_json, data_source; always labeled real-provider or simulated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wallets</w:t>
            </w:r>
          </w:p>
        </w:tc>
        <w:tc>
          <w:tcPr>
            <w:tcBorders>
              <w:right w:val="none"/>
            </w:tcBorders>
            <w:tcMar>
              <w:top w:type="dxa" w:w="80"/>
              <w:left w:type="dxa" w:w="120"/>
              <w:bottom w:type="dxa" w:w="80"/>
              <w:right w:type="dxa" w:w="120"/>
            </w:tcMar>
            <w:vAlign w:val="center"/>
          </w:tcPr>
          <w:p>
            <w:pPr>
              <w:pStyle w:val="MdTableCell"/>
            </w:pPr>
            <w:r>
              <w:t xml:space="preserve">user_id unique, currency, initial_capital_minor, cash_minor, reserved_cash_minor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orders</w:t>
            </w:r>
          </w:p>
        </w:tc>
        <w:tc>
          <w:tcPr>
            <w:tcBorders>
              <w:right w:val="none"/>
            </w:tcBorders>
            <w:tcMar>
              <w:top w:type="dxa" w:w="80"/>
              <w:left w:type="dxa" w:w="120"/>
              <w:bottom w:type="dxa" w:w="80"/>
              <w:right w:type="dxa" w:w="120"/>
            </w:tcMar>
            <w:vAlign w:val="center"/>
          </w:tcPr>
          <w:p>
            <w:pPr>
              <w:pStyle w:val="MdTableCell"/>
            </w:pPr>
            <w:r>
              <w:t xml:space="preserve">id, user_id, instrument_id, side, type, quantity, limit_price, stop_price, status, submitted_at, executed_at, rejection_reason, idempotency_key unique per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trades</w:t>
            </w:r>
          </w:p>
        </w:tc>
        <w:tc>
          <w:tcPr>
            <w:tcBorders>
              <w:right w:val="none"/>
            </w:tcBorders>
            <w:tcMar>
              <w:top w:type="dxa" w:w="80"/>
              <w:left w:type="dxa" w:w="120"/>
              <w:bottom w:type="dxa" w:w="80"/>
              <w:right w:type="dxa" w:w="120"/>
            </w:tcMar>
            <w:vAlign w:val="center"/>
          </w:tcPr>
          <w:p>
            <w:pPr>
              <w:pStyle w:val="MdTableCell"/>
            </w:pPr>
            <w:r>
              <w:t xml:space="preserve">id, order_id, user_id, instrument_id, side, quantity, execution_price, fees_minor, executed_at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positions</w:t>
            </w:r>
          </w:p>
        </w:tc>
        <w:tc>
          <w:tcPr>
            <w:tcBorders>
              <w:right w:val="none"/>
            </w:tcBorders>
            <w:tcMar>
              <w:top w:type="dxa" w:w="80"/>
              <w:left w:type="dxa" w:w="120"/>
              <w:bottom w:type="dxa" w:w="80"/>
              <w:right w:type="dxa" w:w="120"/>
            </w:tcMar>
            <w:vAlign w:val="center"/>
          </w:tcPr>
          <w:p>
            <w:pPr>
              <w:pStyle w:val="MdTableCell"/>
            </w:pPr>
            <w:r>
              <w:t xml:space="preserve">user_id/instrument_id unique, quantity, average_cost_minor, realized_pnl_minor, updated_at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cash_ledger</w:t>
            </w:r>
          </w:p>
        </w:tc>
        <w:tc>
          <w:tcPr>
            <w:tcBorders>
              <w:right w:val="none"/>
            </w:tcBorders>
            <w:tcMar>
              <w:top w:type="dxa" w:w="80"/>
              <w:left w:type="dxa" w:w="120"/>
              <w:bottom w:type="dxa" w:w="80"/>
              <w:right w:type="dxa" w:w="120"/>
            </w:tcMar>
            <w:vAlign w:val="center"/>
          </w:tcPr>
          <w:p>
            <w:pPr>
              <w:pStyle w:val="MdTableCell"/>
            </w:pPr>
            <w:r>
              <w:t xml:space="preserve">immutable debit/credit entries linked to order or system event; never calculate cash from UI state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portfolio_snapshots</w:t>
            </w:r>
          </w:p>
        </w:tc>
        <w:tc>
          <w:tcPr>
            <w:tcBorders>
              <w:right w:val="none"/>
            </w:tcBorders>
            <w:tcMar>
              <w:top w:type="dxa" w:w="80"/>
              <w:left w:type="dxa" w:w="120"/>
              <w:bottom w:type="dxa" w:w="80"/>
              <w:right w:type="dxa" w:w="120"/>
            </w:tcMar>
            <w:vAlign w:val="center"/>
          </w:tcPr>
          <w:p>
            <w:pPr>
              <w:pStyle w:val="MdTableCell"/>
            </w:pPr>
            <w:r>
              <w:t xml:space="preserve">user_id, as_of, cash, market_value, total_value, daily_pnl, cumulative_pnl, risk_score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watchlists</w:t>
            </w:r>
          </w:p>
        </w:tc>
        <w:tc>
          <w:tcPr>
            <w:tcBorders>
              <w:right w:val="none"/>
            </w:tcBorders>
            <w:tcMar>
              <w:top w:type="dxa" w:w="80"/>
              <w:left w:type="dxa" w:w="120"/>
              <w:bottom w:type="dxa" w:w="80"/>
              <w:right w:type="dxa" w:w="120"/>
            </w:tcMar>
            <w:vAlign w:val="center"/>
          </w:tcPr>
          <w:p>
            <w:pPr>
              <w:pStyle w:val="MdTableCell"/>
            </w:pPr>
            <w:r>
              <w:t xml:space="preserve">user_id, 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watchlist_items</w:t>
            </w:r>
          </w:p>
        </w:tc>
        <w:tc>
          <w:tcPr>
            <w:tcBorders>
              <w:right w:val="none"/>
            </w:tcBorders>
            <w:tcMar>
              <w:top w:type="dxa" w:w="80"/>
              <w:left w:type="dxa" w:w="120"/>
              <w:bottom w:type="dxa" w:w="80"/>
              <w:right w:type="dxa" w:w="120"/>
            </w:tcMar>
            <w:vAlign w:val="center"/>
          </w:tcPr>
          <w:p>
            <w:pPr>
              <w:pStyle w:val="MdTableCell"/>
            </w:pPr>
            <w:r>
              <w:t xml:space="preserve">watchlist_id, instrument_id; unique pair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risk_snapshots</w:t>
            </w:r>
          </w:p>
        </w:tc>
        <w:tc>
          <w:tcPr>
            <w:tcBorders>
              <w:right w:val="none"/>
            </w:tcBorders>
            <w:tcMar>
              <w:top w:type="dxa" w:w="80"/>
              <w:left w:type="dxa" w:w="120"/>
              <w:bottom w:type="dxa" w:w="80"/>
              <w:right w:type="dxa" w:w="120"/>
            </w:tcMar>
            <w:vAlign w:val="center"/>
          </w:tcPr>
          <w:p>
            <w:pPr>
              <w:pStyle w:val="MdTableCell"/>
            </w:pPr>
            <w:r>
              <w:t xml:space="preserve">scope, user_id/instrument_id, as_of, score, label, methodology_version, feature_json, explanation_json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risk_contributions</w:t>
            </w:r>
          </w:p>
        </w:tc>
        <w:tc>
          <w:tcPr>
            <w:tcBorders>
              <w:right w:val="none"/>
            </w:tcBorders>
            <w:tcMar>
              <w:top w:type="dxa" w:w="80"/>
              <w:left w:type="dxa" w:w="120"/>
              <w:bottom w:type="dxa" w:w="80"/>
              <w:right w:type="dxa" w:w="120"/>
            </w:tcMar>
            <w:vAlign w:val="center"/>
          </w:tcPr>
          <w:p>
            <w:pPr>
              <w:pStyle w:val="MdTableCell"/>
            </w:pPr>
            <w:r>
              <w:t xml:space="preserve">portfolio_risk_snapshot_id, instrument_id, marginal_contribution, component_contribution, weight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scenario_runs</w:t>
            </w:r>
          </w:p>
        </w:tc>
        <w:tc>
          <w:tcPr>
            <w:tcBorders>
              <w:right w:val="none"/>
            </w:tcBorders>
            <w:tcMar>
              <w:top w:type="dxa" w:w="80"/>
              <w:left w:type="dxa" w:w="120"/>
              <w:bottom w:type="dxa" w:w="80"/>
              <w:right w:type="dxa" w:w="120"/>
            </w:tcMar>
            <w:vAlign w:val="center"/>
          </w:tcPr>
          <w:p>
            <w:pPr>
              <w:pStyle w:val="MdTableCell"/>
            </w:pPr>
            <w:r>
              <w:t xml:space="preserve">user_id, inputs_json, outputs_json, methodology_version, created_at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news_articles</w:t>
            </w:r>
          </w:p>
        </w:tc>
        <w:tc>
          <w:tcPr>
            <w:tcBorders>
              <w:right w:val="none"/>
            </w:tcBorders>
            <w:tcMar>
              <w:top w:type="dxa" w:w="80"/>
              <w:left w:type="dxa" w:w="120"/>
              <w:bottom w:type="dxa" w:w="80"/>
              <w:right w:type="dxa" w:w="120"/>
            </w:tcMar>
            <w:vAlign w:val="center"/>
          </w:tcPr>
          <w:p>
            <w:pPr>
              <w:pStyle w:val="MdTableCell"/>
            </w:pPr>
            <w:r>
              <w:t xml:space="preserve">provider_id unique, title, source, url, published_at, summary, sectors, instrument_ids, data_source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news_sentiments</w:t>
            </w:r>
          </w:p>
        </w:tc>
        <w:tc>
          <w:tcPr>
            <w:tcBorders>
              <w:right w:val="none"/>
            </w:tcBorders>
            <w:tcMar>
              <w:top w:type="dxa" w:w="80"/>
              <w:left w:type="dxa" w:w="120"/>
              <w:bottom w:type="dxa" w:w="80"/>
              <w:right w:type="dxa" w:w="120"/>
            </w:tcMar>
            <w:vAlign w:val="center"/>
          </w:tcPr>
          <w:p>
            <w:pPr>
              <w:pStyle w:val="MdTableCell"/>
            </w:pPr>
            <w:r>
              <w:t xml:space="preserve">article_id, label, probabilities, model_version, analyzed_at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journal_entries</w:t>
            </w:r>
          </w:p>
        </w:tc>
        <w:tc>
          <w:tcPr>
            <w:tcBorders>
              <w:right w:val="none"/>
            </w:tcBorders>
            <w:tcMar>
              <w:top w:type="dxa" w:w="80"/>
              <w:left w:type="dxa" w:w="120"/>
              <w:bottom w:type="dxa" w:w="80"/>
              <w:right w:type="dxa" w:w="120"/>
            </w:tcMar>
            <w:vAlign w:val="center"/>
          </w:tcPr>
          <w:p>
            <w:pPr>
              <w:pStyle w:val="MdTableCell"/>
            </w:pPr>
            <w:r>
              <w:t xml:space="preserve">user_id, trade_id nullable, thesis, target_price, stop_loss, confidence, strategy_id, created_at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strategies</w:t>
            </w:r>
          </w:p>
        </w:tc>
        <w:tc>
          <w:tcPr>
            <w:tcBorders>
              <w:right w:val="none"/>
            </w:tcBorders>
            <w:tcMar>
              <w:top w:type="dxa" w:w="80"/>
              <w:left w:type="dxa" w:w="120"/>
              <w:bottom w:type="dxa" w:w="80"/>
              <w:right w:type="dxa" w:w="120"/>
            </w:tcMar>
            <w:vAlign w:val="center"/>
          </w:tcPr>
          <w:p>
            <w:pPr>
              <w:pStyle w:val="MdTableCell"/>
            </w:pPr>
            <w:r>
              <w:t xml:space="preserve">user_id nullable for built-ins, name, 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habit_observations</w:t>
            </w:r>
          </w:p>
        </w:tc>
        <w:tc>
          <w:tcPr>
            <w:tcBorders>
              <w:right w:val="none"/>
            </w:tcBorders>
            <w:tcMar>
              <w:top w:type="dxa" w:w="80"/>
              <w:left w:type="dxa" w:w="120"/>
              <w:bottom w:type="dxa" w:w="80"/>
              <w:right w:type="dxa" w:w="120"/>
            </w:tcMar>
            <w:vAlign w:val="center"/>
          </w:tcPr>
          <w:p>
            <w:pPr>
              <w:pStyle w:val="MdTableCell"/>
            </w:pPr>
            <w:r>
              <w:t xml:space="preserve">user_id, habit_type, evidence_json, severity, period_start, period_end, methodology_version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trade_analyses</w:t>
            </w:r>
          </w:p>
        </w:tc>
        <w:tc>
          <w:tcPr>
            <w:tcBorders>
              <w:right w:val="none"/>
            </w:tcBorders>
            <w:tcMar>
              <w:top w:type="dxa" w:w="80"/>
              <w:left w:type="dxa" w:w="120"/>
              <w:bottom w:type="dxa" w:w="80"/>
              <w:right w:type="dxa" w:w="120"/>
            </w:tcMar>
            <w:vAlign w:val="center"/>
          </w:tcPr>
          <w:p>
            <w:pPr>
              <w:pStyle w:val="MdTableCell"/>
            </w:pPr>
            <w:r>
              <w:t xml:space="preserve">trade_id unique, entry_quality, exit_quality, risk_management, sizing_score, observations_json, model_version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alerts</w:t>
            </w:r>
          </w:p>
        </w:tc>
        <w:tc>
          <w:tcPr>
            <w:tcBorders>
              <w:right w:val="none"/>
            </w:tcBorders>
            <w:tcMar>
              <w:top w:type="dxa" w:w="80"/>
              <w:left w:type="dxa" w:w="120"/>
              <w:bottom w:type="dxa" w:w="80"/>
              <w:right w:type="dxa" w:w="120"/>
            </w:tcMar>
            <w:vAlign w:val="center"/>
          </w:tcPr>
          <w:p>
            <w:pPr>
              <w:pStyle w:val="MdTableCell"/>
            </w:pPr>
            <w:r>
              <w:t xml:space="preserve">user_id, type, instrument_id nullable, threshold_json, enabled, last_triggered_at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alert_events</w:t>
            </w:r>
          </w:p>
        </w:tc>
        <w:tc>
          <w:tcPr>
            <w:tcBorders>
              <w:right w:val="none"/>
            </w:tcBorders>
            <w:tcMar>
              <w:top w:type="dxa" w:w="80"/>
              <w:left w:type="dxa" w:w="120"/>
              <w:bottom w:type="dxa" w:w="80"/>
              <w:right w:type="dxa" w:w="120"/>
            </w:tcMar>
            <w:vAlign w:val="center"/>
          </w:tcPr>
          <w:p>
            <w:pPr>
              <w:pStyle w:val="MdTableCell"/>
            </w:pPr>
            <w:r>
              <w:t xml:space="preserve">alert_id, observed_value, message, created_at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copilot_threads</w:t>
            </w:r>
          </w:p>
        </w:tc>
        <w:tc>
          <w:tcPr>
            <w:tcBorders>
              <w:right w:val="none"/>
            </w:tcBorders>
            <w:tcMar>
              <w:top w:type="dxa" w:w="80"/>
              <w:left w:type="dxa" w:w="120"/>
              <w:bottom w:type="dxa" w:w="80"/>
              <w:right w:type="dxa" w:w="120"/>
            </w:tcMar>
            <w:vAlign w:val="center"/>
          </w:tcPr>
          <w:p>
            <w:pPr>
              <w:pStyle w:val="MdTableCell"/>
            </w:pPr>
            <w:r>
              <w:t xml:space="preserve">user_id, title, created_at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copilot_messages</w:t>
            </w:r>
          </w:p>
        </w:tc>
        <w:tc>
          <w:tcPr>
            <w:tcBorders>
              <w:right w:val="none"/>
            </w:tcBorders>
            <w:tcMar>
              <w:top w:type="dxa" w:w="80"/>
              <w:left w:type="dxa" w:w="120"/>
              <w:bottom w:type="dxa" w:w="80"/>
              <w:right w:type="dxa" w:w="120"/>
            </w:tcMar>
            <w:vAlign w:val="center"/>
          </w:tcPr>
          <w:p>
            <w:pPr>
              <w:pStyle w:val="MdTableCell"/>
            </w:pPr>
            <w:r>
              <w:t xml:space="preserve">thread_id, role, content, context_snapshot_json, created_at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audit_events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actor_id, event_type, entity_type, entity_id, metadata_json, created_at</w:t>
            </w:r>
          </w:p>
        </w:tc>
      </w:tr>
    </w:tbl>
    <w:p>
      <w:pPr>
        <w:pStyle w:val="MdParagraph"/>
      </w:pPr>
      <w:r>
        <w:t xml:space="preserve">Use integer minor units for INR amounts or a precise decimal type. Store prices with sufficient precision. Add indexes for </w:t>
      </w:r>
      <w:r>
        <w:rPr>
          <w:rStyle w:val="MdCode"/>
          <w:u w:val="single"/>
        </w:rPr>
        <w:t xml:space="preserve">(user_id, created_at)</w:t>
      </w:r>
      <w:r>
        <w:t xml:space="preserve">, </w:t>
      </w:r>
      <w:r>
        <w:rPr>
          <w:rStyle w:val="MdCode"/>
          <w:u w:val="single"/>
        </w:rPr>
        <w:t xml:space="preserve">(instrument_id, timestamp)</w:t>
      </w:r>
      <w:r>
        <w:t xml:space="preserve">, order status, news publication time, and active alerts.</w:t>
      </w:r>
    </w:p>
    <w:p>
      <w:pPr>
        <w:pStyle w:val="MdSpace"/>
        <w:spacing w:before="0" w:after="60"/>
      </w:pPr>
    </w:p>
    <w:p>
      <w:pPr>
        <w:pStyle w:val="MdParagraph"/>
      </w:pPr>
      <w:r>
        <w:t xml:space="preserve">Financial mutations must use database transactions. A market-order execution must atomically validate the order, update the wallet ledger, create the trade, update the position, update the order status, and write an audit event. Use row locking or an equivalent mechanism to prevent double execution.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Market Data and Simulation Boundaries</w:t>
      </w:r>
    </w:p>
    <w:p>
      <w:pPr>
        <w:pStyle w:val="MdParagraph"/>
      </w:pPr>
      <w:r>
        <w:t xml:space="preserve">Create provider interfaces, not provider-specific code in business logic:</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MarketDataProvider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searchInstruments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query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Instrument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getQuote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symbol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Quote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getHistoricalBars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symbol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HistoryRange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PriceBar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getOrderBook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symbol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OrderBook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NewsProvider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getLatest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params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NewsQuery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NewsArticle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Implement two adapters:</w:t>
      </w:r>
    </w:p>
    <w:p>
      <w:pPr>
        <w:pStyle w:val="MdSpace"/>
        <w:spacing w:before="0" w:after="60"/>
      </w:pPr>
    </w:p>
    <w:p>
      <w:pPr>
        <w:pStyle w:val="MdListItem"/>
        <w:numPr>
          <w:ilvl w:val="0"/>
          <w:numId w:val="2"/>
        </w:numPr>
      </w:pPr>
      <w:r>
        <w:rPr>
          <w:rStyle w:val="MdCode"/>
          <w:u w:val="single"/>
        </w:rPr>
        <w:t xml:space="preserve">DemoMarketDataProvider</w:t>
      </w:r>
      <w:r>
        <w:t xml:space="preserve">, which is deterministic, seeded, and safe for local demos.</w:t>
      </w:r>
    </w:p>
    <w:p>
      <w:pPr>
        <w:pStyle w:val="MdListItem"/>
        <w:numPr>
          <w:ilvl w:val="0"/>
          <w:numId w:val="2"/>
        </w:numPr>
      </w:pPr>
      <w:r>
        <w:rPr>
          <w:rStyle w:val="MdCode"/>
          <w:u w:val="single"/>
        </w:rPr>
        <w:t xml:space="preserve">ExternalMarketDataProvider</w:t>
      </w:r>
      <w:r>
        <w:t xml:space="preserve">, which is disabled by default and reads credentials only from server environment variables.</w:t>
      </w:r>
    </w:p>
    <w:p>
      <w:pPr>
        <w:pStyle w:val="MdSpace"/>
        <w:spacing w:before="0" w:after="60"/>
      </w:pPr>
    </w:p>
    <w:p>
      <w:pPr>
        <w:pStyle w:val="MdParagraph"/>
      </w:pPr>
      <w:r>
        <w:t xml:space="preserve">Never fabricate live data while labeling it live. If no provider is configured, show </w:t>
      </w:r>
      <w:r>
        <w:rPr>
          <w:rStyle w:val="MdCode"/>
          <w:u w:val="single"/>
        </w:rPr>
        <w:t xml:space="preserve">DEMO / SIMULATED</w:t>
      </w:r>
      <w:r>
        <w:t xml:space="preserve">. Market depth must be labeled </w:t>
      </w:r>
      <w:r>
        <w:rPr>
          <w:rStyle w:val="MdCode"/>
          <w:u w:val="single"/>
        </w:rPr>
        <w:t xml:space="preserve">REAL PROVIDER DATA</w:t>
      </w:r>
      <w:r>
        <w:t xml:space="preserve"> only when returned by a provider that actually supports it; otherwise show </w:t>
      </w:r>
      <w:r>
        <w:rPr>
          <w:rStyle w:val="MdCode"/>
          <w:u w:val="single"/>
        </w:rPr>
        <w:t xml:space="preserve">SIMULATED ORDER BOOK</w:t>
      </w:r>
      <w:r>
        <w:t xml:space="preserve">.</w:t>
      </w:r>
    </w:p>
    <w:p>
      <w:pPr>
        <w:pStyle w:val="MdSpace"/>
        <w:spacing w:before="0" w:after="60"/>
      </w:pPr>
    </w:p>
    <w:p>
      <w:pPr>
        <w:pStyle w:val="MdParagraph"/>
      </w:pPr>
      <w:r>
        <w:t xml:space="preserve">Do not make the application depend on an external data provider for tests. Include seeded instruments such as TCS, INFY, RELIANCE, HDFCBANK, ICICIBANK, WIPRO, LT, SUNPHARMA, and NIFTY50, with deterministic historical bars sufficient for charts and risk calculations.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Paper Trading Engine</w:t>
      </w:r>
    </w:p>
    <w:p>
      <w:pPr>
        <w:pStyle w:val="MdParagraph"/>
      </w:pPr>
      <w:r>
        <w:t xml:space="preserve">The order engine supports </w:t>
      </w:r>
      <w:r>
        <w:rPr>
          <w:rStyle w:val="MdCode"/>
          <w:u w:val="single"/>
        </w:rPr>
        <w:t xml:space="preserve">MARKET</w:t>
      </w:r>
      <w:r>
        <w:t xml:space="preserve">, </w:t>
      </w:r>
      <w:r>
        <w:rPr>
          <w:rStyle w:val="MdCode"/>
          <w:u w:val="single"/>
        </w:rPr>
        <w:t xml:space="preserve">LIMIT</w:t>
      </w:r>
      <w:r>
        <w:t xml:space="preserve">, </w:t>
      </w:r>
      <w:r>
        <w:rPr>
          <w:rStyle w:val="MdCode"/>
          <w:u w:val="single"/>
        </w:rPr>
        <w:t xml:space="preserve">STOP_LOSS</w:t>
      </w:r>
      <w:r>
        <w:t xml:space="preserve">, and </w:t>
      </w:r>
      <w:r>
        <w:rPr>
          <w:rStyle w:val="MdCode"/>
          <w:u w:val="single"/>
        </w:rPr>
        <w:t xml:space="preserve">STOP_LIMIT</w:t>
      </w:r>
      <w:r>
        <w:t xml:space="preserve"> orders and the statuses </w:t>
      </w:r>
      <w:r>
        <w:rPr>
          <w:rStyle w:val="MdCode"/>
          <w:u w:val="single"/>
        </w:rPr>
        <w:t xml:space="preserve">PENDING</w:t>
      </w:r>
      <w:r>
        <w:t xml:space="preserve">, </w:t>
      </w:r>
      <w:r>
        <w:rPr>
          <w:rStyle w:val="MdCode"/>
          <w:u w:val="single"/>
        </w:rPr>
        <w:t xml:space="preserve">EXECUTED</w:t>
      </w:r>
      <w:r>
        <w:t xml:space="preserve">, </w:t>
      </w:r>
      <w:r>
        <w:rPr>
          <w:rStyle w:val="MdCode"/>
          <w:u w:val="single"/>
        </w:rPr>
        <w:t xml:space="preserve">CANCELLED</w:t>
      </w:r>
      <w:r>
        <w:t xml:space="preserve">, and </w:t>
      </w:r>
      <w:r>
        <w:rPr>
          <w:rStyle w:val="MdCode"/>
          <w:u w:val="single"/>
        </w:rPr>
        <w:t xml:space="preserve">REJECTED</w:t>
      </w:r>
      <w:r>
        <w:t xml:space="preserve">.</w:t>
      </w:r>
    </w:p>
    <w:p>
      <w:pPr>
        <w:pStyle w:val="MdSpace"/>
        <w:spacing w:before="0" w:after="60"/>
      </w:pPr>
    </w:p>
    <w:p>
      <w:pPr>
        <w:pStyle w:val="MdParagraph"/>
      </w:pPr>
      <w:r>
        <w:t xml:space="preserve">Rules:</w:t>
      </w:r>
    </w:p>
    <w:p>
      <w:pPr>
        <w:pStyle w:val="MdSpace"/>
        <w:spacing w:before="0" w:after="60"/>
      </w:pPr>
    </w:p>
    <w:p>
      <w:pPr>
        <w:pStyle w:val="MdListItem"/>
        <w:numPr>
          <w:ilvl w:val="0"/>
          <w:numId w:val="3"/>
        </w:numPr>
      </w:pPr>
      <w:r>
        <w:t xml:space="preserve">A market order executes against the current simulation quote.</w:t>
      </w:r>
    </w:p>
    <w:p>
      <w:pPr>
        <w:pStyle w:val="MdListItem"/>
        <w:numPr>
          <w:ilvl w:val="0"/>
          <w:numId w:val="3"/>
        </w:numPr>
      </w:pPr>
      <w:r>
        <w:t xml:space="preserve">A limit buy executes only when the simulated execution price is less than or equal to the limit price.</w:t>
      </w:r>
    </w:p>
    <w:p>
      <w:pPr>
        <w:pStyle w:val="MdListItem"/>
        <w:numPr>
          <w:ilvl w:val="0"/>
          <w:numId w:val="3"/>
        </w:numPr>
      </w:pPr>
      <w:r>
        <w:t xml:space="preserve">A limit sell executes only when the simulated execution price is greater than or equal to the limit price.</w:t>
      </w:r>
    </w:p>
    <w:p>
      <w:pPr>
        <w:pStyle w:val="MdListItem"/>
        <w:numPr>
          <w:ilvl w:val="0"/>
          <w:numId w:val="3"/>
        </w:numPr>
      </w:pPr>
      <w:r>
        <w:t xml:space="preserve">A stop order becomes eligible when the trigger condition is reached.</w:t>
      </w:r>
    </w:p>
    <w:p>
      <w:pPr>
        <w:pStyle w:val="MdListItem"/>
        <w:numPr>
          <w:ilvl w:val="0"/>
          <w:numId w:val="3"/>
        </w:numPr>
      </w:pPr>
      <w:r>
        <w:t xml:space="preserve">A stop-limit order becomes eligible at the stop trigger and executes only within its limit condition.</w:t>
      </w:r>
    </w:p>
    <w:p>
      <w:pPr>
        <w:pStyle w:val="MdListItem"/>
        <w:numPr>
          <w:ilvl w:val="0"/>
          <w:numId w:val="3"/>
        </w:numPr>
      </w:pPr>
      <w:r>
        <w:t xml:space="preserve">Reject zero or negative quantity.</w:t>
      </w:r>
    </w:p>
    <w:p>
      <w:pPr>
        <w:pStyle w:val="MdListItem"/>
        <w:numPr>
          <w:ilvl w:val="0"/>
          <w:numId w:val="3"/>
        </w:numPr>
      </w:pPr>
      <w:r>
        <w:t xml:space="preserve">Reject sells larger than available position quantity.</w:t>
      </w:r>
    </w:p>
    <w:p>
      <w:pPr>
        <w:pStyle w:val="MdListItem"/>
        <w:numPr>
          <w:ilvl w:val="0"/>
          <w:numId w:val="3"/>
        </w:numPr>
      </w:pPr>
      <w:r>
        <w:t xml:space="preserve">Reject buys whose estimated notional plus fees exceed available virtual cash.</w:t>
      </w:r>
    </w:p>
    <w:p>
      <w:pPr>
        <w:pStyle w:val="MdListItem"/>
        <w:numPr>
          <w:ilvl w:val="0"/>
          <w:numId w:val="3"/>
        </w:numPr>
      </w:pPr>
      <w:r>
        <w:t xml:space="preserve">Validate instrument activity and market status.</w:t>
      </w:r>
    </w:p>
    <w:p>
      <w:pPr>
        <w:pStyle w:val="MdListItem"/>
        <w:numPr>
          <w:ilvl w:val="0"/>
          <w:numId w:val="3"/>
        </w:numPr>
      </w:pPr>
      <w:r>
        <w:t xml:space="preserve">Support idempotency keys for order submission.</w:t>
      </w:r>
    </w:p>
    <w:p>
      <w:pPr>
        <w:pStyle w:val="MdListItem"/>
        <w:numPr>
          <w:ilvl w:val="0"/>
          <w:numId w:val="3"/>
        </w:numPr>
      </w:pPr>
      <w:r>
        <w:t xml:space="preserve">Never permit negative cash or negative positions.</w:t>
      </w:r>
    </w:p>
    <w:p>
      <w:pPr>
        <w:pStyle w:val="MdListItem"/>
        <w:numPr>
          <w:ilvl w:val="0"/>
          <w:numId w:val="3"/>
        </w:numPr>
      </w:pPr>
      <w:r>
        <w:t xml:space="preserve">Allow cancellation only for cancellable pending orders.</w:t>
      </w:r>
    </w:p>
    <w:p>
      <w:pPr>
        <w:pStyle w:val="MdListItem"/>
        <w:numPr>
          <w:ilvl w:val="0"/>
          <w:numId w:val="3"/>
        </w:numPr>
      </w:pPr>
      <w:r>
        <w:t xml:space="preserve">Make execution assumptions visible in the UI.</w:t>
      </w:r>
    </w:p>
    <w:p>
      <w:pPr>
        <w:pStyle w:val="MdSpace"/>
        <w:spacing w:before="0" w:after="60"/>
      </w:pPr>
    </w:p>
    <w:p>
      <w:pPr>
        <w:pStyle w:val="MdParagraph"/>
      </w:pPr>
      <w:r>
        <w:t xml:space="preserve">Use a configurable simulation fee model. Store fees explicitly in trades and the cash ledger. Do not hide fees inside prices.</w:t>
      </w:r>
    </w:p>
    <w:p>
      <w:pPr>
        <w:pStyle w:val="MdSpace"/>
        <w:spacing w:before="0" w:after="60"/>
      </w:pPr>
    </w:p>
    <w:p>
      <w:pPr>
        <w:pStyle w:val="MdParagraph"/>
      </w:pPr>
      <w:r>
        <w:t xml:space="preserve">The order ticket must show estimated notional, estimated fees, estimated cash after trade, and a confirmation statement that this is a paper trade.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Quantitative Risk Engine</w:t>
      </w:r>
    </w:p>
    <w:p>
      <w:pPr>
        <w:pStyle w:val="MdParagraph"/>
      </w:pPr>
      <w:r>
        <w:t xml:space="preserve">The risk engine must be deterministic, versioned, testable, and separate from generative AI. AI may explain calculated outputs, but it must not invent or silently replace the calculations.</w:t>
      </w:r>
    </w:p>
    <w:p>
      <w:pPr>
        <w:pStyle w:val="MdSpace"/>
        <w:spacing w:before="0" w:after="60"/>
      </w:pPr>
    </w:p>
    <w:p>
      <w:pPr>
        <w:pStyle w:val="Heading3"/>
        <w:pStyle w:val="MdHeading3"/>
      </w:pPr>
      <w:r>
        <w:t xml:space="preserve">8.1 Stock features</w:t>
      </w:r>
    </w:p>
    <w:p>
      <w:pPr>
        <w:pStyle w:val="MdParagraph"/>
      </w:pPr>
      <w:r>
        <w:t xml:space="preserve">For each instrument with sufficient history, calculate:</w:t>
      </w:r>
    </w:p>
    <w:p>
      <w:pPr>
        <w:pStyle w:val="MdSpace"/>
        <w:spacing w:before="0" w:after="60"/>
      </w:pPr>
    </w:p>
    <w:p>
      <w:pPr>
        <w:pStyle w:val="MdListItem"/>
        <w:numPr>
          <w:ilvl w:val="0"/>
          <w:numId w:val="3"/>
        </w:numPr>
      </w:pPr>
      <w:r>
        <w:t xml:space="preserve">Daily, weekly, and monthly annualized volatility.</w:t>
      </w:r>
    </w:p>
    <w:p>
      <w:pPr>
        <w:pStyle w:val="MdListItem"/>
        <w:numPr>
          <w:ilvl w:val="0"/>
          <w:numId w:val="3"/>
        </w:numPr>
      </w:pPr>
      <w:r>
        <w:t xml:space="preserve">Downside volatility.</w:t>
      </w:r>
    </w:p>
    <w:p>
      <w:pPr>
        <w:pStyle w:val="MdListItem"/>
        <w:numPr>
          <w:ilvl w:val="0"/>
          <w:numId w:val="3"/>
        </w:numPr>
      </w:pPr>
      <w:r>
        <w:t xml:space="preserve">Maximum drawdown.</w:t>
      </w:r>
    </w:p>
    <w:p>
      <w:pPr>
        <w:pStyle w:val="MdListItem"/>
        <w:numPr>
          <w:ilvl w:val="0"/>
          <w:numId w:val="3"/>
        </w:numPr>
      </w:pPr>
      <w:r>
        <w:t xml:space="preserve">Beta against NIFTY50 or the configured benchmark.</w:t>
      </w:r>
    </w:p>
    <w:p>
      <w:pPr>
        <w:pStyle w:val="MdListItem"/>
        <w:numPr>
          <w:ilvl w:val="0"/>
          <w:numId w:val="3"/>
        </w:numPr>
      </w:pPr>
      <w:r>
        <w:t xml:space="preserve">Sharpe ratio using a documented risk-free-rate assumption.</w:t>
      </w:r>
    </w:p>
    <w:p>
      <w:pPr>
        <w:pStyle w:val="MdListItem"/>
        <w:numPr>
          <w:ilvl w:val="0"/>
          <w:numId w:val="3"/>
        </w:numPr>
      </w:pPr>
      <w:r>
        <w:t xml:space="preserve">Sortino ratio.</w:t>
      </w:r>
    </w:p>
    <w:p>
      <w:pPr>
        <w:pStyle w:val="MdListItem"/>
        <w:numPr>
          <w:ilvl w:val="0"/>
          <w:numId w:val="3"/>
        </w:numPr>
      </w:pPr>
      <w:r>
        <w:t xml:space="preserve">Average daily traded volume and a liquidity proxy.</w:t>
      </w:r>
    </w:p>
    <w:p>
      <w:pPr>
        <w:pStyle w:val="MdListItem"/>
        <w:numPr>
          <w:ilvl w:val="0"/>
          <w:numId w:val="3"/>
        </w:numPr>
      </w:pPr>
      <w:r>
        <w:t xml:space="preserve">Momentum over configurable horizons.</w:t>
      </w:r>
    </w:p>
    <w:p>
      <w:pPr>
        <w:pStyle w:val="MdListItem"/>
        <w:numPr>
          <w:ilvl w:val="0"/>
          <w:numId w:val="3"/>
        </w:numPr>
      </w:pPr>
      <w:r>
        <w:t xml:space="preserve">Correlation with the benchmark.</w:t>
      </w:r>
    </w:p>
    <w:p>
      <w:pPr>
        <w:pStyle w:val="MdListItem"/>
        <w:numPr>
          <w:ilvl w:val="0"/>
          <w:numId w:val="3"/>
        </w:numPr>
      </w:pPr>
      <w:r>
        <w:t xml:space="preserve">Abnormal return and volume z-scores.</w:t>
      </w:r>
    </w:p>
    <w:p>
      <w:pPr>
        <w:pStyle w:val="MdListItem"/>
        <w:numPr>
          <w:ilvl w:val="0"/>
          <w:numId w:val="3"/>
        </w:numPr>
      </w:pPr>
      <w:r>
        <w:t xml:space="preserve">Sector volatility.</w:t>
      </w:r>
    </w:p>
    <w:p>
      <w:pPr>
        <w:pStyle w:val="MdSpace"/>
        <w:spacing w:before="0" w:after="60"/>
      </w:pPr>
    </w:p>
    <w:p>
      <w:pPr>
        <w:pStyle w:val="MdParagraph"/>
      </w:pPr>
      <w:r>
        <w:t xml:space="preserve">If data is insufficient, return </w:t>
      </w:r>
      <w:r>
        <w:rPr>
          <w:rStyle w:val="MdCode"/>
          <w:u w:val="single"/>
        </w:rPr>
        <w:t xml:space="preserve">INSUFFICIENT_DATA</w:t>
      </w:r>
      <w:r>
        <w:t xml:space="preserve"> for the metric and explain the minimum history required. Never display a fabricated zero.</w:t>
      </w:r>
    </w:p>
    <w:p>
      <w:pPr>
        <w:pStyle w:val="MdSpace"/>
        <w:spacing w:before="0" w:after="60"/>
      </w:pPr>
    </w:p>
    <w:p>
      <w:pPr>
        <w:pStyle w:val="Heading3"/>
        <w:pStyle w:val="MdHeading3"/>
      </w:pPr>
      <w:r>
        <w:t xml:space="preserve">8.2 Stock risk score</w:t>
      </w:r>
    </w:p>
    <w:p>
      <w:pPr>
        <w:pStyle w:val="MdParagraph"/>
      </w:pPr>
      <w:r>
        <w:t xml:space="preserve">Normalize component values using documented winsorization and percentile thresholds from the available universe. Produce a 0–100 score from weighted components: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stock_risk_score = 0.25 * volatility_score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+ 0.20 * drawdown_score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+ 0.15 * beta_score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+ 0.15 * liquidity_risk_score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+ 0.10 * momentum_risk_score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+ 0.10 * sector_risk_score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+ 0.05 * abnormal_movement_score</w:t>
      </w:r>
    </w:p>
    <w:p>
      <w:pPr>
        <w:pStyle w:val="MdSpace"/>
        <w:spacing w:before="0" w:after="60"/>
      </w:pPr>
    </w:p>
    <w:p>
      <w:pPr>
        <w:pStyle w:val="MdParagraph"/>
      </w:pPr>
      <w:r>
        <w:t xml:space="preserve">Make weights configurable and store </w:t>
      </w:r>
      <w:r>
        <w:rPr>
          <w:rStyle w:val="MdCode"/>
          <w:u w:val="single"/>
        </w:rPr>
        <w:t xml:space="preserve">methodology_version</w:t>
      </w:r>
      <w:r>
        <w:t xml:space="preserve">. Return both raw features and normalized component scores. Generate a deterministic explanation from the top positive and negative contributors. If an optional ML model is used, preserve the rule-based baseline and include model version, features, confidence, and a comparison to baseline.</w:t>
      </w:r>
    </w:p>
    <w:p>
      <w:pPr>
        <w:pStyle w:val="MdSpace"/>
        <w:spacing w:before="0" w:after="60"/>
      </w:pPr>
    </w:p>
    <w:p>
      <w:pPr>
        <w:pStyle w:val="Heading3"/>
        <w:pStyle w:val="MdHeading3"/>
      </w:pPr>
      <w:r>
        <w:t xml:space="preserve">8.3 Portfolio returns and covariance</w:t>
      </w:r>
    </w:p>
    <w:p>
      <w:pPr>
        <w:pStyle w:val="MdParagraph"/>
      </w:pPr>
      <w:r>
        <w:t xml:space="preserve">Construct portfolio value from positions and market prices. Use time-aligned return series. For weights </w:t>
      </w:r>
      <w:r>
        <w:rPr>
          <w:rStyle w:val="MdCode"/>
          <w:u w:val="single"/>
        </w:rPr>
        <w:t xml:space="preserve">w</w:t>
      </w:r>
      <w:r>
        <w:t xml:space="preserve"> and covariance matrix </w:t>
      </w:r>
      <w:r>
        <w:rPr>
          <w:rStyle w:val="MdCode"/>
          <w:u w:val="single"/>
        </w:rPr>
        <w:t xml:space="preserve">Σ</w:t>
      </w:r>
      <w:r>
        <w:t xml:space="preserve">, calculate portfolio volatility as: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sigma_p = sqrt(wᵀ Σ w)</w:t>
      </w:r>
    </w:p>
    <w:p>
      <w:pPr>
        <w:pStyle w:val="MdSpace"/>
        <w:spacing w:before="0" w:after="60"/>
      </w:pPr>
    </w:p>
    <w:p>
      <w:pPr>
        <w:pStyle w:val="MdParagraph"/>
      </w:pPr>
      <w:r>
        <w:t xml:space="preserve">Calculate marginal contribution to risk and component contribution:</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MCR_i = (Σw)_i / sigma_p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CRC_i = w_i * MCR_i</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risk_contribution_pct_i = CRC_i / sigma_p</w:t>
      </w:r>
    </w:p>
    <w:p>
      <w:pPr>
        <w:pStyle w:val="MdSpace"/>
        <w:spacing w:before="0" w:after="60"/>
      </w:pPr>
    </w:p>
    <w:p>
      <w:pPr>
        <w:pStyle w:val="MdParagraph"/>
      </w:pPr>
      <w:r>
        <w:t xml:space="preserve">Explain that risk contribution is not equal to allocation. Include contributions from correlation and volatility.</w:t>
      </w:r>
    </w:p>
    <w:p>
      <w:pPr>
        <w:pStyle w:val="MdSpace"/>
        <w:spacing w:before="0" w:after="60"/>
      </w:pPr>
    </w:p>
    <w:p>
      <w:pPr>
        <w:pStyle w:val="Heading3"/>
        <w:pStyle w:val="MdHeading3"/>
      </w:pPr>
      <w:r>
        <w:t xml:space="preserve">8.4 Portfolio risk score</w:t>
      </w:r>
    </w:p>
    <w:p>
      <w:pPr>
        <w:pStyle w:val="MdParagraph"/>
      </w:pPr>
      <w:r>
        <w:t xml:space="preserve">Use measurable components:</w:t>
      </w:r>
    </w:p>
    <w:p>
      <w:pPr>
        <w:pStyle w:val="MdSpace"/>
        <w:spacing w:before="0" w:after="60"/>
      </w:pPr>
    </w:p>
    <w:p>
      <w:pPr>
        <w:pStyle w:val="MdListItem"/>
        <w:numPr>
          <w:ilvl w:val="0"/>
          <w:numId w:val="3"/>
        </w:numPr>
      </w:pPr>
      <w:r>
        <w:t xml:space="preserve">Volatility: 25%.</w:t>
      </w:r>
    </w:p>
    <w:p>
      <w:pPr>
        <w:pStyle w:val="MdListItem"/>
        <w:numPr>
          <w:ilvl w:val="0"/>
          <w:numId w:val="3"/>
        </w:numPr>
      </w:pPr>
      <w:r>
        <w:t xml:space="preserve">Maximum drawdown: 15%.</w:t>
      </w:r>
    </w:p>
    <w:p>
      <w:pPr>
        <w:pStyle w:val="MdListItem"/>
        <w:numPr>
          <w:ilvl w:val="0"/>
          <w:numId w:val="3"/>
        </w:numPr>
      </w:pPr>
      <w:r>
        <w:t xml:space="preserve">Concentration: 15%.</w:t>
      </w:r>
    </w:p>
    <w:p>
      <w:pPr>
        <w:pStyle w:val="MdListItem"/>
        <w:numPr>
          <w:ilvl w:val="0"/>
          <w:numId w:val="3"/>
        </w:numPr>
      </w:pPr>
      <w:r>
        <w:t xml:space="preserve">Correlation: 15%.</w:t>
      </w:r>
    </w:p>
    <w:p>
      <w:pPr>
        <w:pStyle w:val="MdListItem"/>
        <w:numPr>
          <w:ilvl w:val="0"/>
          <w:numId w:val="3"/>
        </w:numPr>
      </w:pPr>
      <w:r>
        <w:t xml:space="preserve">Market beta/exposure: 10%.</w:t>
      </w:r>
    </w:p>
    <w:p>
      <w:pPr>
        <w:pStyle w:val="MdListItem"/>
        <w:numPr>
          <w:ilvl w:val="0"/>
          <w:numId w:val="3"/>
        </w:numPr>
      </w:pPr>
      <w:r>
        <w:t xml:space="preserve">Liquidity: 10%.</w:t>
      </w:r>
    </w:p>
    <w:p>
      <w:pPr>
        <w:pStyle w:val="MdListItem"/>
        <w:numPr>
          <w:ilvl w:val="0"/>
          <w:numId w:val="3"/>
        </w:numPr>
      </w:pPr>
      <w:r>
        <w:t xml:space="preserve">Downside risk/VaR: 10%.</w:t>
      </w:r>
    </w:p>
    <w:p>
      <w:pPr>
        <w:pStyle w:val="MdSpace"/>
        <w:spacing w:before="0" w:after="60"/>
      </w:pPr>
    </w:p>
    <w:p>
      <w:pPr>
        <w:pStyle w:val="MdParagraph"/>
      </w:pPr>
      <w:r>
        <w:t xml:space="preserve">Clamp the final score to 0–100. Store all component values, thresholds, weights, confidence, data coverage, and methodology version. Show a warning when the result is based on limited history.</w:t>
      </w:r>
    </w:p>
    <w:p>
      <w:pPr>
        <w:pStyle w:val="MdSpace"/>
        <w:spacing w:before="0" w:after="60"/>
      </w:pPr>
    </w:p>
    <w:p>
      <w:pPr>
        <w:pStyle w:val="Heading3"/>
        <w:pStyle w:val="MdHeading3"/>
      </w:pPr>
      <w:r>
        <w:t xml:space="preserve">8.5 Diversification score</w:t>
      </w:r>
    </w:p>
    <w:p>
      <w:pPr>
        <w:pStyle w:val="MdParagraph"/>
      </w:pPr>
      <w:r>
        <w:t xml:space="preserve">Base the score on effective number of holdings, largest position weight, sector concentration, effective sector count, average pairwise correlation, and benchmark exposure. A portfolio with many highly correlated technology stocks must not receive a high diversification score merely because it has many tickers.</w:t>
      </w:r>
    </w:p>
    <w:p>
      <w:pPr>
        <w:pStyle w:val="MdSpace"/>
        <w:spacing w:before="0" w:after="60"/>
      </w:pPr>
    </w:p>
    <w:p>
      <w:pPr>
        <w:pStyle w:val="Heading3"/>
        <w:pStyle w:val="MdHeading3"/>
      </w:pPr>
      <w:r>
        <w:t xml:space="preserve">8.6 VaR and stress testing</w:t>
      </w:r>
    </w:p>
    <w:p>
      <w:pPr>
        <w:pStyle w:val="MdParagraph"/>
      </w:pPr>
      <w:r>
        <w:t xml:space="preserve">Implement:</w:t>
      </w:r>
    </w:p>
    <w:p>
      <w:pPr>
        <w:pStyle w:val="MdSpace"/>
        <w:spacing w:before="0" w:after="60"/>
      </w:pPr>
    </w:p>
    <w:p>
      <w:pPr>
        <w:pStyle w:val="MdListItem"/>
        <w:numPr>
          <w:ilvl w:val="0"/>
          <w:numId w:val="3"/>
        </w:numPr>
      </w:pPr>
      <w:r>
        <w:t xml:space="preserve">Historical one-day VaR at 95%.</w:t>
      </w:r>
    </w:p>
    <w:p>
      <w:pPr>
        <w:pStyle w:val="MdListItem"/>
        <w:numPr>
          <w:ilvl w:val="0"/>
          <w:numId w:val="3"/>
        </w:numPr>
      </w:pPr>
      <w:r>
        <w:t xml:space="preserve">Parametric one-day VaR at 95% using portfolio mean and volatility.</w:t>
      </w:r>
    </w:p>
    <w:p>
      <w:pPr>
        <w:pStyle w:val="MdListItem"/>
        <w:numPr>
          <w:ilvl w:val="0"/>
          <w:numId w:val="3"/>
        </w:numPr>
      </w:pPr>
      <w:r>
        <w:t xml:space="preserve">Optional Monte Carlo VaR behind a feature flag.</w:t>
      </w:r>
    </w:p>
    <w:p>
      <w:pPr>
        <w:pStyle w:val="MdSpace"/>
        <w:spacing w:before="0" w:after="60"/>
      </w:pPr>
    </w:p>
    <w:p>
      <w:pPr>
        <w:pStyle w:val="MdParagraph"/>
      </w:pPr>
      <w:r>
        <w:t xml:space="preserve">Explain VaR in plain language and show the horizon, confidence level, currency, and data window.</w:t>
      </w:r>
    </w:p>
    <w:p>
      <w:pPr>
        <w:pStyle w:val="MdSpace"/>
        <w:spacing w:before="0" w:after="60"/>
      </w:pPr>
    </w:p>
    <w:p>
      <w:pPr>
        <w:pStyle w:val="MdParagraph"/>
      </w:pPr>
      <w:r>
        <w:t xml:space="preserve">Implement scenario runs with stock shocks, sector shocks, benchmark shocks, and custom shocks. Calculate estimated portfolio impact from position exposures. Show current value, shock assumptions, estimated loss/gain, new value, affected holdings, and limitations. Label all results as estimates, not predictions.</w:t>
      </w:r>
    </w:p>
    <w:p>
      <w:pPr>
        <w:pStyle w:val="MdSpace"/>
        <w:spacing w:before="0" w:after="60"/>
      </w:pPr>
    </w:p>
    <w:p>
      <w:pPr>
        <w:pStyle w:val="MdParagraph"/>
      </w:pPr>
      <w:r>
        <w:t xml:space="preserve">Include predefined scenarios: market correction, severe market crash, technology crash, banking crisis, high-volatility environment, and custom scenario.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9. Behavioral Analytics</w:t>
      </w:r>
    </w:p>
    <w:p>
      <w:pPr>
        <w:pStyle w:val="MdParagraph"/>
      </w:pPr>
      <w:r>
        <w:t xml:space="preserve">Behavioral analysis must use observed trading records only. It must never diagnose a psychological condition or claim certainty about intent.</w:t>
      </w:r>
    </w:p>
    <w:p>
      <w:pPr>
        <w:pStyle w:val="MdSpace"/>
        <w:spacing w:before="0" w:after="60"/>
      </w:pPr>
    </w:p>
    <w:p>
      <w:pPr>
        <w:pStyle w:val="MdParagraph"/>
      </w:pPr>
      <w:r>
        <w:t xml:space="preserve">Calculate:</w:t>
      </w:r>
    </w:p>
    <w:p>
      <w:pPr>
        <w:pStyle w:val="MdSpace"/>
        <w:spacing w:before="0" w:after="60"/>
      </w:pPr>
    </w:p>
    <w:p>
      <w:pPr>
        <w:pStyle w:val="MdListItem"/>
        <w:numPr>
          <w:ilvl w:val="0"/>
          <w:numId w:val="3"/>
        </w:numPr>
      </w:pPr>
      <w:r>
        <w:t xml:space="preserve">Total trades, win rate, average profit, average loss, profit factor.</w:t>
      </w:r>
    </w:p>
    <w:p>
      <w:pPr>
        <w:pStyle w:val="MdListItem"/>
        <w:numPr>
          <w:ilvl w:val="0"/>
          <w:numId w:val="3"/>
        </w:numPr>
      </w:pPr>
      <w:r>
        <w:t xml:space="preserve">Average holding period.</w:t>
      </w:r>
    </w:p>
    <w:p>
      <w:pPr>
        <w:pStyle w:val="MdListItem"/>
        <w:numPr>
          <w:ilvl w:val="0"/>
          <w:numId w:val="3"/>
        </w:numPr>
      </w:pPr>
      <w:r>
        <w:t xml:space="preserve">Best and worst trade.</w:t>
      </w:r>
    </w:p>
    <w:p>
      <w:pPr>
        <w:pStyle w:val="MdListItem"/>
        <w:numPr>
          <w:ilvl w:val="0"/>
          <w:numId w:val="3"/>
        </w:numPr>
      </w:pPr>
      <w:r>
        <w:t xml:space="preserve">Maximum drawdown.</w:t>
      </w:r>
    </w:p>
    <w:p>
      <w:pPr>
        <w:pStyle w:val="MdListItem"/>
        <w:numPr>
          <w:ilvl w:val="0"/>
          <w:numId w:val="3"/>
        </w:numPr>
      </w:pPr>
      <w:r>
        <w:t xml:space="preserve">Risk/reward ratio.</w:t>
      </w:r>
    </w:p>
    <w:p>
      <w:pPr>
        <w:pStyle w:val="MdListItem"/>
        <w:numPr>
          <w:ilvl w:val="0"/>
          <w:numId w:val="3"/>
        </w:numPr>
      </w:pPr>
      <w:r>
        <w:t xml:space="preserve">Position-size statistics.</w:t>
      </w:r>
    </w:p>
    <w:p>
      <w:pPr>
        <w:pStyle w:val="MdListItem"/>
        <w:numPr>
          <w:ilvl w:val="0"/>
          <w:numId w:val="3"/>
        </w:numPr>
      </w:pPr>
      <w:r>
        <w:t xml:space="preserve">Stop-loss usage.</w:t>
      </w:r>
    </w:p>
    <w:p>
      <w:pPr>
        <w:pStyle w:val="MdListItem"/>
        <w:numPr>
          <w:ilvl w:val="0"/>
          <w:numId w:val="3"/>
        </w:numPr>
      </w:pPr>
      <w:r>
        <w:t xml:space="preserve">Average time between trades.</w:t>
      </w:r>
    </w:p>
    <w:p>
      <w:pPr>
        <w:pStyle w:val="MdListItem"/>
        <w:numPr>
          <w:ilvl w:val="0"/>
          <w:numId w:val="3"/>
        </w:numPr>
      </w:pPr>
      <w:r>
        <w:t xml:space="preserve">Trades after losses.</w:t>
      </w:r>
    </w:p>
    <w:p>
      <w:pPr>
        <w:pStyle w:val="MdListItem"/>
        <w:numPr>
          <w:ilvl w:val="0"/>
          <w:numId w:val="3"/>
        </w:numPr>
      </w:pPr>
      <w:r>
        <w:t xml:space="preserve">Averaging-down frequency.</w:t>
      </w:r>
    </w:p>
    <w:p>
      <w:pPr>
        <w:pStyle w:val="MdListItem"/>
        <w:numPr>
          <w:ilvl w:val="0"/>
          <w:numId w:val="3"/>
        </w:numPr>
      </w:pPr>
      <w:r>
        <w:t xml:space="preserve">Holding duration of losing versus winning positions.</w:t>
      </w:r>
    </w:p>
    <w:p>
      <w:pPr>
        <w:pStyle w:val="MdListItem"/>
        <w:numPr>
          <w:ilvl w:val="0"/>
          <w:numId w:val="3"/>
        </w:numPr>
      </w:pPr>
      <w:r>
        <w:t xml:space="preserve">Early-exit frequency relative to the user’s historical distribution.</w:t>
      </w:r>
    </w:p>
    <w:p>
      <w:pPr>
        <w:pStyle w:val="MdListItem"/>
        <w:numPr>
          <w:ilvl w:val="0"/>
          <w:numId w:val="3"/>
        </w:numPr>
      </w:pPr>
      <w:r>
        <w:t xml:space="preserve">Performance by sector and strategy.</w:t>
      </w:r>
    </w:p>
    <w:p>
      <w:pPr>
        <w:pStyle w:val="MdSpace"/>
        <w:spacing w:before="0" w:after="60"/>
      </w:pPr>
    </w:p>
    <w:p>
      <w:pPr>
        <w:pStyle w:val="MdParagraph"/>
      </w:pPr>
      <w:r>
        <w:t xml:space="preserve">Detect patterns only when a minimum sample size is reached. Each observation must include evidence, sample size, date range, threshold, confidence or coverage, and a neutral wording such as:</w:t>
      </w:r>
    </w:p>
    <w:p>
      <w:pPr>
        <w:pStyle w:val="MdSpace"/>
        <w:spacing w:before="0" w:after="60"/>
      </w:pPr>
    </w:p>
    <w:p>
      <w:pPr>
        <w:pStyle w:val="MdBlockquote"/>
      </w:pPr>
      <w:r>
        <w:t xml:space="preserve">“Observed pattern: median position size was 1.8× larger after a losing trade across 12 eligible trades.”</w:t>
      </w:r>
    </w:p>
    <w:p>
      <w:pPr>
        <w:pStyle w:val="MdSpace"/>
        <w:spacing w:before="0" w:after="60"/>
      </w:pPr>
    </w:p>
    <w:p>
      <w:pPr>
        <w:pStyle w:val="MdParagraph"/>
      </w:pPr>
      <w:r>
        <w:t xml:space="preserve">Create a discipline score with components for position sizing, stop-loss discipline, overtrading, risk management, trade planning, and journaling consistency. Make the formula visible in the methodology documentation.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10. News, Sentiment, and AI</w:t>
      </w:r>
    </w:p>
    <w:p>
      <w:pPr>
        <w:pStyle w:val="MdParagraph"/>
      </w:pPr>
      <w:r>
        <w:t xml:space="preserve">News is contextual information, not a signal that guarantees a trade outcome.</w:t>
      </w:r>
    </w:p>
    <w:p>
      <w:pPr>
        <w:pStyle w:val="MdSpace"/>
        <w:spacing w:before="0" w:after="60"/>
      </w:pPr>
    </w:p>
    <w:p>
      <w:pPr>
        <w:pStyle w:val="MdParagraph"/>
      </w:pPr>
      <w:r>
        <w:t xml:space="preserve">For each article, store headline, source, URL, publication time, summary, related sectors, related instruments, data source, sentiment label, class probabilities, model version, and analyzed time.</w:t>
      </w:r>
    </w:p>
    <w:p>
      <w:pPr>
        <w:pStyle w:val="MdSpace"/>
        <w:spacing w:before="0" w:after="60"/>
      </w:pPr>
    </w:p>
    <w:p>
      <w:pPr>
        <w:pStyle w:val="MdParagraph"/>
      </w:pPr>
      <w:r>
        <w:t xml:space="preserve">Use a replaceable sentiment interface. The baseline may use a transparent lexicon or local classifier. The application must work without an LLM key. If an LLM is used for explanations, send only the minimum necessary context and never send passwords, secrets, or unnecessary personal information.</w:t>
      </w:r>
    </w:p>
    <w:p>
      <w:pPr>
        <w:pStyle w:val="MdSpace"/>
        <w:spacing w:before="0" w:after="60"/>
      </w:pPr>
    </w:p>
    <w:p>
      <w:pPr>
        <w:pStyle w:val="MdParagraph"/>
      </w:pPr>
      <w:r>
        <w:t xml:space="preserve">The AI layer has three responsibilities:</w:t>
      </w:r>
    </w:p>
    <w:p>
      <w:pPr>
        <w:pStyle w:val="MdSpace"/>
        <w:spacing w:before="0" w:after="60"/>
      </w:pPr>
    </w:p>
    <w:p>
      <w:pPr>
        <w:pStyle w:val="MdListItem"/>
        <w:numPr>
          <w:ilvl w:val="0"/>
          <w:numId w:val="2"/>
        </w:numPr>
      </w:pPr>
      <w:r>
        <w:rPr>
          <w:rStyle w:val="MdStrong"/>
          <w:b/>
          <w:bCs/>
        </w:rPr>
        <w:t xml:space="preserve">Explanation:</w:t>
      </w:r>
      <w:r>
        <w:t xml:space="preserve"> Convert already-calculated metrics into a concise, evidence-linked explanation.</w:t>
      </w:r>
    </w:p>
    <w:p>
      <w:pPr>
        <w:pStyle w:val="MdListItem"/>
        <w:numPr>
          <w:ilvl w:val="0"/>
          <w:numId w:val="2"/>
        </w:numPr>
      </w:pPr>
      <w:r>
        <w:rPr>
          <w:rStyle w:val="MdStrong"/>
          <w:b/>
          <w:bCs/>
        </w:rPr>
        <w:t xml:space="preserve">Synthesis:</w:t>
      </w:r>
      <w:r>
        <w:t xml:space="preserve"> Summarize portfolio risk, news exposure, and behavior using retrieved application data.</w:t>
      </w:r>
    </w:p>
    <w:p>
      <w:pPr>
        <w:pStyle w:val="MdListItem"/>
        <w:numPr>
          <w:ilvl w:val="0"/>
          <w:numId w:val="2"/>
        </w:numPr>
      </w:pPr>
      <w:r>
        <w:rPr>
          <w:rStyle w:val="MdStrong"/>
          <w:b/>
          <w:bCs/>
        </w:rPr>
        <w:t xml:space="preserve">Conversation:</w:t>
      </w:r>
      <w:r>
        <w:t xml:space="preserve"> Answer Copilot questions using tool-backed structured context.</w:t>
      </w:r>
    </w:p>
    <w:p>
      <w:pPr>
        <w:pStyle w:val="MdSpace"/>
        <w:spacing w:before="0" w:after="60"/>
      </w:pPr>
    </w:p>
    <w:p>
      <w:pPr>
        <w:pStyle w:val="MdParagraph"/>
      </w:pPr>
      <w:r>
        <w:t xml:space="preserve">The AI layer must not:</w:t>
      </w:r>
    </w:p>
    <w:p>
      <w:pPr>
        <w:pStyle w:val="MdSpace"/>
        <w:spacing w:before="0" w:after="60"/>
      </w:pPr>
    </w:p>
    <w:p>
      <w:pPr>
        <w:pStyle w:val="MdListItem"/>
        <w:numPr>
          <w:ilvl w:val="0"/>
          <w:numId w:val="3"/>
        </w:numPr>
      </w:pPr>
      <w:r>
        <w:t xml:space="preserve">Place or modify orders.</w:t>
      </w:r>
    </w:p>
    <w:p>
      <w:pPr>
        <w:pStyle w:val="MdListItem"/>
        <w:numPr>
          <w:ilvl w:val="0"/>
          <w:numId w:val="3"/>
        </w:numPr>
      </w:pPr>
      <w:r>
        <w:t xml:space="preserve">Promise profits.</w:t>
      </w:r>
    </w:p>
    <w:p>
      <w:pPr>
        <w:pStyle w:val="MdListItem"/>
        <w:numPr>
          <w:ilvl w:val="0"/>
          <w:numId w:val="3"/>
        </w:numPr>
      </w:pPr>
      <w:r>
        <w:t xml:space="preserve">Generate unsupported metrics.</w:t>
      </w:r>
    </w:p>
    <w:p>
      <w:pPr>
        <w:pStyle w:val="MdListItem"/>
        <w:numPr>
          <w:ilvl w:val="0"/>
          <w:numId w:val="3"/>
        </w:numPr>
      </w:pPr>
      <w:r>
        <w:t xml:space="preserve">Present financial advice as certainty.</w:t>
      </w:r>
    </w:p>
    <w:p>
      <w:pPr>
        <w:pStyle w:val="MdListItem"/>
        <w:numPr>
          <w:ilvl w:val="0"/>
          <w:numId w:val="3"/>
        </w:numPr>
      </w:pPr>
      <w:r>
        <w:t xml:space="preserve">Override the quantitative risk engine.</w:t>
      </w:r>
    </w:p>
    <w:p>
      <w:pPr>
        <w:pStyle w:val="MdSpace"/>
        <w:spacing w:before="0" w:after="60"/>
      </w:pPr>
    </w:p>
    <w:p>
      <w:pPr>
        <w:pStyle w:val="MdParagraph"/>
      </w:pPr>
      <w:r>
        <w:t xml:space="preserve">For the Portfolio Copilot, implement server-side tools such as:</w:t>
      </w:r>
    </w:p>
    <w:p>
      <w:pPr>
        <w:pStyle w:val="MdSpace"/>
        <w:spacing w:before="0" w:after="60"/>
      </w:pPr>
    </w:p>
    <w:p>
      <w:pPr>
        <w:pStyle w:val="MdListItem"/>
        <w:numPr>
          <w:ilvl w:val="0"/>
          <w:numId w:val="3"/>
        </w:numPr>
      </w:pPr>
      <w:r>
        <w:rPr>
          <w:rStyle w:val="MdCode"/>
          <w:u w:val="single"/>
        </w:rPr>
        <w:t xml:space="preserve">getPortfolioSummary()</w:t>
      </w:r>
    </w:p>
    <w:p>
      <w:pPr>
        <w:pStyle w:val="MdListItem"/>
        <w:numPr>
          <w:ilvl w:val="0"/>
          <w:numId w:val="3"/>
        </w:numPr>
      </w:pPr>
      <w:r>
        <w:rPr>
          <w:rStyle w:val="MdCode"/>
          <w:u w:val="single"/>
        </w:rPr>
        <w:t xml:space="preserve">getRiskBreakdown()</w:t>
      </w:r>
    </w:p>
    <w:p>
      <w:pPr>
        <w:pStyle w:val="MdListItem"/>
        <w:numPr>
          <w:ilvl w:val="0"/>
          <w:numId w:val="3"/>
        </w:numPr>
      </w:pPr>
      <w:r>
        <w:rPr>
          <w:rStyle w:val="MdCode"/>
          <w:u w:val="single"/>
        </w:rPr>
        <w:t xml:space="preserve">getRiskContributions()</w:t>
      </w:r>
    </w:p>
    <w:p>
      <w:pPr>
        <w:pStyle w:val="MdListItem"/>
        <w:numPr>
          <w:ilvl w:val="0"/>
          <w:numId w:val="3"/>
        </w:numPr>
      </w:pPr>
      <w:r>
        <w:rPr>
          <w:rStyle w:val="MdCode"/>
          <w:u w:val="single"/>
        </w:rPr>
        <w:t xml:space="preserve">runScenario()</w:t>
      </w:r>
    </w:p>
    <w:p>
      <w:pPr>
        <w:pStyle w:val="MdListItem"/>
        <w:numPr>
          <w:ilvl w:val="0"/>
          <w:numId w:val="3"/>
        </w:numPr>
      </w:pPr>
      <w:r>
        <w:rPr>
          <w:rStyle w:val="MdCode"/>
          <w:u w:val="single"/>
        </w:rPr>
        <w:t xml:space="preserve">getRecentNewsImpact()</w:t>
      </w:r>
    </w:p>
    <w:p>
      <w:pPr>
        <w:pStyle w:val="MdListItem"/>
        <w:numPr>
          <w:ilvl w:val="0"/>
          <w:numId w:val="3"/>
        </w:numPr>
      </w:pPr>
      <w:r>
        <w:rPr>
          <w:rStyle w:val="MdCode"/>
          <w:u w:val="single"/>
        </w:rPr>
        <w:t xml:space="preserve">getTradingBehavior()</w:t>
      </w:r>
    </w:p>
    <w:p>
      <w:pPr>
        <w:pStyle w:val="MdListItem"/>
        <w:numPr>
          <w:ilvl w:val="0"/>
          <w:numId w:val="3"/>
        </w:numPr>
      </w:pPr>
      <w:r>
        <w:rPr>
          <w:rStyle w:val="MdCode"/>
          <w:u w:val="single"/>
        </w:rPr>
        <w:t xml:space="preserve">getPerformanceByStrategy()</w:t>
      </w:r>
    </w:p>
    <w:p>
      <w:pPr>
        <w:pStyle w:val="MdSpace"/>
        <w:spacing w:before="0" w:after="60"/>
      </w:pPr>
    </w:p>
    <w:p>
      <w:pPr>
        <w:pStyle w:val="MdParagraph"/>
      </w:pPr>
      <w:r>
        <w:t xml:space="preserve">The assistant response must cite the relevant metric names and timestamps in the UI. Show a compact “Data used” section under answers. Use a safe fallback response if the AI provider is unavailable.</w:t>
      </w:r>
    </w:p>
    <w:p>
      <w:pPr>
        <w:pStyle w:val="MdSpace"/>
        <w:spacing w:before="0" w:after="60"/>
      </w:pPr>
    </w:p>
    <w:p>
      <w:pPr>
        <w:pStyle w:val="MdParagraph"/>
      </w:pPr>
      <w:r>
        <w:t xml:space="preserve">For trade post-mortems, compare entry thesis, stop-loss, target, position size, execution, exit, holding period, and the user’s own historical behavior. Do not judge the user’s personality.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11. REST API Contract</w:t>
      </w:r>
    </w:p>
    <w:p>
      <w:pPr>
        <w:pStyle w:val="MdParagraph"/>
      </w:pPr>
      <w:r>
        <w:t xml:space="preserve">Use a consistent envelope: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"asOf"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Errors: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"requestId"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"VALIDATION_ERROR"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"message"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"The order quantity must be greater than zero."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"fieldErrors"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Implement at minimum:</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/api/v1/auth/register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/api/v1/auth/login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/api/v1/auth/logout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/api/v1/auth/refresh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/api/v1/auth/password-reset/request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PATCH  /api/v1/me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/api/v1/instruments?query=&amp;sector=&amp;page=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/api/v1/instruments/:symbol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/api/v1/instruments/:symbol/history?range=&amp;interval=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/api/v1/instruments/:symbol/order-book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/api/v1/portfolio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/api/v1/portfolio/holdings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/api/v1/portfolio/performance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/api/v1/portfolio/allocation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/api/v1/orders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/api/v1/orders/:id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/api/v1/orders/:id/cancel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/api/v1/trades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/api/v1/risk/stock/:symbol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/api/v1/risk/portfolio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/api/v1/risk/contributions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/api/v1/risk/correlation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/api/v1/risk/scenarios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/api/v1/risk/stress-tests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/api/v1/news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/api/v1/news/sectors/:sector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/api/v1/news/instruments/:symbol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/api/v1/journal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/api/v1/journal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PATCH  /api/v1/journal/:id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DELETE /api/v1/journal/:id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/api/v1/analytics/performance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/api/v1/analytics/habits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/api/v1/analytics/strategies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/api/v1/analytics/trades/:tradeId/post-mortem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/api/v1/watchlists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/api/v1/watchlists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/api/v1/watchlists/:id/items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DELETE /api/v1/watchlists/:id/items/:symbol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/api/v1/alerts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/api/v1/alerts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PATCH  /api/v1/alerts/:id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DELETE /api/v1/alerts/:id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/api/v1/copilot/threads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GET    /api/v1/copilot/threads/:id/messages</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POST   /api/v1/copilot/threads/:id/messages</w:t>
      </w:r>
    </w:p>
    <w:p>
      <w:pPr>
        <w:pStyle w:val="MdSpace"/>
        <w:spacing w:before="0" w:after="60"/>
      </w:pPr>
    </w:p>
    <w:p>
      <w:pPr>
        <w:pStyle w:val="MdParagraph"/>
      </w:pPr>
      <w:r>
        <w:t xml:space="preserve">Protect user-specific endpoints. Validate every request with Zod. Add pagination, stable sorting, request IDs, structured logs, and OpenAPI documentation.</w:t>
      </w:r>
    </w:p>
    <w:p>
      <w:pPr>
        <w:pStyle w:val="MdSpace"/>
        <w:spacing w:before="0" w:after="60"/>
      </w:pPr>
    </w:p>
    <w:p>
      <w:pPr>
        <w:pStyle w:val="MdParagraph"/>
      </w:pPr>
      <w:r>
        <w:t xml:space="preserve">Use WebSockets only for demo quote updates, order-status updates, and alert events. REST remains the source of truth.</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12. Background Jobs</w:t>
      </w:r>
    </w:p>
    <w:p>
      <w:pPr>
        <w:pStyle w:val="MdParagraph"/>
      </w:pPr>
      <w:r>
        <w:t xml:space="preserve">Use BullMQ with Redis. Jobs must be idempotent and observable.</w:t>
      </w:r>
    </w:p>
    <w:p>
      <w:pPr>
        <w:pStyle w:val="MdSpace"/>
        <w:spacing w:before="0" w:after="60"/>
      </w:pPr>
    </w:p>
    <w:p>
      <w:pPr>
        <w:pStyle w:val="MdParagraph"/>
      </w:pPr>
      <w:r>
        <w:t xml:space="preserve">Queues:</w:t>
      </w:r>
    </w:p>
    <w:p>
      <w:pPr>
        <w:pStyle w:val="MdSpace"/>
        <w:spacing w:before="0" w:after="60"/>
      </w:pPr>
    </w:p>
    <w:p>
      <w:pPr>
        <w:pStyle w:val="MdListItem"/>
        <w:numPr>
          <w:ilvl w:val="0"/>
          <w:numId w:val="3"/>
        </w:numPr>
      </w:pPr>
      <w:r>
        <w:rPr>
          <w:rStyle w:val="MdCode"/>
          <w:u w:val="single"/>
        </w:rPr>
        <w:t xml:space="preserve">market-data-refresh</w:t>
      </w:r>
    </w:p>
    <w:p>
      <w:pPr>
        <w:pStyle w:val="MdListItem"/>
        <w:numPr>
          <w:ilvl w:val="0"/>
          <w:numId w:val="3"/>
        </w:numPr>
      </w:pPr>
      <w:r>
        <w:rPr>
          <w:rStyle w:val="MdCode"/>
          <w:u w:val="single"/>
        </w:rPr>
        <w:t xml:space="preserve">portfolio-snapshot</w:t>
      </w:r>
    </w:p>
    <w:p>
      <w:pPr>
        <w:pStyle w:val="MdListItem"/>
        <w:numPr>
          <w:ilvl w:val="0"/>
          <w:numId w:val="3"/>
        </w:numPr>
      </w:pPr>
      <w:r>
        <w:rPr>
          <w:rStyle w:val="MdCode"/>
          <w:u w:val="single"/>
        </w:rPr>
        <w:t xml:space="preserve">risk-recalculation</w:t>
      </w:r>
    </w:p>
    <w:p>
      <w:pPr>
        <w:pStyle w:val="MdListItem"/>
        <w:numPr>
          <w:ilvl w:val="0"/>
          <w:numId w:val="3"/>
        </w:numPr>
      </w:pPr>
      <w:r>
        <w:rPr>
          <w:rStyle w:val="MdCode"/>
          <w:u w:val="single"/>
        </w:rPr>
        <w:t xml:space="preserve">news-ingestion</w:t>
      </w:r>
    </w:p>
    <w:p>
      <w:pPr>
        <w:pStyle w:val="MdListItem"/>
        <w:numPr>
          <w:ilvl w:val="0"/>
          <w:numId w:val="3"/>
        </w:numPr>
      </w:pPr>
      <w:r>
        <w:rPr>
          <w:rStyle w:val="MdCode"/>
          <w:u w:val="single"/>
        </w:rPr>
        <w:t xml:space="preserve">sentiment-analysis</w:t>
      </w:r>
    </w:p>
    <w:p>
      <w:pPr>
        <w:pStyle w:val="MdListItem"/>
        <w:numPr>
          <w:ilvl w:val="0"/>
          <w:numId w:val="3"/>
        </w:numPr>
      </w:pPr>
      <w:r>
        <w:rPr>
          <w:rStyle w:val="MdCode"/>
          <w:u w:val="single"/>
        </w:rPr>
        <w:t xml:space="preserve">alert-evaluation</w:t>
      </w:r>
    </w:p>
    <w:p>
      <w:pPr>
        <w:pStyle w:val="MdListItem"/>
        <w:numPr>
          <w:ilvl w:val="0"/>
          <w:numId w:val="3"/>
        </w:numPr>
      </w:pPr>
      <w:r>
        <w:rPr>
          <w:rStyle w:val="MdCode"/>
          <w:u w:val="single"/>
        </w:rPr>
        <w:t xml:space="preserve">trade-post-mortem</w:t>
      </w:r>
    </w:p>
    <w:p>
      <w:pPr>
        <w:pStyle w:val="MdSpace"/>
        <w:spacing w:before="0" w:after="60"/>
      </w:pPr>
    </w:p>
    <w:p>
      <w:pPr>
        <w:pStyle w:val="MdParagraph"/>
      </w:pPr>
      <w:r>
        <w:t xml:space="preserve">Do not calculate expensive risk models during every page render. Cache results with an </w:t>
      </w:r>
      <w:r>
        <w:rPr>
          <w:rStyle w:val="MdCode"/>
          <w:u w:val="single"/>
        </w:rPr>
        <w:t xml:space="preserve">asOf</w:t>
      </w:r>
      <w:r>
        <w:t xml:space="preserve"> timestamp and methodology version. Invalidate or enqueue recalculation when trades, prices, or relevant configuration change.</w:t>
      </w:r>
    </w:p>
    <w:p>
      <w:pPr>
        <w:pStyle w:val="MdSpace"/>
        <w:spacing w:before="0" w:after="60"/>
      </w:pPr>
    </w:p>
    <w:p>
      <w:pPr>
        <w:pStyle w:val="MdParagraph"/>
      </w:pPr>
      <w:r>
        <w:t xml:space="preserve">For local demo mode, provide a command that runs jobs synchronously or starts the worker in Docker Compose.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13. Security and Reliability</w:t>
      </w:r>
    </w:p>
    <w:p>
      <w:pPr>
        <w:pStyle w:val="MdParagraph"/>
      </w:pPr>
      <w:r>
        <w:t xml:space="preserve">Implement:</w:t>
      </w:r>
    </w:p>
    <w:p>
      <w:pPr>
        <w:pStyle w:val="MdSpace"/>
        <w:spacing w:before="0" w:after="60"/>
      </w:pPr>
    </w:p>
    <w:p>
      <w:pPr>
        <w:pStyle w:val="MdListItem"/>
        <w:numPr>
          <w:ilvl w:val="0"/>
          <w:numId w:val="3"/>
        </w:numPr>
      </w:pPr>
      <w:r>
        <w:t xml:space="preserve">Argon2id or bcrypt password hashing.</w:t>
      </w:r>
    </w:p>
    <w:p>
      <w:pPr>
        <w:pStyle w:val="MdListItem"/>
        <w:numPr>
          <w:ilvl w:val="0"/>
          <w:numId w:val="3"/>
        </w:numPr>
      </w:pPr>
      <w:r>
        <w:t xml:space="preserve">Short-lived access tokens and rotated refresh tokens, or secure server sessions.</w:t>
      </w:r>
    </w:p>
    <w:p>
      <w:pPr>
        <w:pStyle w:val="MdListItem"/>
        <w:numPr>
          <w:ilvl w:val="0"/>
          <w:numId w:val="3"/>
        </w:numPr>
      </w:pPr>
      <w:r>
        <w:t xml:space="preserve">HttpOnly, Secure, SameSite cookies where cookie auth is used.</w:t>
      </w:r>
    </w:p>
    <w:p>
      <w:pPr>
        <w:pStyle w:val="MdListItem"/>
        <w:numPr>
          <w:ilvl w:val="0"/>
          <w:numId w:val="3"/>
        </w:numPr>
      </w:pPr>
      <w:r>
        <w:t xml:space="preserve">Authorization checks on every user-owned resource.</w:t>
      </w:r>
    </w:p>
    <w:p>
      <w:pPr>
        <w:pStyle w:val="MdListItem"/>
        <w:numPr>
          <w:ilvl w:val="0"/>
          <w:numId w:val="3"/>
        </w:numPr>
      </w:pPr>
      <w:r>
        <w:t xml:space="preserve">Helmet security headers.</w:t>
      </w:r>
    </w:p>
    <w:p>
      <w:pPr>
        <w:pStyle w:val="MdListItem"/>
        <w:numPr>
          <w:ilvl w:val="0"/>
          <w:numId w:val="3"/>
        </w:numPr>
      </w:pPr>
      <w:r>
        <w:t xml:space="preserve">Strict CORS allowlist.</w:t>
      </w:r>
    </w:p>
    <w:p>
      <w:pPr>
        <w:pStyle w:val="MdListItem"/>
        <w:numPr>
          <w:ilvl w:val="0"/>
          <w:numId w:val="3"/>
        </w:numPr>
      </w:pPr>
      <w:r>
        <w:t xml:space="preserve">Rate limiting for auth, order, AI, and public market endpoints.</w:t>
      </w:r>
    </w:p>
    <w:p>
      <w:pPr>
        <w:pStyle w:val="MdListItem"/>
        <w:numPr>
          <w:ilvl w:val="0"/>
          <w:numId w:val="3"/>
        </w:numPr>
      </w:pPr>
      <w:r>
        <w:t xml:space="preserve">Request body size limits.</w:t>
      </w:r>
    </w:p>
    <w:p>
      <w:pPr>
        <w:pStyle w:val="MdListItem"/>
        <w:numPr>
          <w:ilvl w:val="0"/>
          <w:numId w:val="3"/>
        </w:numPr>
      </w:pPr>
      <w:r>
        <w:t xml:space="preserve">Parameterized queries through Prisma.</w:t>
      </w:r>
    </w:p>
    <w:p>
      <w:pPr>
        <w:pStyle w:val="MdListItem"/>
        <w:numPr>
          <w:ilvl w:val="0"/>
          <w:numId w:val="3"/>
        </w:numPr>
      </w:pPr>
      <w:r>
        <w:t xml:space="preserve">Output escaping and safe Markdown rendering.</w:t>
      </w:r>
    </w:p>
    <w:p>
      <w:pPr>
        <w:pStyle w:val="MdListItem"/>
        <w:numPr>
          <w:ilvl w:val="0"/>
          <w:numId w:val="3"/>
        </w:numPr>
      </w:pPr>
      <w:r>
        <w:t xml:space="preserve">CSRF protection when applicable to cookie authentication.</w:t>
      </w:r>
    </w:p>
    <w:p>
      <w:pPr>
        <w:pStyle w:val="MdListItem"/>
        <w:numPr>
          <w:ilvl w:val="0"/>
          <w:numId w:val="3"/>
        </w:numPr>
      </w:pPr>
      <w:r>
        <w:t xml:space="preserve">No secrets in source control or client bundles.</w:t>
      </w:r>
    </w:p>
    <w:p>
      <w:pPr>
        <w:pStyle w:val="MdListItem"/>
        <w:numPr>
          <w:ilvl w:val="0"/>
          <w:numId w:val="3"/>
        </w:numPr>
      </w:pPr>
      <w:r>
        <w:t xml:space="preserve">Audit events for authentication, order actions, and settings changes.</w:t>
      </w:r>
    </w:p>
    <w:p>
      <w:pPr>
        <w:pStyle w:val="MdListItem"/>
        <w:numPr>
          <w:ilvl w:val="0"/>
          <w:numId w:val="3"/>
        </w:numPr>
      </w:pPr>
      <w:r>
        <w:t xml:space="preserve">Generic production error responses without stack traces.</w:t>
      </w:r>
    </w:p>
    <w:p>
      <w:pPr>
        <w:pStyle w:val="MdListItem"/>
        <w:numPr>
          <w:ilvl w:val="0"/>
          <w:numId w:val="3"/>
        </w:numPr>
      </w:pPr>
      <w:r>
        <w:t xml:space="preserve">Health endpoints for API, database, Redis, and ML service.</w:t>
      </w:r>
    </w:p>
    <w:p>
      <w:pPr>
        <w:pStyle w:val="MdListItem"/>
        <w:numPr>
          <w:ilvl w:val="0"/>
          <w:numId w:val="3"/>
        </w:numPr>
      </w:pPr>
      <w:r>
        <w:t xml:space="preserve">Graceful shutdown and job retry policies.</w:t>
      </w:r>
    </w:p>
    <w:p>
      <w:pPr>
        <w:pStyle w:val="MdSpace"/>
        <w:spacing w:before="0" w:after="60"/>
      </w:pPr>
    </w:p>
    <w:p>
      <w:pPr>
        <w:pStyle w:val="MdParagraph"/>
      </w:pPr>
      <w:r>
        <w:t xml:space="preserve">Never integrate payment, brokerage, bank, or real-money account features. Add automated tests that fail if forbidden routes or payment-related dependencies are introduced.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14. Testing and Quality Gates</w:t>
      </w:r>
    </w:p>
    <w:p>
      <w:pPr>
        <w:pStyle w:val="MdParagraph"/>
      </w:pPr>
      <w:r>
        <w:t xml:space="preserve">The project is not complete until these pass:</w:t>
      </w:r>
    </w:p>
    <w:p>
      <w:pPr>
        <w:pStyle w:val="MdSpace"/>
        <w:spacing w:before="0" w:after="60"/>
      </w:pPr>
    </w:p>
    <w:p>
      <w:pPr>
        <w:pStyle w:val="Heading3"/>
        <w:pStyle w:val="MdHeading3"/>
      </w:pPr>
      <w:r>
        <w:t xml:space="preserve">Unit tests</w:t>
      </w:r>
    </w:p>
    <w:p>
      <w:pPr>
        <w:pStyle w:val="MdParagraph"/>
      </w:pPr>
      <w:r>
        <w:t xml:space="preserve">Test portfolio valuation, average cost, realized and unrealized P&amp;L, fee handling, order validation, order-state transitions, volatility, drawdown, beta, Sharpe, Sortino, covariance, risk contributions, diversification, VaR, stress scenarios, habit detection, and score boundaries.</w:t>
      </w:r>
    </w:p>
    <w:p>
      <w:pPr>
        <w:pStyle w:val="MdSpace"/>
        <w:spacing w:before="0" w:after="60"/>
      </w:pPr>
    </w:p>
    <w:p>
      <w:pPr>
        <w:pStyle w:val="MdParagraph"/>
      </w:pPr>
      <w:r>
        <w:t xml:space="preserve">Include hand-checked fixtures. For risk contribution, verify that component contributions sum approximately to total portfolio volatility within a stated numerical tolerance.</w:t>
      </w:r>
    </w:p>
    <w:p>
      <w:pPr>
        <w:pStyle w:val="MdSpace"/>
        <w:spacing w:before="0" w:after="60"/>
      </w:pPr>
    </w:p>
    <w:p>
      <w:pPr>
        <w:pStyle w:val="Heading3"/>
        <w:pStyle w:val="MdHeading3"/>
      </w:pPr>
      <w:r>
        <w:t xml:space="preserve">Integration tests</w:t>
      </w:r>
    </w:p>
    <w:p>
      <w:pPr>
        <w:pStyle w:val="MdParagraph"/>
      </w:pPr>
      <w:r>
        <w:t xml:space="preserve">Test registration and login, protected routes, order placement, transaction atomicity, insufficient cash rejection, oversell rejection, position updates, portfolio updates, risk endpoints, scenario persistence, and alert evaluation.</w:t>
      </w:r>
    </w:p>
    <w:p>
      <w:pPr>
        <w:pStyle w:val="MdSpace"/>
        <w:spacing w:before="0" w:after="60"/>
      </w:pPr>
    </w:p>
    <w:p>
      <w:pPr>
        <w:pStyle w:val="Heading3"/>
        <w:pStyle w:val="MdHeading3"/>
      </w:pPr>
      <w:r>
        <w:t xml:space="preserve">Frontend tests</w:t>
      </w:r>
    </w:p>
    <w:p>
      <w:pPr>
        <w:pStyle w:val="MdParagraph"/>
      </w:pPr>
      <w:r>
        <w:t xml:space="preserve">Test order form validation, paper-trade disclaimer, loading/error/empty states, risk score rendering, accessible tables, chart data transformation, and dashboard calculations.</w:t>
      </w:r>
    </w:p>
    <w:p>
      <w:pPr>
        <w:pStyle w:val="MdSpace"/>
        <w:spacing w:before="0" w:after="60"/>
      </w:pPr>
    </w:p>
    <w:p>
      <w:pPr>
        <w:pStyle w:val="Heading3"/>
        <w:pStyle w:val="MdHeading3"/>
      </w:pPr>
      <w:r>
        <w:t xml:space="preserve">End-to-end test</w:t>
      </w:r>
    </w:p>
    <w:p>
      <w:pPr>
        <w:pStyle w:val="MdParagraph"/>
      </w:pPr>
      <w:r>
        <w:t xml:space="preserve">Automate this complete flow:</w:t>
      </w:r>
    </w:p>
    <w:p>
      <w:pPr>
        <w:pStyle w:val="MdSpace"/>
        <w:spacing w:before="0" w:after="60"/>
      </w:pPr>
    </w:p>
    <w:p>
      <w:pPr>
        <w:pStyle w:val="MdListItem"/>
        <w:numPr>
          <w:ilvl w:val="0"/>
          <w:numId w:val="2"/>
        </w:numPr>
      </w:pPr>
      <w:r>
        <w:t xml:space="preserve">Open the seeded demo account.</w:t>
      </w:r>
    </w:p>
    <w:p>
      <w:pPr>
        <w:pStyle w:val="MdListItem"/>
        <w:numPr>
          <w:ilvl w:val="0"/>
          <w:numId w:val="2"/>
        </w:numPr>
      </w:pPr>
      <w:r>
        <w:t xml:space="preserve">Search for an instrument.</w:t>
      </w:r>
    </w:p>
    <w:p>
      <w:pPr>
        <w:pStyle w:val="MdListItem"/>
        <w:numPr>
          <w:ilvl w:val="0"/>
          <w:numId w:val="2"/>
        </w:numPr>
      </w:pPr>
      <w:r>
        <w:t xml:space="preserve">Open stock detail and inspect history.</w:t>
      </w:r>
    </w:p>
    <w:p>
      <w:pPr>
        <w:pStyle w:val="MdListItem"/>
        <w:numPr>
          <w:ilvl w:val="0"/>
          <w:numId w:val="2"/>
        </w:numPr>
      </w:pPr>
      <w:r>
        <w:t xml:space="preserve">Place a valid market paper buy.</w:t>
      </w:r>
    </w:p>
    <w:p>
      <w:pPr>
        <w:pStyle w:val="MdListItem"/>
        <w:numPr>
          <w:ilvl w:val="0"/>
          <w:numId w:val="2"/>
        </w:numPr>
      </w:pPr>
      <w:r>
        <w:t xml:space="preserve">Verify cash, position, order, trade, and audit event.</w:t>
      </w:r>
    </w:p>
    <w:p>
      <w:pPr>
        <w:pStyle w:val="MdListItem"/>
        <w:numPr>
          <w:ilvl w:val="0"/>
          <w:numId w:val="2"/>
        </w:numPr>
      </w:pPr>
      <w:r>
        <w:t xml:space="preserve">Add a journal entry.</w:t>
      </w:r>
    </w:p>
    <w:p>
      <w:pPr>
        <w:pStyle w:val="MdListItem"/>
        <w:numPr>
          <w:ilvl w:val="0"/>
          <w:numId w:val="2"/>
        </w:numPr>
      </w:pPr>
      <w:r>
        <w:t xml:space="preserve">Open portfolio risk.</w:t>
      </w:r>
    </w:p>
    <w:p>
      <w:pPr>
        <w:pStyle w:val="MdListItem"/>
        <w:numPr>
          <w:ilvl w:val="0"/>
          <w:numId w:val="2"/>
        </w:numPr>
      </w:pPr>
      <w:r>
        <w:t xml:space="preserve">Run a sector shock scenario.</w:t>
      </w:r>
    </w:p>
    <w:p>
      <w:pPr>
        <w:pStyle w:val="MdListItem"/>
        <w:numPr>
          <w:ilvl w:val="0"/>
          <w:numId w:val="2"/>
        </w:numPr>
      </w:pPr>
      <w:r>
        <w:t xml:space="preserve">Inspect a behavior or trade post-mortem result.</w:t>
      </w:r>
    </w:p>
    <w:p>
      <w:pPr>
        <w:pStyle w:val="MdSpace"/>
        <w:spacing w:before="0" w:after="60"/>
      </w:pPr>
    </w:p>
    <w:p>
      <w:pPr>
        <w:pStyle w:val="Heading3"/>
        <w:pStyle w:val="MdHeading3"/>
      </w:pPr>
      <w:r>
        <w:t xml:space="preserve">Quality gates</w:t>
      </w:r>
    </w:p>
    <w:p>
      <w:pPr>
        <w:pStyle w:val="MdParagraph"/>
      </w:pPr>
      <w:r>
        <w:t xml:space="preserve">CI must run formatting, linting, TypeScript compilation, Python type/lint checks, unit tests, integration tests, Playwright tests, database migration validation, dependency vulnerability scan, and production builds.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15. Docker and Environment</w:t>
      </w:r>
    </w:p>
    <w:p>
      <w:pPr>
        <w:pStyle w:val="MdParagraph"/>
      </w:pPr>
      <w:r>
        <w:t xml:space="preserve">Provide </w:t>
      </w:r>
      <w:r>
        <w:rPr>
          <w:rStyle w:val="MdCode"/>
          <w:u w:val="single"/>
        </w:rPr>
        <w:t xml:space="preserve">docker-compose.yml</w:t>
      </w:r>
      <w:r>
        <w:t xml:space="preserve"> services for:</w:t>
      </w:r>
    </w:p>
    <w:p>
      <w:pPr>
        <w:pStyle w:val="MdSpace"/>
        <w:spacing w:before="0" w:after="60"/>
      </w:pPr>
    </w:p>
    <w:p>
      <w:pPr>
        <w:pStyle w:val="MdListItem"/>
        <w:numPr>
          <w:ilvl w:val="0"/>
          <w:numId w:val="3"/>
        </w:numPr>
      </w:pPr>
      <w:r>
        <w:rPr>
          <w:rStyle w:val="MdCode"/>
          <w:u w:val="single"/>
        </w:rPr>
        <w:t xml:space="preserve">web</w:t>
      </w:r>
    </w:p>
    <w:p>
      <w:pPr>
        <w:pStyle w:val="MdListItem"/>
        <w:numPr>
          <w:ilvl w:val="0"/>
          <w:numId w:val="3"/>
        </w:numPr>
      </w:pPr>
      <w:r>
        <w:rPr>
          <w:rStyle w:val="MdCode"/>
          <w:u w:val="single"/>
        </w:rPr>
        <w:t xml:space="preserve">api</w:t>
      </w:r>
    </w:p>
    <w:p>
      <w:pPr>
        <w:pStyle w:val="MdListItem"/>
        <w:numPr>
          <w:ilvl w:val="0"/>
          <w:numId w:val="3"/>
        </w:numPr>
      </w:pPr>
      <w:r>
        <w:rPr>
          <w:rStyle w:val="MdCode"/>
          <w:u w:val="single"/>
        </w:rPr>
        <w:t xml:space="preserve">worker</w:t>
      </w:r>
    </w:p>
    <w:p>
      <w:pPr>
        <w:pStyle w:val="MdListItem"/>
        <w:numPr>
          <w:ilvl w:val="0"/>
          <w:numId w:val="3"/>
        </w:numPr>
      </w:pPr>
      <w:r>
        <w:rPr>
          <w:rStyle w:val="MdCode"/>
          <w:u w:val="single"/>
        </w:rPr>
        <w:t xml:space="preserve">ml-service</w:t>
      </w:r>
    </w:p>
    <w:p>
      <w:pPr>
        <w:pStyle w:val="MdListItem"/>
        <w:numPr>
          <w:ilvl w:val="0"/>
          <w:numId w:val="3"/>
        </w:numPr>
      </w:pPr>
      <w:r>
        <w:rPr>
          <w:rStyle w:val="MdCode"/>
          <w:u w:val="single"/>
        </w:rPr>
        <w:t xml:space="preserve">postgres</w:t>
      </w:r>
    </w:p>
    <w:p>
      <w:pPr>
        <w:pStyle w:val="MdListItem"/>
        <w:numPr>
          <w:ilvl w:val="0"/>
          <w:numId w:val="3"/>
        </w:numPr>
      </w:pPr>
      <w:r>
        <w:rPr>
          <w:rStyle w:val="MdCode"/>
          <w:u w:val="single"/>
        </w:rPr>
        <w:t xml:space="preserve">redis</w:t>
      </w:r>
    </w:p>
    <w:p>
      <w:pPr>
        <w:pStyle w:val="MdSpace"/>
        <w:spacing w:before="0" w:after="60"/>
      </w:pPr>
    </w:p>
    <w:p>
      <w:pPr>
        <w:pStyle w:val="MdParagraph"/>
      </w:pPr>
      <w:r>
        <w:t xml:space="preserve">Provide </w:t>
      </w:r>
      <w:r>
        <w:rPr>
          <w:rStyle w:val="MdCode"/>
          <w:u w:val="single"/>
        </w:rPr>
        <w:t xml:space="preserve">.env.example</w:t>
      </w:r>
      <w:r>
        <w:t xml:space="preserve"> with safe placeholders: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NODE_ENV=development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DATABASE_URL=postgresql://...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REDIS_URL=redis://redis:6379</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JWT_SECRET=replace-me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SESSION_SECRET=replace-me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API_BASE_URL=http://localhost:4000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WEB_BASE_URL=http://localhost:5173</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ML_SERVICE_URL=http://ml-service:8000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MARKET_DATA_PROVIDER=demo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NEWS_PROVIDER=demo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LLM_PROVIDER=disabled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INITIAL_VIRTUAL_CAPITAL_MINOR=100000000</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RISK_METHODOLOGY_VERSION=v1.0.0</w:t>
      </w:r>
    </w:p>
    <w:p>
      <w:pPr>
        <w:pStyle w:val="MdSpace"/>
        <w:spacing w:before="0" w:after="60"/>
      </w:pPr>
    </w:p>
    <w:p>
      <w:pPr>
        <w:pStyle w:val="MdParagraph"/>
      </w:pPr>
      <w:r>
        <w:t xml:space="preserve">Never commit </w:t>
      </w:r>
      <w:r>
        <w:rPr>
          <w:rStyle w:val="MdCode"/>
          <w:u w:val="single"/>
        </w:rPr>
        <w:t xml:space="preserve">.env</w:t>
      </w:r>
      <w:r>
        <w:t xml:space="preserve">. The seed command must create a demo user, virtual wallet, instruments, price history, news, watchlist, trades, holdings, and precomputed analytics.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16. Delivery Phases</w:t>
      </w:r>
    </w:p>
    <w:p>
      <w:pPr>
        <w:pStyle w:val="MdParagraph"/>
      </w:pPr>
      <w:r>
        <w:t xml:space="preserve">Implement in this order, keeping each phase runnable:</w:t>
      </w:r>
    </w:p>
    <w:p>
      <w:pPr>
        <w:pStyle w:val="MdSpace"/>
        <w:spacing w:before="0" w:after="60"/>
      </w:pPr>
    </w:p>
    <w:p>
      <w:pPr>
        <w:pStyle w:val="Heading3"/>
        <w:pStyle w:val="MdHeading3"/>
      </w:pPr>
      <w:r>
        <w:t xml:space="preserve">Phase 1: Foundation</w:t>
      </w:r>
    </w:p>
    <w:p>
      <w:pPr>
        <w:pStyle w:val="MdParagraph"/>
      </w:pPr>
      <w:r>
        <w:t xml:space="preserve">Monorepo, Docker, database schema, seed data, authentication, protected layout, market search, stock detail, historical charts, virtual wallet, and dashboard.</w:t>
      </w:r>
    </w:p>
    <w:p>
      <w:pPr>
        <w:pStyle w:val="MdSpace"/>
        <w:spacing w:before="0" w:after="60"/>
      </w:pPr>
    </w:p>
    <w:p>
      <w:pPr>
        <w:pStyle w:val="Heading3"/>
        <w:pStyle w:val="MdHeading3"/>
      </w:pPr>
      <w:r>
        <w:t xml:space="preserve">Phase 2: Correct paper trading</w:t>
      </w:r>
    </w:p>
    <w:p>
      <w:pPr>
        <w:pStyle w:val="MdParagraph"/>
      </w:pPr>
      <w:r>
        <w:t xml:space="preserve">Order ticket, market and limit orders, stop-loss and stop-limit lifecycle, transaction-safe wallet ledger, positions, holdings, P&amp;L, orders, trades, and journal association.</w:t>
      </w:r>
    </w:p>
    <w:p>
      <w:pPr>
        <w:pStyle w:val="MdSpace"/>
        <w:spacing w:before="0" w:after="60"/>
      </w:pPr>
    </w:p>
    <w:p>
      <w:pPr>
        <w:pStyle w:val="Heading3"/>
        <w:pStyle w:val="MdHeading3"/>
      </w:pPr>
      <w:r>
        <w:t xml:space="preserve">Phase 3: Quantitative risk engine</w:t>
      </w:r>
    </w:p>
    <w:p>
      <w:pPr>
        <w:pStyle w:val="MdParagraph"/>
      </w:pPr>
      <w:r>
        <w:t xml:space="preserve">Feature calculations, stock risk score, portfolio risk score, covariance, risk contributions, diversification, correlation matrix, data sufficiency handling, methodology documentation, and tests.</w:t>
      </w:r>
    </w:p>
    <w:p>
      <w:pPr>
        <w:pStyle w:val="MdSpace"/>
        <w:spacing w:before="0" w:after="60"/>
      </w:pPr>
    </w:p>
    <w:p>
      <w:pPr>
        <w:pStyle w:val="Heading3"/>
        <w:pStyle w:val="MdHeading3"/>
      </w:pPr>
      <w:r>
        <w:t xml:space="preserve">Phase 4: Scenario intelligence</w:t>
      </w:r>
    </w:p>
    <w:p>
      <w:pPr>
        <w:pStyle w:val="MdParagraph"/>
      </w:pPr>
      <w:r>
        <w:t xml:space="preserve">What-if simulator, predefined stress tests, VaR, exposure analysis, cached risk snapshots, and scenario history.</w:t>
      </w:r>
    </w:p>
    <w:p>
      <w:pPr>
        <w:pStyle w:val="MdSpace"/>
        <w:spacing w:before="0" w:after="60"/>
      </w:pPr>
    </w:p>
    <w:p>
      <w:pPr>
        <w:pStyle w:val="Heading3"/>
        <w:pStyle w:val="MdHeading3"/>
      </w:pPr>
      <w:r>
        <w:t xml:space="preserve">Phase 5: News and behavioral intelligence</w:t>
      </w:r>
    </w:p>
    <w:p>
      <w:pPr>
        <w:pStyle w:val="MdParagraph"/>
      </w:pPr>
      <w:r>
        <w:t xml:space="preserve">News ingestion abstraction, sentiment, portfolio news impact, trading analytics, habit observations, discipline score, strategy tracking, and post-mortems.</w:t>
      </w:r>
    </w:p>
    <w:p>
      <w:pPr>
        <w:pStyle w:val="MdSpace"/>
        <w:spacing w:before="0" w:after="60"/>
      </w:pPr>
    </w:p>
    <w:p>
      <w:pPr>
        <w:pStyle w:val="Heading3"/>
        <w:pStyle w:val="MdHeading3"/>
      </w:pPr>
      <w:r>
        <w:t xml:space="preserve">Phase 6: Production hardening</w:t>
      </w:r>
    </w:p>
    <w:p>
      <w:pPr>
        <w:pStyle w:val="MdParagraph"/>
      </w:pPr>
      <w:r>
        <w:t xml:space="preserve">Redis cache, BullMQ workers, WebSockets, rate limiting, audit trail, observability, CI/CD, security review, performance optimization, accessibility review, and polished README.</w:t>
      </w:r>
    </w:p>
    <w:p>
      <w:pPr>
        <w:pStyle w:val="MdSpace"/>
        <w:spacing w:before="0" w:after="60"/>
      </w:pPr>
    </w:p>
    <w:p>
      <w:pPr>
        <w:pStyle w:val="MdParagraph"/>
      </w:pPr>
      <w:r>
        <w:t xml:space="preserve">At the end of every phase, keep the application executable with </w:t>
      </w:r>
      <w:r>
        <w:rPr>
          <w:rStyle w:val="MdCode"/>
          <w:u w:val="single"/>
        </w:rPr>
        <w:t xml:space="preserve">docker compose up</w:t>
      </w:r>
      <w:r>
        <w:t xml:space="preserve"> and provide a working demo flow.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17. Acceptance Criteria</w:t>
      </w:r>
    </w:p>
    <w:p>
      <w:pPr>
        <w:pStyle w:val="MdParagraph"/>
      </w:pPr>
      <w:r>
        <w:t xml:space="preserve">The build is accepted only if all of the following are true:</w:t>
      </w:r>
    </w:p>
    <w:p>
      <w:pPr>
        <w:pStyle w:val="MdSpace"/>
        <w:spacing w:before="0" w:after="60"/>
      </w:pPr>
    </w:p>
    <w:p>
      <w:pPr>
        <w:pStyle w:val="MdListItem"/>
        <w:numPr>
          <w:ilvl w:val="0"/>
          <w:numId w:val="3"/>
        </w:numPr>
      </w:pPr>
      <w:r>
        <w:t xml:space="preserve">A new user receives only virtual capital.</w:t>
      </w:r>
    </w:p>
    <w:p>
      <w:pPr>
        <w:pStyle w:val="MdListItem"/>
        <w:numPr>
          <w:ilvl w:val="0"/>
          <w:numId w:val="3"/>
        </w:numPr>
      </w:pPr>
      <w:r>
        <w:t xml:space="preserve">There is no payment, withdrawal, deposit, brokerage, or real-money execution path.</w:t>
      </w:r>
    </w:p>
    <w:p>
      <w:pPr>
        <w:pStyle w:val="MdListItem"/>
        <w:numPr>
          <w:ilvl w:val="0"/>
          <w:numId w:val="3"/>
        </w:numPr>
      </w:pPr>
      <w:r>
        <w:t xml:space="preserve">Demo mode works without third-party API keys.</w:t>
      </w:r>
    </w:p>
    <w:p>
      <w:pPr>
        <w:pStyle w:val="MdListItem"/>
        <w:numPr>
          <w:ilvl w:val="0"/>
          <w:numId w:val="3"/>
        </w:numPr>
      </w:pPr>
      <w:r>
        <w:t xml:space="preserve">All live/demo/provider states are visible to the user.</w:t>
      </w:r>
    </w:p>
    <w:p>
      <w:pPr>
        <w:pStyle w:val="MdListItem"/>
        <w:numPr>
          <w:ilvl w:val="0"/>
          <w:numId w:val="3"/>
        </w:numPr>
      </w:pPr>
      <w:r>
        <w:t xml:space="preserve">Orders are validated and executed transactionally.</w:t>
      </w:r>
    </w:p>
    <w:p>
      <w:pPr>
        <w:pStyle w:val="MdListItem"/>
        <w:numPr>
          <w:ilvl w:val="0"/>
          <w:numId w:val="3"/>
        </w:numPr>
      </w:pPr>
      <w:r>
        <w:t xml:space="preserve">Portfolio values reconcile with positions and cash ledger.</w:t>
      </w:r>
    </w:p>
    <w:p>
      <w:pPr>
        <w:pStyle w:val="MdListItem"/>
        <w:numPr>
          <w:ilvl w:val="0"/>
          <w:numId w:val="3"/>
        </w:numPr>
      </w:pPr>
      <w:r>
        <w:t xml:space="preserve">Risk scores have transparent formulas, raw features, methodology versions, timestamps, and data sufficiency status.</w:t>
      </w:r>
    </w:p>
    <w:p>
      <w:pPr>
        <w:pStyle w:val="MdListItem"/>
        <w:numPr>
          <w:ilvl w:val="0"/>
          <w:numId w:val="3"/>
        </w:numPr>
      </w:pPr>
      <w:r>
        <w:t xml:space="preserve">Risk contribution is mathematically based on covariance and portfolio weights, not merely position allocation.</w:t>
      </w:r>
    </w:p>
    <w:p>
      <w:pPr>
        <w:pStyle w:val="MdListItem"/>
        <w:numPr>
          <w:ilvl w:val="0"/>
          <w:numId w:val="3"/>
        </w:numPr>
      </w:pPr>
      <w:r>
        <w:t xml:space="preserve">Scenario outputs show assumptions and limitations.</w:t>
      </w:r>
    </w:p>
    <w:p>
      <w:pPr>
        <w:pStyle w:val="MdListItem"/>
        <w:numPr>
          <w:ilvl w:val="0"/>
          <w:numId w:val="3"/>
        </w:numPr>
      </w:pPr>
      <w:r>
        <w:t xml:space="preserve">AI explanations are grounded in stored metrics and cannot place orders.</w:t>
      </w:r>
    </w:p>
    <w:p>
      <w:pPr>
        <w:pStyle w:val="MdListItem"/>
        <w:numPr>
          <w:ilvl w:val="0"/>
          <w:numId w:val="3"/>
        </w:numPr>
      </w:pPr>
      <w:r>
        <w:t xml:space="preserve">Behavioral insights use neutral, evidence-based language and minimum sample sizes.</w:t>
      </w:r>
    </w:p>
    <w:p>
      <w:pPr>
        <w:pStyle w:val="MdListItem"/>
        <w:numPr>
          <w:ilvl w:val="0"/>
          <w:numId w:val="3"/>
        </w:numPr>
      </w:pPr>
      <w:r>
        <w:t xml:space="preserve">API errors are consistent and user-safe.</w:t>
      </w:r>
    </w:p>
    <w:p>
      <w:pPr>
        <w:pStyle w:val="MdListItem"/>
        <w:numPr>
          <w:ilvl w:val="0"/>
          <w:numId w:val="3"/>
        </w:numPr>
      </w:pPr>
      <w:r>
        <w:t xml:space="preserve">Authentication, authorization, rate limiting, input validation, and secret handling are implemented.</w:t>
      </w:r>
    </w:p>
    <w:p>
      <w:pPr>
        <w:pStyle w:val="MdListItem"/>
        <w:numPr>
          <w:ilvl w:val="0"/>
          <w:numId w:val="3"/>
        </w:numPr>
      </w:pPr>
      <w:r>
        <w:t xml:space="preserve">Unit, integration, frontend, and end-to-end tests run in CI.</w:t>
      </w:r>
    </w:p>
    <w:p>
      <w:pPr>
        <w:pStyle w:val="MdListItem"/>
        <w:numPr>
          <w:ilvl w:val="0"/>
          <w:numId w:val="3"/>
        </w:numPr>
      </w:pPr>
      <w:r>
        <w:t xml:space="preserve">README includes architecture, schema, API documentation, setup, demo credentials, screenshots, risk methodology, limitations, and design decisions.</w:t>
      </w:r>
    </w:p>
    <w:p>
      <w:pPr>
        <w:pStyle w:val="MdListItem"/>
        <w:numPr>
          <w:ilvl w:val="0"/>
          <w:numId w:val="3"/>
        </w:numPr>
      </w:pPr>
      <w:r>
        <w:t xml:space="preserve">The UI is responsive, keyboard accessible, and professional on desktop and tablet.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18. Interview-Ready Documentation</w:t>
      </w:r>
    </w:p>
    <w:p>
      <w:pPr>
        <w:pStyle w:val="MdParagraph"/>
      </w:pPr>
      <w:r>
        <w:t xml:space="preserve">Write these documents as part of the build:</w:t>
      </w:r>
    </w:p>
    <w:p>
      <w:pPr>
        <w:pStyle w:val="MdSpace"/>
        <w:spacing w:before="0" w:after="60"/>
      </w:pPr>
    </w:p>
    <w:p>
      <w:pPr>
        <w:pStyle w:val="MdListItem"/>
        <w:numPr>
          <w:ilvl w:val="0"/>
          <w:numId w:val="2"/>
        </w:numPr>
      </w:pPr>
      <w:r>
        <w:rPr>
          <w:rStyle w:val="MdCode"/>
          <w:u w:val="single"/>
        </w:rPr>
        <w:t xml:space="preserve">README.md</w:t>
      </w:r>
      <w:r>
        <w:t xml:space="preserve">: product story, screenshots, quick start, demo credentials, architecture, feature map, testing, limitations, and roadmap.</w:t>
      </w:r>
    </w:p>
    <w:p>
      <w:pPr>
        <w:pStyle w:val="MdListItem"/>
        <w:numPr>
          <w:ilvl w:val="0"/>
          <w:numId w:val="2"/>
        </w:numPr>
      </w:pPr>
      <w:r>
        <w:rPr>
          <w:rStyle w:val="MdCode"/>
          <w:u w:val="single"/>
        </w:rPr>
        <w:t xml:space="preserve">docs/architecture.md</w:t>
      </w:r>
      <w:r>
        <w:t xml:space="preserve">: component diagram, data flow, module boundaries, deployment topology, and key decisions.</w:t>
      </w:r>
    </w:p>
    <w:p>
      <w:pPr>
        <w:pStyle w:val="MdListItem"/>
        <w:numPr>
          <w:ilvl w:val="0"/>
          <w:numId w:val="2"/>
        </w:numPr>
      </w:pPr>
      <w:r>
        <w:rPr>
          <w:rStyle w:val="MdCode"/>
          <w:u w:val="single"/>
        </w:rPr>
        <w:t xml:space="preserve">docs/risk-methodology.md</w:t>
      </w:r>
      <w:r>
        <w:t xml:space="preserve">: formulas, assumptions, thresholds, data sufficiency, limitations, and worked examples.</w:t>
      </w:r>
    </w:p>
    <w:p>
      <w:pPr>
        <w:pStyle w:val="MdListItem"/>
        <w:numPr>
          <w:ilvl w:val="0"/>
          <w:numId w:val="2"/>
        </w:numPr>
      </w:pPr>
      <w:r>
        <w:rPr>
          <w:rStyle w:val="MdCode"/>
          <w:u w:val="single"/>
        </w:rPr>
        <w:t xml:space="preserve">docs/api.md</w:t>
      </w:r>
      <w:r>
        <w:t xml:space="preserve">: endpoint contracts, authentication, pagination, error format, and example requests.</w:t>
      </w:r>
    </w:p>
    <w:p>
      <w:pPr>
        <w:pStyle w:val="MdListItem"/>
        <w:numPr>
          <w:ilvl w:val="0"/>
          <w:numId w:val="2"/>
        </w:numPr>
      </w:pPr>
      <w:r>
        <w:rPr>
          <w:rStyle w:val="MdCode"/>
          <w:u w:val="single"/>
        </w:rPr>
        <w:t xml:space="preserve">docs/adr/</w:t>
      </w:r>
      <w:r>
        <w:t xml:space="preserve">: short Architecture Decision Records for modular monolith, demo provider, risk scoring, AI boundaries, and transaction model.</w:t>
      </w:r>
    </w:p>
    <w:p>
      <w:pPr>
        <w:pStyle w:val="MdListItem"/>
        <w:numPr>
          <w:ilvl w:val="0"/>
          <w:numId w:val="2"/>
        </w:numPr>
      </w:pPr>
      <w:r>
        <w:rPr>
          <w:rStyle w:val="MdCode"/>
          <w:u w:val="single"/>
        </w:rPr>
        <w:t xml:space="preserve">docs/demo-script.md</w:t>
      </w:r>
      <w:r>
        <w:t xml:space="preserve">: a five-minute hiring-manager walkthrough.</w:t>
      </w:r>
    </w:p>
    <w:p>
      <w:pPr>
        <w:pStyle w:val="MdSpace"/>
        <w:spacing w:before="0" w:after="60"/>
      </w:pPr>
    </w:p>
    <w:p>
      <w:pPr>
        <w:pStyle w:val="MdParagraph"/>
      </w:pPr>
      <w:r>
        <w:t xml:space="preserve">The README should explicitly state what is production-ready, what is simulated, what depends on external providers, and what would change for a regulated real-world product. Do not claim regulatory compliance.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19. Hiring-Focused Demo Script</w:t>
      </w:r>
    </w:p>
    <w:p>
      <w:pPr>
        <w:pStyle w:val="MdParagraph"/>
      </w:pPr>
      <w:r>
        <w:t xml:space="preserve">The polished demo should follow this narrative:</w:t>
      </w:r>
    </w:p>
    <w:p>
      <w:pPr>
        <w:pStyle w:val="MdSpace"/>
        <w:spacing w:before="0" w:after="60"/>
      </w:pPr>
    </w:p>
    <w:p>
      <w:pPr>
        <w:pStyle w:val="MdListItem"/>
        <w:numPr>
          <w:ilvl w:val="0"/>
          <w:numId w:val="2"/>
        </w:numPr>
      </w:pPr>
      <w:r>
        <w:t xml:space="preserve">Start on the dashboard and show portfolio value, risk, diversification, discipline, and current insights.</w:t>
      </w:r>
    </w:p>
    <w:p>
      <w:pPr>
        <w:pStyle w:val="MdListItem"/>
        <w:numPr>
          <w:ilvl w:val="0"/>
          <w:numId w:val="2"/>
        </w:numPr>
      </w:pPr>
      <w:r>
        <w:t xml:space="preserve">Open a stock and demonstrate history, indicators, liquidity, and explainable stock risk.</w:t>
      </w:r>
    </w:p>
    <w:p>
      <w:pPr>
        <w:pStyle w:val="MdListItem"/>
        <w:numPr>
          <w:ilvl w:val="0"/>
          <w:numId w:val="2"/>
        </w:numPr>
      </w:pPr>
      <w:r>
        <w:t xml:space="preserve">Place a paper trade and show the atomic update across order, cash, position, P&amp;L, and journal.</w:t>
      </w:r>
    </w:p>
    <w:p>
      <w:pPr>
        <w:pStyle w:val="MdListItem"/>
        <w:numPr>
          <w:ilvl w:val="0"/>
          <w:numId w:val="2"/>
        </w:numPr>
      </w:pPr>
      <w:r>
        <w:t xml:space="preserve">Open portfolio risk and explain why a high-weight holding may contribute disproportionately to risk.</w:t>
      </w:r>
    </w:p>
    <w:p>
      <w:pPr>
        <w:pStyle w:val="MdListItem"/>
        <w:numPr>
          <w:ilvl w:val="0"/>
          <w:numId w:val="2"/>
        </w:numPr>
      </w:pPr>
      <w:r>
        <w:t xml:space="preserve">Show the correlation matrix and sector concentration warning.</w:t>
      </w:r>
    </w:p>
    <w:p>
      <w:pPr>
        <w:pStyle w:val="MdListItem"/>
        <w:numPr>
          <w:ilvl w:val="0"/>
          <w:numId w:val="2"/>
        </w:numPr>
      </w:pPr>
      <w:r>
        <w:t xml:space="preserve">Run an IT-sector or market-crash scenario and identify loss contributors.</w:t>
      </w:r>
    </w:p>
    <w:p>
      <w:pPr>
        <w:pStyle w:val="MdListItem"/>
        <w:numPr>
          <w:ilvl w:val="0"/>
          <w:numId w:val="2"/>
        </w:numPr>
      </w:pPr>
      <w:r>
        <w:t xml:space="preserve">Open trading analytics and show an evidence-based behavioral observation.</w:t>
      </w:r>
    </w:p>
    <w:p>
      <w:pPr>
        <w:pStyle w:val="MdListItem"/>
        <w:numPr>
          <w:ilvl w:val="0"/>
          <w:numId w:val="2"/>
        </w:numPr>
      </w:pPr>
      <w:r>
        <w:t xml:space="preserve">Ask Copilot, “Why is my portfolio risky?” and show the metrics and timestamped data used.</w:t>
      </w:r>
    </w:p>
    <w:p>
      <w:pPr>
        <w:pStyle w:val="MdListItem"/>
        <w:numPr>
          <w:ilvl w:val="0"/>
          <w:numId w:val="2"/>
        </w:numPr>
      </w:pPr>
      <w:r>
        <w:t xml:space="preserve">End by showing the architecture, tests, Docker setup, and quantitative methodology documentation.</w:t>
      </w:r>
    </w:p>
    <w:p>
      <w:pPr>
        <w:pStyle w:val="MdSpace"/>
        <w:spacing w:before="0" w:after="60"/>
      </w:pPr>
    </w:p>
    <w:p>
      <w:pPr>
        <w:pStyle w:val="MdParagraph"/>
      </w:pPr>
      <w:r>
        <w:t xml:space="preserve">The product should feel like a serious engineering project, not a toy trading dashboard.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20. Final Build Instruction</w:t>
      </w:r>
    </w:p>
    <w:p>
      <w:pPr>
        <w:pStyle w:val="MdParagraph"/>
      </w:pPr>
      <w:r>
        <w:t xml:space="preserve">Build the complete system described above. Start with the smallest coherent vertical slice, verify it, and expand phase by phase. Prefer correct, explainable implementations over placeholder buttons. Every feature must have a real data path, a loading state, an error state, a test, and documentation. If an external service is unavailable, use the deterministic demo adapter and clearly label it. Do not silently fake real-time data, market depth, AI confidence, or financial outcomes.</w:t>
      </w:r>
    </w:p>
    <w:p>
      <w:pPr>
        <w:pStyle w:val="MdSpace"/>
        <w:spacing w:before="0" w:after="60"/>
      </w:pPr>
    </w:p>
    <w:p>
      <w:pPr>
        <w:pStyle w:val="MdParagraph"/>
      </w:pPr>
      <w:r>
        <w:t xml:space="preserve">Before declaring completion, run the complete demo flow, run all quality gates, inspect the UI at desktop and tablet widths, verify database migrations from an empty database, verify the no-secrets rule, and produce a concise final build report with known limitations and next steps.</w:t>
      </w:r>
    </w:p>
    <w:p>
      <w:pPr>
        <w:pStyle w:val="MdSpace"/>
        <w:spacing w:before="0" w:after="60"/>
      </w:pPr>
    </w:p>
    <w:p>
      <w:pPr>
        <w:pStyle w:val="MdParagraph"/>
      </w:pPr>
      <w:r>
        <w:rPr>
          <w:rStyle w:val="MdStrong"/>
          <w:b/>
          <w:bCs/>
        </w:rPr>
        <w:t xml:space="preserve">Product positioning:</w:t>
      </w:r>
      <w:r>
        <w:t xml:space="preserve"> RiskLens is an AI-powered paper-trading and portfolio risk-intelligence platform that helps users practice trading while understanding the risk behind their decisions.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2026-09-09T19:59:11.133Z</dcterms:created>
  <dcterms:modified xsi:type="dcterms:W3CDTF">2026-09-09T19:59:11.133Z</dcterms:modified>
</cp:coreProperties>
</file>

<file path=docProps/custom.xml><?xml version="1.0" encoding="utf-8"?>
<Properties xmlns="http://schemas.openxmlformats.org/officeDocument/2006/custom-properties" xmlns:vt="http://schemas.openxmlformats.org/officeDocument/2006/docPropsVTypes"/>
</file>