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5D55" w14:textId="77777777" w:rsidR="00C029BD" w:rsidRPr="00C029BD" w:rsidRDefault="00C029BD" w:rsidP="00C029BD">
      <w:pPr>
        <w:rPr>
          <w:b/>
          <w:bCs/>
        </w:rPr>
      </w:pPr>
      <w:r w:rsidRPr="00C029BD">
        <w:rPr>
          <w:b/>
          <w:bCs/>
        </w:rPr>
        <w:t>Polyethylene (PE) plastic biodegradation by microbial communities — a comprehensive review</w:t>
      </w:r>
    </w:p>
    <w:p w14:paraId="4CA088DA" w14:textId="77777777" w:rsidR="00C029BD" w:rsidRPr="00C029BD" w:rsidRDefault="00C029BD" w:rsidP="00C029BD">
      <w:r w:rsidRPr="00C029BD">
        <w:rPr>
          <w:b/>
          <w:bCs/>
        </w:rPr>
        <w:t>Authors:</w:t>
      </w:r>
      <w:r w:rsidRPr="00C029BD">
        <w:t xml:space="preserve"> ChatGPT (expert researcher/science editor)</w:t>
      </w:r>
      <w:r w:rsidRPr="00C029BD">
        <w:br/>
      </w:r>
      <w:r w:rsidRPr="00C029BD">
        <w:rPr>
          <w:b/>
          <w:bCs/>
        </w:rPr>
        <w:t>Audience:</w:t>
      </w:r>
      <w:r w:rsidRPr="00C029BD">
        <w:t xml:space="preserve"> Advanced researchers and specialists in environmental microbiology, biodegradation, enzymology, and synthetic ecology.</w:t>
      </w:r>
      <w:r w:rsidRPr="00C029BD">
        <w:br/>
      </w:r>
      <w:r w:rsidRPr="00C029BD">
        <w:rPr>
          <w:b/>
          <w:bCs/>
        </w:rPr>
        <w:t>Format:</w:t>
      </w:r>
      <w:r w:rsidRPr="00C029BD">
        <w:t xml:space="preserve"> Scholarly review with critical analysis, synthesis of current knowledge, comparison of approaches, controversies, data gaps, and a forward-looking perspective (5–10 yr).</w:t>
      </w:r>
      <w:r w:rsidRPr="00C029BD">
        <w:br/>
      </w:r>
      <w:r w:rsidRPr="00C029BD">
        <w:rPr>
          <w:b/>
          <w:bCs/>
        </w:rPr>
        <w:t>Length:</w:t>
      </w:r>
      <w:r w:rsidRPr="00C029BD">
        <w:t xml:space="preserve"> ~3500 words.</w:t>
      </w:r>
    </w:p>
    <w:p w14:paraId="45AF0084" w14:textId="77777777" w:rsidR="00C029BD" w:rsidRPr="00C029BD" w:rsidRDefault="00C029BD" w:rsidP="00C029BD">
      <w:r w:rsidRPr="00C029BD">
        <w:pict w14:anchorId="29418FE8">
          <v:rect id="_x0000_i1109" style="width:0;height:1.5pt" o:hralign="center" o:hrstd="t" o:hr="t" fillcolor="#a0a0a0" stroked="f"/>
        </w:pict>
      </w:r>
    </w:p>
    <w:p w14:paraId="65B3A251" w14:textId="77777777" w:rsidR="00C029BD" w:rsidRPr="00C029BD" w:rsidRDefault="00C029BD" w:rsidP="00C029BD">
      <w:pPr>
        <w:rPr>
          <w:b/>
          <w:bCs/>
        </w:rPr>
      </w:pPr>
      <w:r w:rsidRPr="00C029BD">
        <w:rPr>
          <w:b/>
          <w:bCs/>
        </w:rPr>
        <w:t>Abstract</w:t>
      </w:r>
    </w:p>
    <w:p w14:paraId="3766D983" w14:textId="77777777" w:rsidR="00C029BD" w:rsidRPr="00C029BD" w:rsidRDefault="00C029BD" w:rsidP="00C029BD">
      <w:r w:rsidRPr="00C029BD">
        <w:t xml:space="preserve">Polyethylene (PE) is the world's most produced plastic and a dominant source of long-lived environmental pollution. Unlike more hydrolysable polymers (e.g., PET), PE's highly hydrophobic, long-chain, nonpolar C–C backbone makes biological degradation intrinsically challenging. Over the past decade researchers have reported PE-oxidizing microbes, enzyme activities (e.g., alkane monooxygenases, laccases, peroxidases), and effective strategies employing abiotic pretreatments, insect hosts, and synthetic microbial consortia. However, many reported degradation claims rely on limited mass-loss measurements, surface oxidation rather than true mineralization, or poorly controlled assays. Here we synthesize current mechanistic hypotheses, catalogue key microbial taxa and enzymes implicated in PE alteration and depolymerization, compare single-strain versus community-based approaches, evaluate pretreatments and analytical standards, highlight major controversies and methodological pitfalls, and outline priority experiments and technological routes to scale biodegradation or upcycling. We conclude with a concrete 5–10 year outlook emphasizing integrated abiotic–biotic workflows, enzyme discovery and engineering, and deployment strategies compatible with circular-economy goals. </w:t>
      </w:r>
      <w:hyperlink r:id="rId5" w:tgtFrame="_blank" w:history="1">
        <w:r w:rsidRPr="00C029BD">
          <w:rPr>
            <w:rStyle w:val="Hyperlink"/>
          </w:rPr>
          <w:t>MDPI+1</w:t>
        </w:r>
      </w:hyperlink>
    </w:p>
    <w:p w14:paraId="7FB3597E" w14:textId="77777777" w:rsidR="00C029BD" w:rsidRPr="00C029BD" w:rsidRDefault="00C029BD" w:rsidP="00C029BD">
      <w:r w:rsidRPr="00C029BD">
        <w:pict w14:anchorId="533A7878">
          <v:rect id="_x0000_i1110" style="width:0;height:1.5pt" o:hralign="center" o:hrstd="t" o:hr="t" fillcolor="#a0a0a0" stroked="f"/>
        </w:pict>
      </w:r>
    </w:p>
    <w:p w14:paraId="1E7D2DFD" w14:textId="77777777" w:rsidR="00C029BD" w:rsidRPr="00C029BD" w:rsidRDefault="00C029BD" w:rsidP="00C029BD">
      <w:pPr>
        <w:rPr>
          <w:b/>
          <w:bCs/>
        </w:rPr>
      </w:pPr>
      <w:r w:rsidRPr="00C029BD">
        <w:rPr>
          <w:b/>
          <w:bCs/>
        </w:rPr>
        <w:t>1. Introduction</w:t>
      </w:r>
    </w:p>
    <w:p w14:paraId="4359F616" w14:textId="77777777" w:rsidR="00C029BD" w:rsidRPr="00C029BD" w:rsidRDefault="00C029BD" w:rsidP="00C029BD">
      <w:r w:rsidRPr="00C029BD">
        <w:t xml:space="preserve">Polyethylene (PE) — including low-density (LDPE), linear low-density (LLDPE) and high-density (HDPE) variants — accounts for a large fraction of global plastic production and waste. Its chemically inert C–C backbone, physical crystallinity, and hydrophobic surface strongly limit water and enzyme accessibility, which together slow microbial assimilation and mineralization. Historically PE was considered non-biodegradable on environmental timescales; more recent work documents microbial consortia and insect–microbe systems </w:t>
      </w:r>
      <w:r w:rsidRPr="00C029BD">
        <w:lastRenderedPageBreak/>
        <w:t>that can oxidize and partially depolymerize PE, often after or concurrent with abiotic oxidation (UV, thermal, chemical). That new evidence motivates deeper mechanistic study and translation into scalable processes.</w:t>
      </w:r>
      <w:hyperlink r:id="rId6" w:tgtFrame="_blank" w:history="1">
        <w:r w:rsidRPr="00C029BD">
          <w:rPr>
            <w:rStyle w:val="Hyperlink"/>
          </w:rPr>
          <w:t>ScienceDirect+1</w:t>
        </w:r>
      </w:hyperlink>
    </w:p>
    <w:p w14:paraId="6D428627" w14:textId="77777777" w:rsidR="00C029BD" w:rsidRPr="00C029BD" w:rsidRDefault="00C029BD" w:rsidP="00C029BD">
      <w:r w:rsidRPr="00C029BD">
        <w:t>This review focuses on microbial community (consortial) approaches to PE biodegradation: why communities can outperform isolates, which taxa and enzymes are repeatedly implicated, how abiotic pretreatments and insect hosts influence outcomes, analytical best practices, and prospects for engineering consortia or enzymes for industrially relevant upcycling.</w:t>
      </w:r>
    </w:p>
    <w:p w14:paraId="2C21700B" w14:textId="77777777" w:rsidR="00C029BD" w:rsidRPr="00C029BD" w:rsidRDefault="00C029BD" w:rsidP="00C029BD">
      <w:r w:rsidRPr="00C029BD">
        <w:pict w14:anchorId="052C6E7C">
          <v:rect id="_x0000_i1111" style="width:0;height:1.5pt" o:hralign="center" o:hrstd="t" o:hr="t" fillcolor="#a0a0a0" stroked="f"/>
        </w:pict>
      </w:r>
    </w:p>
    <w:p w14:paraId="19D422CD" w14:textId="77777777" w:rsidR="00C029BD" w:rsidRPr="00C029BD" w:rsidRDefault="00C029BD" w:rsidP="00C029BD">
      <w:pPr>
        <w:rPr>
          <w:b/>
          <w:bCs/>
        </w:rPr>
      </w:pPr>
      <w:r w:rsidRPr="00C029BD">
        <w:rPr>
          <w:b/>
          <w:bCs/>
        </w:rPr>
        <w:t>2. Mechanistic overview — from surface oxidation to carbon assimilation</w:t>
      </w:r>
    </w:p>
    <w:p w14:paraId="7A47CCEA" w14:textId="77777777" w:rsidR="00C029BD" w:rsidRPr="00C029BD" w:rsidRDefault="00C029BD" w:rsidP="00C029BD">
      <w:pPr>
        <w:rPr>
          <w:b/>
          <w:bCs/>
        </w:rPr>
      </w:pPr>
      <w:r w:rsidRPr="00C029BD">
        <w:rPr>
          <w:b/>
          <w:bCs/>
        </w:rPr>
        <w:t>2.1 Two-stage conceptual model</w:t>
      </w:r>
    </w:p>
    <w:p w14:paraId="2F8D20EC" w14:textId="77777777" w:rsidR="00C029BD" w:rsidRPr="00C029BD" w:rsidRDefault="00C029BD" w:rsidP="00C029BD">
      <w:r w:rsidRPr="00C029BD">
        <w:t>A pragmatic conceptual model divides PE biodegradation into two broad phases:</w:t>
      </w:r>
    </w:p>
    <w:p w14:paraId="5434D793" w14:textId="77777777" w:rsidR="00C029BD" w:rsidRPr="00C029BD" w:rsidRDefault="00C029BD" w:rsidP="00C029BD">
      <w:pPr>
        <w:numPr>
          <w:ilvl w:val="0"/>
          <w:numId w:val="1"/>
        </w:numPr>
      </w:pPr>
      <w:r w:rsidRPr="00C029BD">
        <w:rPr>
          <w:b/>
          <w:bCs/>
        </w:rPr>
        <w:t>Abiotic oxidation / surface activation.</w:t>
      </w:r>
      <w:r w:rsidRPr="00C029BD">
        <w:t xml:space="preserve"> UV irradiation, thermal oxidation, or chemical oxidation (e.g., Fenton-like chemistry) introduces oxygen-containing functionalities (carbonyls, alcohols, carboxyls) into the polymer chain, producing chain scission, lowering molecular weight (Mw), and increasing surface hydrophilicity — changes that enhance microbial colonization and enzymatic attack. </w:t>
      </w:r>
      <w:hyperlink r:id="rId7" w:tgtFrame="_blank" w:history="1">
        <w:r w:rsidRPr="00C029BD">
          <w:rPr>
            <w:rStyle w:val="Hyperlink"/>
          </w:rPr>
          <w:t>ScienceDirect+1</w:t>
        </w:r>
      </w:hyperlink>
    </w:p>
    <w:p w14:paraId="0A3EF414" w14:textId="77777777" w:rsidR="00C029BD" w:rsidRPr="00C029BD" w:rsidRDefault="00C029BD" w:rsidP="00C029BD">
      <w:pPr>
        <w:numPr>
          <w:ilvl w:val="0"/>
          <w:numId w:val="1"/>
        </w:numPr>
      </w:pPr>
      <w:r w:rsidRPr="00C029BD">
        <w:rPr>
          <w:b/>
          <w:bCs/>
        </w:rPr>
        <w:t>Biotic oxidation / depolymerization and assimilation.</w:t>
      </w:r>
      <w:r w:rsidRPr="00C029BD">
        <w:t xml:space="preserve"> Microorganisms (often in consortia) express oxidative enzymes (alkane monooxygenases, cytochrome P450s, laccases, peroxidases, other oxidative catalysts) that further oxidize chain-ends and mid-chain C–H bonds to produce oligomers and short n-alkanes/alkanols/organic acids. Subsequent pathways (β-oxidation, central metabolism) can assimilate these fragments to biomass or CO₂. Evidence supports alkane hydroxylases (alkB family) as important actors in initial attack on oxidized PE fragments. </w:t>
      </w:r>
      <w:hyperlink r:id="rId8" w:tgtFrame="_blank" w:history="1">
        <w:r w:rsidRPr="00C029BD">
          <w:rPr>
            <w:rStyle w:val="Hyperlink"/>
          </w:rPr>
          <w:t>PMC+1</w:t>
        </w:r>
      </w:hyperlink>
    </w:p>
    <w:p w14:paraId="2C26564B" w14:textId="77777777" w:rsidR="00C029BD" w:rsidRPr="00C029BD" w:rsidRDefault="00C029BD" w:rsidP="00C029BD">
      <w:r w:rsidRPr="00C029BD">
        <w:t xml:space="preserve">This staged view explains why purely biological treatments of pristine, unweathered PE often give minimal mass loss — the polymer's surface is simply unavailable to enzymes — and why integrated abiotic–biotic processes show the clearest promise. </w:t>
      </w:r>
      <w:hyperlink r:id="rId9" w:tgtFrame="_blank" w:history="1">
        <w:r w:rsidRPr="00C029BD">
          <w:rPr>
            <w:rStyle w:val="Hyperlink"/>
          </w:rPr>
          <w:t>ScienceDirect</w:t>
        </w:r>
      </w:hyperlink>
    </w:p>
    <w:p w14:paraId="55C94978" w14:textId="77777777" w:rsidR="00C029BD" w:rsidRPr="00C029BD" w:rsidRDefault="00C029BD" w:rsidP="00C029BD">
      <w:pPr>
        <w:rPr>
          <w:b/>
          <w:bCs/>
        </w:rPr>
      </w:pPr>
      <w:r w:rsidRPr="00C029BD">
        <w:rPr>
          <w:b/>
          <w:bCs/>
        </w:rPr>
        <w:t>2.2 Enzyme classes implicated</w:t>
      </w:r>
    </w:p>
    <w:p w14:paraId="261472B6" w14:textId="77777777" w:rsidR="00C029BD" w:rsidRPr="00C029BD" w:rsidRDefault="00C029BD" w:rsidP="00C029BD">
      <w:pPr>
        <w:numPr>
          <w:ilvl w:val="0"/>
          <w:numId w:val="2"/>
        </w:numPr>
      </w:pPr>
      <w:r w:rsidRPr="00C029BD">
        <w:rPr>
          <w:b/>
          <w:bCs/>
        </w:rPr>
        <w:t>Alkane monooxygenases (AlkB, CYPs):</w:t>
      </w:r>
      <w:r w:rsidRPr="00C029BD">
        <w:t xml:space="preserve"> Oxidize terminal or subterminal C–H bonds of n-alkanes; implicated repeatedly by marker genes and activity measurements in consortia enriched on PE or model alkanes, especially when polymer chains have been partially oxidized or are of lower molecular weight. </w:t>
      </w:r>
      <w:hyperlink r:id="rId10" w:tgtFrame="_blank" w:history="1">
        <w:r w:rsidRPr="00C029BD">
          <w:rPr>
            <w:rStyle w:val="Hyperlink"/>
          </w:rPr>
          <w:t>PMC+1</w:t>
        </w:r>
      </w:hyperlink>
    </w:p>
    <w:p w14:paraId="79817C17" w14:textId="77777777" w:rsidR="00C029BD" w:rsidRPr="00C029BD" w:rsidRDefault="00C029BD" w:rsidP="00C029BD">
      <w:pPr>
        <w:numPr>
          <w:ilvl w:val="0"/>
          <w:numId w:val="2"/>
        </w:numPr>
      </w:pPr>
      <w:r w:rsidRPr="00C029BD">
        <w:rPr>
          <w:b/>
          <w:bCs/>
        </w:rPr>
        <w:lastRenderedPageBreak/>
        <w:t>Laccases and peroxidases (ligninolytic enzymes):</w:t>
      </w:r>
      <w:r w:rsidRPr="00C029BD">
        <w:t xml:space="preserve"> Secreted fungal (and some bacterial) oxidases can catalyze one-electron oxidations leading to PE surface oxidation; often operate with mediators to extend range. Several studies have demonstrated laccase or manganese peroxidase activity associated with PE oxidation under laboratory conditions. </w:t>
      </w:r>
      <w:hyperlink r:id="rId11" w:tgtFrame="_blank" w:history="1">
        <w:r w:rsidRPr="00C029BD">
          <w:rPr>
            <w:rStyle w:val="Hyperlink"/>
          </w:rPr>
          <w:t>PMC+1</w:t>
        </w:r>
      </w:hyperlink>
    </w:p>
    <w:p w14:paraId="77828599" w14:textId="77777777" w:rsidR="00C029BD" w:rsidRPr="00C029BD" w:rsidRDefault="00C029BD" w:rsidP="00C029BD">
      <w:pPr>
        <w:numPr>
          <w:ilvl w:val="0"/>
          <w:numId w:val="2"/>
        </w:numPr>
      </w:pPr>
      <w:r w:rsidRPr="00C029BD">
        <w:rPr>
          <w:b/>
          <w:bCs/>
        </w:rPr>
        <w:t>Cutinases / esterases:</w:t>
      </w:r>
      <w:r w:rsidRPr="00C029BD">
        <w:t xml:space="preserve"> Less relevant for the non-ester C–C backbone of PE but important for co-polymers and additive-rich plastics where ester bonds exist. Mentioned here because environmental plastics often contain additives susceptible to enzymatic attack, which can influence downstream microbial processes. </w:t>
      </w:r>
      <w:hyperlink r:id="rId12" w:tgtFrame="_blank" w:history="1">
        <w:r w:rsidRPr="00C029BD">
          <w:rPr>
            <w:rStyle w:val="Hyperlink"/>
          </w:rPr>
          <w:t>MDPI</w:t>
        </w:r>
      </w:hyperlink>
    </w:p>
    <w:p w14:paraId="654C398A" w14:textId="77777777" w:rsidR="00C029BD" w:rsidRPr="00C029BD" w:rsidRDefault="00C029BD" w:rsidP="00C029BD">
      <w:pPr>
        <w:numPr>
          <w:ilvl w:val="0"/>
          <w:numId w:val="2"/>
        </w:numPr>
      </w:pPr>
      <w:r w:rsidRPr="00C029BD">
        <w:rPr>
          <w:b/>
          <w:bCs/>
        </w:rPr>
        <w:t>Auxiliary oxidoreductases and Fenton-type chemistry:</w:t>
      </w:r>
      <w:r w:rsidRPr="00C029BD">
        <w:t xml:space="preserve"> Microbial communities can generate extracellular redox-active metabolites or metal-mediated Fenton-like reactions that promote oxidative chain scission in situ. </w:t>
      </w:r>
      <w:hyperlink r:id="rId13" w:tgtFrame="_blank" w:history="1">
        <w:r w:rsidRPr="00C029BD">
          <w:rPr>
            <w:rStyle w:val="Hyperlink"/>
          </w:rPr>
          <w:t>ScienceDirect</w:t>
        </w:r>
      </w:hyperlink>
    </w:p>
    <w:p w14:paraId="38483FD2" w14:textId="77777777" w:rsidR="00C029BD" w:rsidRPr="00C029BD" w:rsidRDefault="00C029BD" w:rsidP="00C029BD">
      <w:r w:rsidRPr="00C029BD">
        <w:pict w14:anchorId="14974B30">
          <v:rect id="_x0000_i1112" style="width:0;height:1.5pt" o:hralign="center" o:hrstd="t" o:hr="t" fillcolor="#a0a0a0" stroked="f"/>
        </w:pict>
      </w:r>
    </w:p>
    <w:p w14:paraId="46C52937" w14:textId="77777777" w:rsidR="00C029BD" w:rsidRPr="00C029BD" w:rsidRDefault="00C029BD" w:rsidP="00C029BD">
      <w:pPr>
        <w:rPr>
          <w:b/>
          <w:bCs/>
        </w:rPr>
      </w:pPr>
      <w:r w:rsidRPr="00C029BD">
        <w:rPr>
          <w:b/>
          <w:bCs/>
        </w:rPr>
        <w:t>3. Microbial taxa and consortia — who is involved?</w:t>
      </w:r>
    </w:p>
    <w:p w14:paraId="14CAF93A" w14:textId="77777777" w:rsidR="00C029BD" w:rsidRPr="00C029BD" w:rsidRDefault="00C029BD" w:rsidP="00C029BD">
      <w:pPr>
        <w:rPr>
          <w:b/>
          <w:bCs/>
        </w:rPr>
      </w:pPr>
      <w:r w:rsidRPr="00C029BD">
        <w:rPr>
          <w:b/>
          <w:bCs/>
        </w:rPr>
        <w:t>3.1 Recurring bacterial players</w:t>
      </w:r>
    </w:p>
    <w:p w14:paraId="49C7DC2B" w14:textId="77777777" w:rsidR="00C029BD" w:rsidRPr="00C029BD" w:rsidRDefault="00C029BD" w:rsidP="00C029BD">
      <w:r w:rsidRPr="00C029BD">
        <w:t xml:space="preserve">Numerous genera appear across enrichment studies and environmental surveys: </w:t>
      </w:r>
      <w:r w:rsidRPr="00C029BD">
        <w:rPr>
          <w:i/>
          <w:iCs/>
        </w:rPr>
        <w:t>Pseudomonas</w:t>
      </w:r>
      <w:r w:rsidRPr="00C029BD">
        <w:t xml:space="preserve">, </w:t>
      </w:r>
      <w:r w:rsidRPr="00C029BD">
        <w:rPr>
          <w:i/>
          <w:iCs/>
        </w:rPr>
        <w:t>Bacillus</w:t>
      </w:r>
      <w:r w:rsidRPr="00C029BD">
        <w:t xml:space="preserve">, </w:t>
      </w:r>
      <w:r w:rsidRPr="00C029BD">
        <w:rPr>
          <w:i/>
          <w:iCs/>
        </w:rPr>
        <w:t>Rhodococcus</w:t>
      </w:r>
      <w:r w:rsidRPr="00C029BD">
        <w:t xml:space="preserve">, </w:t>
      </w:r>
      <w:r w:rsidRPr="00C029BD">
        <w:rPr>
          <w:i/>
          <w:iCs/>
        </w:rPr>
        <w:t>Gordonia</w:t>
      </w:r>
      <w:r w:rsidRPr="00C029BD">
        <w:t xml:space="preserve">, </w:t>
      </w:r>
      <w:r w:rsidRPr="00C029BD">
        <w:rPr>
          <w:i/>
          <w:iCs/>
        </w:rPr>
        <w:t>Mycobacterium</w:t>
      </w:r>
      <w:r w:rsidRPr="00C029BD">
        <w:t xml:space="preserve">, </w:t>
      </w:r>
      <w:r w:rsidRPr="00C029BD">
        <w:rPr>
          <w:i/>
          <w:iCs/>
        </w:rPr>
        <w:t>Alcanivorax</w:t>
      </w:r>
      <w:r w:rsidRPr="00C029BD">
        <w:t xml:space="preserve">-like alkane degraders, and diverse Actinobacteria. Many are generalist hydrocarbon degraders possessing alkane-hydroxylase genes (alkB) and accessory pathways. However, the presence of taxa alone is not proof of PE mineralization — function must be demonstrated through gene expression, enzyme assays, metabolite tracing, and ideally ^13C-label tracking. </w:t>
      </w:r>
      <w:hyperlink r:id="rId14" w:tgtFrame="_blank" w:history="1">
        <w:r w:rsidRPr="00C029BD">
          <w:rPr>
            <w:rStyle w:val="Hyperlink"/>
          </w:rPr>
          <w:t>PMC+1</w:t>
        </w:r>
      </w:hyperlink>
    </w:p>
    <w:p w14:paraId="13563D02" w14:textId="77777777" w:rsidR="00C029BD" w:rsidRPr="00C029BD" w:rsidRDefault="00C029BD" w:rsidP="00C029BD">
      <w:pPr>
        <w:rPr>
          <w:b/>
          <w:bCs/>
        </w:rPr>
      </w:pPr>
      <w:r w:rsidRPr="00C029BD">
        <w:rPr>
          <w:b/>
          <w:bCs/>
        </w:rPr>
        <w:t>3.2 Fungal contributions</w:t>
      </w:r>
    </w:p>
    <w:p w14:paraId="6E6F31F7" w14:textId="77777777" w:rsidR="00C029BD" w:rsidRPr="00C029BD" w:rsidRDefault="00C029BD" w:rsidP="00C029BD">
      <w:r w:rsidRPr="00C029BD">
        <w:t xml:space="preserve">Ligninolytic fungi (white-rot and other saprotrophs) produce extracellular oxidative enzymes (laccases, LiP, MnP) capable of oxidatively modifying polymer surfaces. Several lab-scale studies report surface oxidation and reduction in mechanical strength following fungal incubation. Fungi may act synergistically with bacteria: fungi oxidize and create lower-Mw fragments that bacteria then assimilate. </w:t>
      </w:r>
      <w:hyperlink r:id="rId15" w:tgtFrame="_blank" w:history="1">
        <w:r w:rsidRPr="00C029BD">
          <w:rPr>
            <w:rStyle w:val="Hyperlink"/>
          </w:rPr>
          <w:t>PMC+1</w:t>
        </w:r>
      </w:hyperlink>
    </w:p>
    <w:p w14:paraId="3ADCD26F" w14:textId="77777777" w:rsidR="00C029BD" w:rsidRPr="00C029BD" w:rsidRDefault="00C029BD" w:rsidP="00C029BD">
      <w:pPr>
        <w:rPr>
          <w:b/>
          <w:bCs/>
        </w:rPr>
      </w:pPr>
      <w:r w:rsidRPr="00C029BD">
        <w:rPr>
          <w:b/>
          <w:bCs/>
        </w:rPr>
        <w:t>3.3 Insect–microbe systems</w:t>
      </w:r>
    </w:p>
    <w:p w14:paraId="4481AFFC" w14:textId="77777777" w:rsidR="00C029BD" w:rsidRPr="00C029BD" w:rsidRDefault="00C029BD" w:rsidP="00C029BD">
      <w:r w:rsidRPr="00C029BD">
        <w:t xml:space="preserve">Larvae of </w:t>
      </w:r>
      <w:r w:rsidRPr="00C029BD">
        <w:rPr>
          <w:i/>
          <w:iCs/>
        </w:rPr>
        <w:t>Galleria mellonella</w:t>
      </w:r>
      <w:r w:rsidRPr="00C029BD">
        <w:t xml:space="preserve"> (wax moth) and other insect larvae have been reported to chew and consume PE, with gut microbiota implicated in further biochemical transformations. While intriguing as an ecological route and a source of enzymes, mechanistic details and reproducibility are under active debate. Some studies report rapid </w:t>
      </w:r>
      <w:r w:rsidRPr="00C029BD">
        <w:lastRenderedPageBreak/>
        <w:t xml:space="preserve">mass loss and CO₂ release; others find that physical abrasion and gut transit dominate with limited true biochemical mineralization. Rigorous isotopic tracing is often missing. </w:t>
      </w:r>
      <w:hyperlink r:id="rId16" w:tgtFrame="_blank" w:history="1">
        <w:r w:rsidRPr="00C029BD">
          <w:rPr>
            <w:rStyle w:val="Hyperlink"/>
          </w:rPr>
          <w:t>ScienceDirect+1</w:t>
        </w:r>
      </w:hyperlink>
    </w:p>
    <w:p w14:paraId="3E493136" w14:textId="77777777" w:rsidR="00C029BD" w:rsidRPr="00C029BD" w:rsidRDefault="00C029BD" w:rsidP="00C029BD">
      <w:pPr>
        <w:rPr>
          <w:b/>
          <w:bCs/>
        </w:rPr>
      </w:pPr>
      <w:r w:rsidRPr="00C029BD">
        <w:rPr>
          <w:b/>
          <w:bCs/>
        </w:rPr>
        <w:t>3.4 Synthetic consortia and division-of-labor approaches</w:t>
      </w:r>
    </w:p>
    <w:p w14:paraId="18F1B638" w14:textId="77777777" w:rsidR="00C029BD" w:rsidRPr="00C029BD" w:rsidRDefault="00C029BD" w:rsidP="00C029BD">
      <w:r w:rsidRPr="00C029BD">
        <w:t xml:space="preserve">Constructed consortia that intentionally combine fungal oxidizers and bacterial assimilators, or bacteria with complementary metabolic capabilities, show greater performance than isolates in many studies. Strategies include (i) pairing oxygenase-rich strains for oxidation with β-oxidation specialists for assimilation; (ii) engineering division-of-labor consortia that convert depolymerization products into value-added chemicals; and (iii) adapting microbes via directed evolution or adaptive laboratory evolution on oxidized PE substrates. Notable recent work demonstrates proof-of-principle for engineered consortia for plastic hydrolysate upcycling (mainly PET work but conceptually extendable to PE). </w:t>
      </w:r>
      <w:hyperlink r:id="rId17" w:tgtFrame="_blank" w:history="1">
        <w:r w:rsidRPr="00C029BD">
          <w:rPr>
            <w:rStyle w:val="Hyperlink"/>
          </w:rPr>
          <w:t>Nature+1</w:t>
        </w:r>
      </w:hyperlink>
    </w:p>
    <w:p w14:paraId="0BE82E68" w14:textId="77777777" w:rsidR="00C029BD" w:rsidRPr="00C029BD" w:rsidRDefault="00C029BD" w:rsidP="00C029BD">
      <w:r w:rsidRPr="00C029BD">
        <w:pict w14:anchorId="0B2C3680">
          <v:rect id="_x0000_i1113" style="width:0;height:1.5pt" o:hralign="center" o:hrstd="t" o:hr="t" fillcolor="#a0a0a0" stroked="f"/>
        </w:pict>
      </w:r>
    </w:p>
    <w:p w14:paraId="6548F7C3" w14:textId="77777777" w:rsidR="00C029BD" w:rsidRPr="00C029BD" w:rsidRDefault="00C029BD" w:rsidP="00C029BD">
      <w:pPr>
        <w:rPr>
          <w:b/>
          <w:bCs/>
        </w:rPr>
      </w:pPr>
      <w:r w:rsidRPr="00C029BD">
        <w:rPr>
          <w:b/>
          <w:bCs/>
        </w:rPr>
        <w:t>4. Pretreatment, operational parameters, and analytic standards</w:t>
      </w:r>
    </w:p>
    <w:p w14:paraId="3B55E595" w14:textId="77777777" w:rsidR="00C029BD" w:rsidRPr="00C029BD" w:rsidRDefault="00C029BD" w:rsidP="00C029BD">
      <w:pPr>
        <w:rPr>
          <w:b/>
          <w:bCs/>
        </w:rPr>
      </w:pPr>
      <w:r w:rsidRPr="00C029BD">
        <w:rPr>
          <w:b/>
          <w:bCs/>
        </w:rPr>
        <w:t>4.1 Abiotic pretreatments: necessity and trade-offs</w:t>
      </w:r>
    </w:p>
    <w:p w14:paraId="695554A0" w14:textId="77777777" w:rsidR="00C029BD" w:rsidRPr="00C029BD" w:rsidRDefault="00C029BD" w:rsidP="00C029BD">
      <w:r w:rsidRPr="00C029BD">
        <w:t xml:space="preserve">Abiotic pretreatment (UV-weathering, thermal oxidation, chemical oxidation, plasma, or mechanical milling) reproducibly increases PE susceptibility to microbial colonization and subsequent oxidative attack by introducing polar functionalities and lowering Mw. However, pretreatment requires energy or chemicals and can generate micro- and nanoparticles with unknown ecotoxicities; it also complicates life-cycle and technoeconomic assessments. The challenge is to design low-energy pretreatments that are compatible with microbial steps and do not produce toxic byproducts. </w:t>
      </w:r>
      <w:hyperlink r:id="rId18" w:tgtFrame="_blank" w:history="1">
        <w:r w:rsidRPr="00C029BD">
          <w:rPr>
            <w:rStyle w:val="Hyperlink"/>
          </w:rPr>
          <w:t>ScienceDirect+1</w:t>
        </w:r>
      </w:hyperlink>
    </w:p>
    <w:p w14:paraId="099C739E" w14:textId="77777777" w:rsidR="00C029BD" w:rsidRPr="00C029BD" w:rsidRDefault="00C029BD" w:rsidP="00C029BD">
      <w:pPr>
        <w:rPr>
          <w:b/>
          <w:bCs/>
        </w:rPr>
      </w:pPr>
      <w:r w:rsidRPr="00C029BD">
        <w:rPr>
          <w:b/>
          <w:bCs/>
        </w:rPr>
        <w:t>4.2 Environmental parameters for consortia</w:t>
      </w:r>
    </w:p>
    <w:p w14:paraId="520C20AE" w14:textId="77777777" w:rsidR="00C029BD" w:rsidRPr="00C029BD" w:rsidRDefault="00C029BD" w:rsidP="00C029BD">
      <w:r w:rsidRPr="00C029BD">
        <w:t xml:space="preserve">Key variables include temperature, oxygen supply (many oxidative enzymes require oxygen), nutrient balance (nitrogen/phosphorus), and surfactants to increase wetting. Soil and compost environments naturally provide mixed communities and oxidative niches but are heterogeneous. Bioreactor design for scaled biodegradation must accommodate low-substrate (solid) mass transfer limits; biofilm-based approaches and mechanical agitation are active areas of engineering. </w:t>
      </w:r>
      <w:hyperlink r:id="rId19" w:tgtFrame="_blank" w:history="1">
        <w:r w:rsidRPr="00C029BD">
          <w:rPr>
            <w:rStyle w:val="Hyperlink"/>
          </w:rPr>
          <w:t>PMC</w:t>
        </w:r>
      </w:hyperlink>
    </w:p>
    <w:p w14:paraId="364E9A77" w14:textId="77777777" w:rsidR="00C029BD" w:rsidRPr="00C029BD" w:rsidRDefault="00C029BD" w:rsidP="00C029BD">
      <w:pPr>
        <w:rPr>
          <w:b/>
          <w:bCs/>
        </w:rPr>
      </w:pPr>
      <w:r w:rsidRPr="00C029BD">
        <w:rPr>
          <w:b/>
          <w:bCs/>
        </w:rPr>
        <w:t>4.3 Analytical best practices — what to measure</w:t>
      </w:r>
    </w:p>
    <w:p w14:paraId="00888640" w14:textId="77777777" w:rsidR="00C029BD" w:rsidRPr="00C029BD" w:rsidRDefault="00C029BD" w:rsidP="00C029BD">
      <w:r w:rsidRPr="00C029BD">
        <w:lastRenderedPageBreak/>
        <w:t>Many past claims of “degradation” rest on weak evidence (e.g., weight loss alone, or scanning electron microscopy (SEM) images of surface pitting). Robust validation requires multiple orthogonal measures:</w:t>
      </w:r>
    </w:p>
    <w:p w14:paraId="1092EF83" w14:textId="77777777" w:rsidR="00C029BD" w:rsidRPr="00C029BD" w:rsidRDefault="00C029BD" w:rsidP="00C029BD">
      <w:pPr>
        <w:numPr>
          <w:ilvl w:val="0"/>
          <w:numId w:val="3"/>
        </w:numPr>
      </w:pPr>
      <w:r w:rsidRPr="00C029BD">
        <w:rPr>
          <w:b/>
          <w:bCs/>
        </w:rPr>
        <w:t>Chemical evidence of oxidation/chain scission:</w:t>
      </w:r>
      <w:r w:rsidRPr="00C029BD">
        <w:t xml:space="preserve"> FTIR (carbonyl index), XPS for surface chemistry, GPC/SEC to report Mw distribution shifts, and GC–MS to detect low-Mw oxidation products. </w:t>
      </w:r>
      <w:hyperlink r:id="rId20" w:tgtFrame="_blank" w:history="1">
        <w:r w:rsidRPr="00C029BD">
          <w:rPr>
            <w:rStyle w:val="Hyperlink"/>
          </w:rPr>
          <w:t>ScienceDirect</w:t>
        </w:r>
      </w:hyperlink>
    </w:p>
    <w:p w14:paraId="6FFB3926" w14:textId="77777777" w:rsidR="00C029BD" w:rsidRPr="00C029BD" w:rsidRDefault="00C029BD" w:rsidP="00C029BD">
      <w:pPr>
        <w:numPr>
          <w:ilvl w:val="0"/>
          <w:numId w:val="3"/>
        </w:numPr>
      </w:pPr>
      <w:r w:rsidRPr="00C029BD">
        <w:rPr>
          <w:b/>
          <w:bCs/>
        </w:rPr>
        <w:t>Biological assimilation proof:</w:t>
      </w:r>
      <w:r w:rsidRPr="00C029BD">
        <w:t xml:space="preserve"> ^13C-labelled polymers or oligomers with tracing into CO₂ (respirometry) and biomass (PLFA, protein, or nucleic acid labelling).</w:t>
      </w:r>
    </w:p>
    <w:p w14:paraId="13CC53DE" w14:textId="77777777" w:rsidR="00C029BD" w:rsidRPr="00C029BD" w:rsidRDefault="00C029BD" w:rsidP="00C029BD">
      <w:pPr>
        <w:numPr>
          <w:ilvl w:val="0"/>
          <w:numId w:val="3"/>
        </w:numPr>
      </w:pPr>
      <w:r w:rsidRPr="00C029BD">
        <w:rPr>
          <w:b/>
          <w:bCs/>
        </w:rPr>
        <w:t>Enzymatic/biochemical corroboration:</w:t>
      </w:r>
      <w:r w:rsidRPr="00C029BD">
        <w:t xml:space="preserve"> Detection and kinetics of purified enzymes or cell-free secretomes on well-characterized substrates; gene expression (RT-qPCR, metatranscriptomics) and proteomics of candidate enzymes. </w:t>
      </w:r>
      <w:hyperlink r:id="rId21" w:tgtFrame="_blank" w:history="1">
        <w:r w:rsidRPr="00C029BD">
          <w:rPr>
            <w:rStyle w:val="Hyperlink"/>
          </w:rPr>
          <w:t>PMC</w:t>
        </w:r>
      </w:hyperlink>
    </w:p>
    <w:p w14:paraId="20BA1A7B" w14:textId="77777777" w:rsidR="00C029BD" w:rsidRPr="00C029BD" w:rsidRDefault="00C029BD" w:rsidP="00C029BD">
      <w:pPr>
        <w:numPr>
          <w:ilvl w:val="0"/>
          <w:numId w:val="3"/>
        </w:numPr>
      </w:pPr>
      <w:r w:rsidRPr="00C029BD">
        <w:rPr>
          <w:b/>
          <w:bCs/>
        </w:rPr>
        <w:t>Mass-balance and ecotoxicology:</w:t>
      </w:r>
      <w:r w:rsidRPr="00C029BD">
        <w:t xml:space="preserve"> Account for conversion into CO₂, microbial biomass, soluble metabolites, and micro/nanosized particles; assess toxicity of transformation products. </w:t>
      </w:r>
      <w:hyperlink r:id="rId22" w:tgtFrame="_blank" w:history="1">
        <w:r w:rsidRPr="00C029BD">
          <w:rPr>
            <w:rStyle w:val="Hyperlink"/>
          </w:rPr>
          <w:t>PMC</w:t>
        </w:r>
      </w:hyperlink>
    </w:p>
    <w:p w14:paraId="1E96A851" w14:textId="77777777" w:rsidR="00C029BD" w:rsidRPr="00C029BD" w:rsidRDefault="00C029BD" w:rsidP="00C029BD">
      <w:r w:rsidRPr="00C029BD">
        <w:t>Adoption of standardized benchmarks, protocols, and reporting (e.g., minimal data to claim “mineralization”) is urgently needed to disambiguate true biodegradation from surface modification or fragmentation.</w:t>
      </w:r>
    </w:p>
    <w:p w14:paraId="14C3F7C8" w14:textId="77777777" w:rsidR="00C029BD" w:rsidRPr="00C029BD" w:rsidRDefault="00C029BD" w:rsidP="00C029BD">
      <w:r w:rsidRPr="00C029BD">
        <w:pict w14:anchorId="3A33799C">
          <v:rect id="_x0000_i1114" style="width:0;height:1.5pt" o:hralign="center" o:hrstd="t" o:hr="t" fillcolor="#a0a0a0" stroked="f"/>
        </w:pict>
      </w:r>
    </w:p>
    <w:p w14:paraId="3D056AA7" w14:textId="77777777" w:rsidR="00C029BD" w:rsidRPr="00C029BD" w:rsidRDefault="00C029BD" w:rsidP="00C029BD">
      <w:pPr>
        <w:rPr>
          <w:b/>
          <w:bCs/>
        </w:rPr>
      </w:pPr>
      <w:r w:rsidRPr="00C029BD">
        <w:rPr>
          <w:b/>
          <w:bCs/>
        </w:rPr>
        <w:t>5. Comparative evaluation: single strains vs. consortia vs. insect systems</w:t>
      </w:r>
    </w:p>
    <w:p w14:paraId="13D96EF3" w14:textId="77777777" w:rsidR="00C029BD" w:rsidRPr="00C029BD" w:rsidRDefault="00C029BD" w:rsidP="00C029BD">
      <w:pPr>
        <w:rPr>
          <w:b/>
          <w:bCs/>
        </w:rPr>
      </w:pPr>
      <w:r w:rsidRPr="00C029BD">
        <w:rPr>
          <w:b/>
          <w:bCs/>
        </w:rPr>
        <w:t>5.1 Single-strain approaches</w:t>
      </w:r>
    </w:p>
    <w:p w14:paraId="1782116F" w14:textId="77777777" w:rsidR="00C029BD" w:rsidRPr="00C029BD" w:rsidRDefault="00C029BD" w:rsidP="00C029BD">
      <w:r w:rsidRPr="00C029BD">
        <w:t xml:space="preserve">Pros: easier mechanistic dissection, genetic tractability, direct enzyme purification and engineering. Cons: limited substrate range and often poor performance on real-world PE films without pretreatment. Enzyme discovery pipelines (metagenomics, secretome screening) and protein engineering (directed evolution) are essential complements. </w:t>
      </w:r>
      <w:hyperlink r:id="rId23" w:tgtFrame="_blank" w:history="1">
        <w:r w:rsidRPr="00C029BD">
          <w:rPr>
            <w:rStyle w:val="Hyperlink"/>
          </w:rPr>
          <w:t>MDPI</w:t>
        </w:r>
      </w:hyperlink>
    </w:p>
    <w:p w14:paraId="73E388CB" w14:textId="77777777" w:rsidR="00C029BD" w:rsidRPr="00C029BD" w:rsidRDefault="00C029BD" w:rsidP="00C029BD">
      <w:pPr>
        <w:rPr>
          <w:b/>
          <w:bCs/>
        </w:rPr>
      </w:pPr>
      <w:r w:rsidRPr="00C029BD">
        <w:rPr>
          <w:b/>
          <w:bCs/>
        </w:rPr>
        <w:t>5.2 Natural and synthetic consortia</w:t>
      </w:r>
    </w:p>
    <w:p w14:paraId="7B03B9CC" w14:textId="77777777" w:rsidR="00C029BD" w:rsidRPr="00C029BD" w:rsidRDefault="00C029BD" w:rsidP="00C029BD">
      <w:r w:rsidRPr="00C029BD">
        <w:t xml:space="preserve">Pros: division of labor, genetic and metabolic complementarity, emergent properties (e.g., mediated oxidation via secreted metabolites), and higher robustness in complex media. Cons: harder to control, potential for cross-feeding that diverts carbon to undesired products, ecological stability issues, and regulatory and scale-up challenges. Recent synthetic ecology approaches (rational assembly, modular consortia, engineered mutual dependencies) provide promising routes to balance complexity and control. </w:t>
      </w:r>
      <w:hyperlink r:id="rId24" w:tgtFrame="_blank" w:history="1">
        <w:r w:rsidRPr="00C029BD">
          <w:rPr>
            <w:rStyle w:val="Hyperlink"/>
          </w:rPr>
          <w:t>Nature+1</w:t>
        </w:r>
      </w:hyperlink>
    </w:p>
    <w:p w14:paraId="58FBB03C" w14:textId="77777777" w:rsidR="00C029BD" w:rsidRPr="00C029BD" w:rsidRDefault="00C029BD" w:rsidP="00C029BD">
      <w:pPr>
        <w:rPr>
          <w:b/>
          <w:bCs/>
        </w:rPr>
      </w:pPr>
      <w:r w:rsidRPr="00C029BD">
        <w:rPr>
          <w:b/>
          <w:bCs/>
        </w:rPr>
        <w:t>5.3 Insect–microbe systems</w:t>
      </w:r>
    </w:p>
    <w:p w14:paraId="4AA4C1A4" w14:textId="77777777" w:rsidR="00C029BD" w:rsidRPr="00C029BD" w:rsidRDefault="00C029BD" w:rsidP="00C029BD">
      <w:r w:rsidRPr="00C029BD">
        <w:lastRenderedPageBreak/>
        <w:t xml:space="preserve">Pros: mechanical fragmentation + gut-associated microenvironments that may enhance oxidation and microbial turnover; potential source of novel enzymes. Cons: scalability, biosecurity, and welfare concerns; mixed evidence for true mineralization vs. physical breakdown; and potential for generating microplastics if biochemical conversion is incomplete. Rigorous isotope-tracing studies are required before operational deployment. </w:t>
      </w:r>
      <w:hyperlink r:id="rId25" w:tgtFrame="_blank" w:history="1">
        <w:r w:rsidRPr="00C029BD">
          <w:rPr>
            <w:rStyle w:val="Hyperlink"/>
          </w:rPr>
          <w:t>ScienceDirect+1</w:t>
        </w:r>
      </w:hyperlink>
    </w:p>
    <w:p w14:paraId="2DA5943C" w14:textId="77777777" w:rsidR="00C029BD" w:rsidRPr="00C029BD" w:rsidRDefault="00C029BD" w:rsidP="00C029BD">
      <w:r w:rsidRPr="00C029BD">
        <w:pict w14:anchorId="63CD167C">
          <v:rect id="_x0000_i1115" style="width:0;height:1.5pt" o:hralign="center" o:hrstd="t" o:hr="t" fillcolor="#a0a0a0" stroked="f"/>
        </w:pict>
      </w:r>
    </w:p>
    <w:p w14:paraId="44348B9A" w14:textId="77777777" w:rsidR="00C029BD" w:rsidRPr="00C029BD" w:rsidRDefault="00C029BD" w:rsidP="00C029BD">
      <w:pPr>
        <w:rPr>
          <w:b/>
          <w:bCs/>
        </w:rPr>
      </w:pPr>
      <w:r w:rsidRPr="00C029BD">
        <w:rPr>
          <w:b/>
          <w:bCs/>
        </w:rPr>
        <w:t>6. Controversies and methodological pitfalls</w:t>
      </w:r>
    </w:p>
    <w:p w14:paraId="2EDC6990" w14:textId="77777777" w:rsidR="00C029BD" w:rsidRPr="00C029BD" w:rsidRDefault="00C029BD" w:rsidP="00C029BD">
      <w:pPr>
        <w:numPr>
          <w:ilvl w:val="0"/>
          <w:numId w:val="4"/>
        </w:numPr>
      </w:pPr>
      <w:r w:rsidRPr="00C029BD">
        <w:rPr>
          <w:b/>
          <w:bCs/>
        </w:rPr>
        <w:t>Mass loss vs. mineralization:</w:t>
      </w:r>
      <w:r w:rsidRPr="00C029BD">
        <w:t xml:space="preserve"> Many reports cite mass loss of plastic samples as evidence of biodegradation, but loss can reflect leaching of additives, fragmentation, or abiotic oxidation. Without ^13C tracing into CO₂ or biomass, claims of microbial mineralization remain weak. </w:t>
      </w:r>
      <w:hyperlink r:id="rId26" w:tgtFrame="_blank" w:history="1">
        <w:r w:rsidRPr="00C029BD">
          <w:rPr>
            <w:rStyle w:val="Hyperlink"/>
          </w:rPr>
          <w:t>PMC</w:t>
        </w:r>
      </w:hyperlink>
    </w:p>
    <w:p w14:paraId="58CA9240" w14:textId="77777777" w:rsidR="00C029BD" w:rsidRPr="00C029BD" w:rsidRDefault="00C029BD" w:rsidP="00C029BD">
      <w:pPr>
        <w:numPr>
          <w:ilvl w:val="0"/>
          <w:numId w:val="4"/>
        </w:numPr>
      </w:pPr>
      <w:r w:rsidRPr="00C029BD">
        <w:rPr>
          <w:b/>
          <w:bCs/>
        </w:rPr>
        <w:t>Reproducibility and controls:</w:t>
      </w:r>
      <w:r w:rsidRPr="00C029BD">
        <w:t xml:space="preserve"> Studies sometimes lack appropriate sterilized controls, UV-only controls, or rigorous reporting of polymer properties (Mw, crystallinity, additives). Variability in PE sources (consumer bags vs. industrial films) complicates comparisons. </w:t>
      </w:r>
      <w:hyperlink r:id="rId27" w:tgtFrame="_blank" w:history="1">
        <w:r w:rsidRPr="00C029BD">
          <w:rPr>
            <w:rStyle w:val="Hyperlink"/>
          </w:rPr>
          <w:t>MDPI</w:t>
        </w:r>
      </w:hyperlink>
    </w:p>
    <w:p w14:paraId="6E599264" w14:textId="77777777" w:rsidR="00C029BD" w:rsidRPr="00C029BD" w:rsidRDefault="00C029BD" w:rsidP="00C029BD">
      <w:pPr>
        <w:numPr>
          <w:ilvl w:val="0"/>
          <w:numId w:val="4"/>
        </w:numPr>
      </w:pPr>
      <w:r w:rsidRPr="00C029BD">
        <w:rPr>
          <w:b/>
          <w:bCs/>
        </w:rPr>
        <w:t>Enzyme attribution:</w:t>
      </w:r>
      <w:r w:rsidRPr="00C029BD">
        <w:t xml:space="preserve"> Detection of alkB or laccase genes in metagenomes is suggestive but not definitive; demonstration of expressed, active enzymes on defined substrates is required. Proteomics and activity assays are underutilized. </w:t>
      </w:r>
      <w:hyperlink r:id="rId28" w:tgtFrame="_blank" w:history="1">
        <w:r w:rsidRPr="00C029BD">
          <w:rPr>
            <w:rStyle w:val="Hyperlink"/>
          </w:rPr>
          <w:t>PMC+1</w:t>
        </w:r>
      </w:hyperlink>
    </w:p>
    <w:p w14:paraId="7D51EACE" w14:textId="77777777" w:rsidR="00C029BD" w:rsidRPr="00C029BD" w:rsidRDefault="00C029BD" w:rsidP="00C029BD">
      <w:pPr>
        <w:numPr>
          <w:ilvl w:val="0"/>
          <w:numId w:val="4"/>
        </w:numPr>
      </w:pPr>
      <w:r w:rsidRPr="00C029BD">
        <w:rPr>
          <w:b/>
          <w:bCs/>
        </w:rPr>
        <w:t>Ecotoxicological outcomes:</w:t>
      </w:r>
      <w:r w:rsidRPr="00C029BD">
        <w:t xml:space="preserve"> Pretreatment and oxidation can produce micro- and nanoplastics or oxidized oligomers whose environmental behavior and toxicity differ from parent PE and are often uncharacterized. Life-cycle analyses must incorporate these risks. </w:t>
      </w:r>
      <w:hyperlink r:id="rId29" w:tgtFrame="_blank" w:history="1">
        <w:r w:rsidRPr="00C029BD">
          <w:rPr>
            <w:rStyle w:val="Hyperlink"/>
          </w:rPr>
          <w:t>PMC</w:t>
        </w:r>
      </w:hyperlink>
    </w:p>
    <w:p w14:paraId="4AA9D101" w14:textId="77777777" w:rsidR="00C029BD" w:rsidRPr="00C029BD" w:rsidRDefault="00C029BD" w:rsidP="00C029BD">
      <w:r w:rsidRPr="00C029BD">
        <w:pict w14:anchorId="4DE47175">
          <v:rect id="_x0000_i1116" style="width:0;height:1.5pt" o:hralign="center" o:hrstd="t" o:hr="t" fillcolor="#a0a0a0" stroked="f"/>
        </w:pict>
      </w:r>
    </w:p>
    <w:p w14:paraId="6FC3EA0D" w14:textId="77777777" w:rsidR="00C029BD" w:rsidRPr="00C029BD" w:rsidRDefault="00C029BD" w:rsidP="00C029BD">
      <w:pPr>
        <w:rPr>
          <w:b/>
          <w:bCs/>
        </w:rPr>
      </w:pPr>
      <w:r w:rsidRPr="00C029BD">
        <w:rPr>
          <w:b/>
          <w:bCs/>
        </w:rPr>
        <w:t>7. Knowledge gaps and research priorities</w:t>
      </w:r>
    </w:p>
    <w:p w14:paraId="49F6FAFE" w14:textId="77777777" w:rsidR="00C029BD" w:rsidRPr="00C029BD" w:rsidRDefault="00C029BD" w:rsidP="00C029BD">
      <w:pPr>
        <w:numPr>
          <w:ilvl w:val="0"/>
          <w:numId w:val="5"/>
        </w:numPr>
      </w:pPr>
      <w:r w:rsidRPr="00C029BD">
        <w:rPr>
          <w:b/>
          <w:bCs/>
        </w:rPr>
        <w:t>Standardized metrics and protocols</w:t>
      </w:r>
      <w:r w:rsidRPr="00C029BD">
        <w:t xml:space="preserve"> — community-wide uptake of standard substrates (well-characterized PE films), controls, and reporting metrics (GPC, FTIR carbonyl indices, ^13C-labelling). </w:t>
      </w:r>
      <w:hyperlink r:id="rId30" w:tgtFrame="_blank" w:history="1">
        <w:r w:rsidRPr="00C029BD">
          <w:rPr>
            <w:rStyle w:val="Hyperlink"/>
          </w:rPr>
          <w:t>ScienceDirect</w:t>
        </w:r>
      </w:hyperlink>
    </w:p>
    <w:p w14:paraId="2307CF4C" w14:textId="77777777" w:rsidR="00C029BD" w:rsidRPr="00C029BD" w:rsidRDefault="00C029BD" w:rsidP="00C029BD">
      <w:pPr>
        <w:numPr>
          <w:ilvl w:val="0"/>
          <w:numId w:val="5"/>
        </w:numPr>
      </w:pPr>
      <w:r w:rsidRPr="00C029BD">
        <w:rPr>
          <w:b/>
          <w:bCs/>
        </w:rPr>
        <w:t>Mechanistic enzymology</w:t>
      </w:r>
      <w:r w:rsidRPr="00C029BD">
        <w:t xml:space="preserve"> — purification, structural characterization, and kinetic analysis of enzymes able to cleave C–C backbones or efficiently oxidize high-Mw PE fragments; exploration of multi-enzyme complexes and redox mediators. </w:t>
      </w:r>
      <w:hyperlink r:id="rId31" w:tgtFrame="_blank" w:history="1">
        <w:r w:rsidRPr="00C029BD">
          <w:rPr>
            <w:rStyle w:val="Hyperlink"/>
          </w:rPr>
          <w:t>PMC</w:t>
        </w:r>
      </w:hyperlink>
    </w:p>
    <w:p w14:paraId="7DA85519" w14:textId="77777777" w:rsidR="00C029BD" w:rsidRPr="00C029BD" w:rsidRDefault="00C029BD" w:rsidP="00C029BD">
      <w:pPr>
        <w:numPr>
          <w:ilvl w:val="0"/>
          <w:numId w:val="5"/>
        </w:numPr>
      </w:pPr>
      <w:r w:rsidRPr="00C029BD">
        <w:rPr>
          <w:b/>
          <w:bCs/>
        </w:rPr>
        <w:lastRenderedPageBreak/>
        <w:t>Metabolic pathways from oligomers to central carbon metabolism</w:t>
      </w:r>
      <w:r w:rsidRPr="00C029BD">
        <w:t xml:space="preserve"> — tracing specific oligomeric products (e.g., oxidized alkanes, fatty acids) into known β-oxidation and TCA cycles in isolates and communities. </w:t>
      </w:r>
      <w:hyperlink r:id="rId32" w:tgtFrame="_blank" w:history="1">
        <w:r w:rsidRPr="00C029BD">
          <w:rPr>
            <w:rStyle w:val="Hyperlink"/>
          </w:rPr>
          <w:t>PMC</w:t>
        </w:r>
      </w:hyperlink>
    </w:p>
    <w:p w14:paraId="3DD58CA7" w14:textId="77777777" w:rsidR="00C029BD" w:rsidRPr="00C029BD" w:rsidRDefault="00C029BD" w:rsidP="00C029BD">
      <w:pPr>
        <w:numPr>
          <w:ilvl w:val="0"/>
          <w:numId w:val="5"/>
        </w:numPr>
      </w:pPr>
      <w:r w:rsidRPr="00C029BD">
        <w:rPr>
          <w:b/>
          <w:bCs/>
        </w:rPr>
        <w:t>Community ecology and stability</w:t>
      </w:r>
      <w:r w:rsidRPr="00C029BD">
        <w:t xml:space="preserve"> — principles for assembly, robustness, and scalability of engineered consortia for continuous reactors. Study of competitive interactions that divert carbon away from desired pathways (e.g., non-assimilating scavengers). </w:t>
      </w:r>
      <w:hyperlink r:id="rId33" w:tgtFrame="_blank" w:history="1">
        <w:r w:rsidRPr="00C029BD">
          <w:rPr>
            <w:rStyle w:val="Hyperlink"/>
          </w:rPr>
          <w:t>Nature</w:t>
        </w:r>
      </w:hyperlink>
    </w:p>
    <w:p w14:paraId="4481C426" w14:textId="77777777" w:rsidR="00C029BD" w:rsidRPr="00C029BD" w:rsidRDefault="00C029BD" w:rsidP="00C029BD">
      <w:pPr>
        <w:numPr>
          <w:ilvl w:val="0"/>
          <w:numId w:val="5"/>
        </w:numPr>
      </w:pPr>
      <w:r w:rsidRPr="00C029BD">
        <w:rPr>
          <w:b/>
          <w:bCs/>
        </w:rPr>
        <w:t>Scalable pretreatment strategies</w:t>
      </w:r>
      <w:r w:rsidRPr="00C029BD">
        <w:t xml:space="preserve"> — low-energy weathering (e.g., photocatalysis under solar irradiation, mild chemical oxidation compatible with biotic steps) and assessment of environmental safety of byproducts. </w:t>
      </w:r>
      <w:hyperlink r:id="rId34" w:tgtFrame="_blank" w:history="1">
        <w:r w:rsidRPr="00C029BD">
          <w:rPr>
            <w:rStyle w:val="Hyperlink"/>
          </w:rPr>
          <w:t>ScienceDirect</w:t>
        </w:r>
      </w:hyperlink>
    </w:p>
    <w:p w14:paraId="414ECBB5" w14:textId="77777777" w:rsidR="00C029BD" w:rsidRPr="00C029BD" w:rsidRDefault="00C029BD" w:rsidP="00C029BD">
      <w:pPr>
        <w:numPr>
          <w:ilvl w:val="0"/>
          <w:numId w:val="5"/>
        </w:numPr>
      </w:pPr>
      <w:r w:rsidRPr="00C029BD">
        <w:rPr>
          <w:b/>
          <w:bCs/>
        </w:rPr>
        <w:t>Upcycling pathways and technoeconomics</w:t>
      </w:r>
      <w:r w:rsidRPr="00C029BD">
        <w:t xml:space="preserve"> — integrate biodegradation with microbial conversion to value-added products (bioplastics monomers, fuels, platform chemicals), and perform full life-cycle and economic analyses. </w:t>
      </w:r>
      <w:hyperlink r:id="rId35" w:tgtFrame="_blank" w:history="1">
        <w:r w:rsidRPr="00C029BD">
          <w:rPr>
            <w:rStyle w:val="Hyperlink"/>
          </w:rPr>
          <w:t>Nature</w:t>
        </w:r>
      </w:hyperlink>
    </w:p>
    <w:p w14:paraId="06E9B9CC" w14:textId="77777777" w:rsidR="00C029BD" w:rsidRPr="00C029BD" w:rsidRDefault="00C029BD" w:rsidP="00C029BD">
      <w:r w:rsidRPr="00C029BD">
        <w:pict w14:anchorId="4FE16A3F">
          <v:rect id="_x0000_i1117" style="width:0;height:1.5pt" o:hralign="center" o:hrstd="t" o:hr="t" fillcolor="#a0a0a0" stroked="f"/>
        </w:pict>
      </w:r>
    </w:p>
    <w:p w14:paraId="4F896ED2" w14:textId="77777777" w:rsidR="00C029BD" w:rsidRPr="00C029BD" w:rsidRDefault="00C029BD" w:rsidP="00C029BD">
      <w:pPr>
        <w:rPr>
          <w:b/>
          <w:bCs/>
        </w:rPr>
      </w:pPr>
      <w:r w:rsidRPr="00C029BD">
        <w:rPr>
          <w:b/>
          <w:bCs/>
        </w:rPr>
        <w:t>8. Tables and figures</w:t>
      </w:r>
    </w:p>
    <w:p w14:paraId="666D5277" w14:textId="77777777" w:rsidR="00C029BD" w:rsidRPr="00C029BD" w:rsidRDefault="00C029BD" w:rsidP="00C029BD">
      <w:r w:rsidRPr="00C029BD">
        <w:t>Below are compact, evidence-based tables summarizing key enzyme classes, representative taxa, and common pretreatments. Each table row references representative literature; readers should consult those sources for experimental detail.</w:t>
      </w:r>
    </w:p>
    <w:p w14:paraId="0B0199D1" w14:textId="77777777" w:rsidR="00C029BD" w:rsidRPr="00C029BD" w:rsidRDefault="00C029BD" w:rsidP="00C029BD">
      <w:pPr>
        <w:rPr>
          <w:b/>
          <w:bCs/>
        </w:rPr>
      </w:pPr>
      <w:r w:rsidRPr="00C029BD">
        <w:rPr>
          <w:b/>
          <w:bCs/>
        </w:rPr>
        <w:t>Table 1 — Enzyme classes implicated in PE oxidation and depolymerization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3697"/>
        <w:gridCol w:w="3382"/>
      </w:tblGrid>
      <w:tr w:rsidR="00C029BD" w:rsidRPr="00C029BD" w14:paraId="600E08B8" w14:textId="77777777">
        <w:trPr>
          <w:tblHeader/>
          <w:tblCellSpacing w:w="15" w:type="dxa"/>
        </w:trPr>
        <w:tc>
          <w:tcPr>
            <w:tcW w:w="0" w:type="auto"/>
            <w:vAlign w:val="center"/>
            <w:hideMark/>
          </w:tcPr>
          <w:p w14:paraId="5776A0B2" w14:textId="77777777" w:rsidR="00C029BD" w:rsidRPr="00C029BD" w:rsidRDefault="00C029BD" w:rsidP="00C029BD">
            <w:pPr>
              <w:rPr>
                <w:b/>
                <w:bCs/>
              </w:rPr>
            </w:pPr>
            <w:r w:rsidRPr="00C029BD">
              <w:rPr>
                <w:b/>
                <w:bCs/>
              </w:rPr>
              <w:t>Enzyme class</w:t>
            </w:r>
          </w:p>
        </w:tc>
        <w:tc>
          <w:tcPr>
            <w:tcW w:w="0" w:type="auto"/>
            <w:vAlign w:val="center"/>
            <w:hideMark/>
          </w:tcPr>
          <w:p w14:paraId="7CFFA839" w14:textId="77777777" w:rsidR="00C029BD" w:rsidRPr="00C029BD" w:rsidRDefault="00C029BD" w:rsidP="00C029BD">
            <w:pPr>
              <w:rPr>
                <w:b/>
                <w:bCs/>
              </w:rPr>
            </w:pPr>
            <w:r w:rsidRPr="00C029BD">
              <w:rPr>
                <w:b/>
                <w:bCs/>
              </w:rPr>
              <w:t>Mechanistic role</w:t>
            </w:r>
          </w:p>
        </w:tc>
        <w:tc>
          <w:tcPr>
            <w:tcW w:w="0" w:type="auto"/>
            <w:vAlign w:val="center"/>
            <w:hideMark/>
          </w:tcPr>
          <w:p w14:paraId="76E5918F" w14:textId="77777777" w:rsidR="00C029BD" w:rsidRPr="00C029BD" w:rsidRDefault="00C029BD" w:rsidP="00C029BD">
            <w:pPr>
              <w:rPr>
                <w:b/>
                <w:bCs/>
              </w:rPr>
            </w:pPr>
            <w:r w:rsidRPr="00C029BD">
              <w:rPr>
                <w:b/>
                <w:bCs/>
              </w:rPr>
              <w:t>Evidence &amp; representative notes</w:t>
            </w:r>
          </w:p>
        </w:tc>
      </w:tr>
      <w:tr w:rsidR="00C029BD" w:rsidRPr="00C029BD" w14:paraId="7DE285F7" w14:textId="77777777">
        <w:trPr>
          <w:tblCellSpacing w:w="15" w:type="dxa"/>
        </w:trPr>
        <w:tc>
          <w:tcPr>
            <w:tcW w:w="0" w:type="auto"/>
            <w:vAlign w:val="center"/>
            <w:hideMark/>
          </w:tcPr>
          <w:p w14:paraId="157158BB" w14:textId="77777777" w:rsidR="00C029BD" w:rsidRPr="00C029BD" w:rsidRDefault="00C029BD" w:rsidP="00C029BD">
            <w:r w:rsidRPr="00C029BD">
              <w:t>Alkane monooxygenases (AlkB, CYP)</w:t>
            </w:r>
          </w:p>
        </w:tc>
        <w:tc>
          <w:tcPr>
            <w:tcW w:w="0" w:type="auto"/>
            <w:vAlign w:val="center"/>
            <w:hideMark/>
          </w:tcPr>
          <w:p w14:paraId="3865C843" w14:textId="77777777" w:rsidR="00C029BD" w:rsidRPr="00C029BD" w:rsidRDefault="00C029BD" w:rsidP="00C029BD">
            <w:r w:rsidRPr="00C029BD">
              <w:t>Terminal/subterminal hydroxylation of n-alkanes/oxidized chain-ends, enabling subsequent β-oxidation</w:t>
            </w:r>
          </w:p>
        </w:tc>
        <w:tc>
          <w:tcPr>
            <w:tcW w:w="0" w:type="auto"/>
            <w:vAlign w:val="center"/>
            <w:hideMark/>
          </w:tcPr>
          <w:p w14:paraId="33C09360" w14:textId="77777777" w:rsidR="00C029BD" w:rsidRPr="00C029BD" w:rsidRDefault="00C029BD" w:rsidP="00C029BD">
            <w:r w:rsidRPr="00C029BD">
              <w:t xml:space="preserve">Enriched gene abundance in PE consortia; activity on low-Mw oxidized fragments; marker in many studies. </w:t>
            </w:r>
            <w:hyperlink r:id="rId36" w:tgtFrame="_blank" w:history="1">
              <w:r w:rsidRPr="00C029BD">
                <w:rPr>
                  <w:rStyle w:val="Hyperlink"/>
                </w:rPr>
                <w:t>PMC+1</w:t>
              </w:r>
            </w:hyperlink>
          </w:p>
        </w:tc>
      </w:tr>
      <w:tr w:rsidR="00C029BD" w:rsidRPr="00C029BD" w14:paraId="3775E45F" w14:textId="77777777">
        <w:trPr>
          <w:tblCellSpacing w:w="15" w:type="dxa"/>
        </w:trPr>
        <w:tc>
          <w:tcPr>
            <w:tcW w:w="0" w:type="auto"/>
            <w:vAlign w:val="center"/>
            <w:hideMark/>
          </w:tcPr>
          <w:p w14:paraId="763A487E" w14:textId="77777777" w:rsidR="00C029BD" w:rsidRPr="00C029BD" w:rsidRDefault="00C029BD" w:rsidP="00C029BD">
            <w:r w:rsidRPr="00C029BD">
              <w:t>Laccases (multi-copper oxidases)</w:t>
            </w:r>
          </w:p>
        </w:tc>
        <w:tc>
          <w:tcPr>
            <w:tcW w:w="0" w:type="auto"/>
            <w:vAlign w:val="center"/>
            <w:hideMark/>
          </w:tcPr>
          <w:p w14:paraId="34FBFC0A" w14:textId="77777777" w:rsidR="00C029BD" w:rsidRPr="00C029BD" w:rsidRDefault="00C029BD" w:rsidP="00C029BD">
            <w:r w:rsidRPr="00C029BD">
              <w:t>One-electron oxidation of polymer surface; often requires mediators for non-phenolic substrates</w:t>
            </w:r>
          </w:p>
        </w:tc>
        <w:tc>
          <w:tcPr>
            <w:tcW w:w="0" w:type="auto"/>
            <w:vAlign w:val="center"/>
            <w:hideMark/>
          </w:tcPr>
          <w:p w14:paraId="4200E59F" w14:textId="77777777" w:rsidR="00C029BD" w:rsidRPr="00C029BD" w:rsidRDefault="00C029BD" w:rsidP="00C029BD">
            <w:r w:rsidRPr="00C029BD">
              <w:t xml:space="preserve">Fungal laccases associated with PE surface oxidation; mediator systems may be required. </w:t>
            </w:r>
            <w:hyperlink r:id="rId37" w:tgtFrame="_blank" w:history="1">
              <w:r w:rsidRPr="00C029BD">
                <w:rPr>
                  <w:rStyle w:val="Hyperlink"/>
                </w:rPr>
                <w:t>PMC</w:t>
              </w:r>
            </w:hyperlink>
          </w:p>
        </w:tc>
      </w:tr>
      <w:tr w:rsidR="00C029BD" w:rsidRPr="00C029BD" w14:paraId="62BFC7D6" w14:textId="77777777">
        <w:trPr>
          <w:tblCellSpacing w:w="15" w:type="dxa"/>
        </w:trPr>
        <w:tc>
          <w:tcPr>
            <w:tcW w:w="0" w:type="auto"/>
            <w:vAlign w:val="center"/>
            <w:hideMark/>
          </w:tcPr>
          <w:p w14:paraId="40C6E1A9" w14:textId="77777777" w:rsidR="00C029BD" w:rsidRPr="00C029BD" w:rsidRDefault="00C029BD" w:rsidP="00C029BD">
            <w:r w:rsidRPr="00C029BD">
              <w:t>Peroxidases (MnP, LiP)</w:t>
            </w:r>
          </w:p>
        </w:tc>
        <w:tc>
          <w:tcPr>
            <w:tcW w:w="0" w:type="auto"/>
            <w:vAlign w:val="center"/>
            <w:hideMark/>
          </w:tcPr>
          <w:p w14:paraId="28CBDF5F" w14:textId="77777777" w:rsidR="00C029BD" w:rsidRPr="00C029BD" w:rsidRDefault="00C029BD" w:rsidP="00C029BD">
            <w:r w:rsidRPr="00C029BD">
              <w:t>Oxidative cleavage; generate radicals that attack C–C bonds</w:t>
            </w:r>
          </w:p>
        </w:tc>
        <w:tc>
          <w:tcPr>
            <w:tcW w:w="0" w:type="auto"/>
            <w:vAlign w:val="center"/>
            <w:hideMark/>
          </w:tcPr>
          <w:p w14:paraId="30450439" w14:textId="77777777" w:rsidR="00C029BD" w:rsidRPr="00C029BD" w:rsidRDefault="00C029BD" w:rsidP="00C029BD">
            <w:r w:rsidRPr="00C029BD">
              <w:t xml:space="preserve">White-rot fungi studies demonstrate surface changes </w:t>
            </w:r>
            <w:r w:rsidRPr="00C029BD">
              <w:lastRenderedPageBreak/>
              <w:t xml:space="preserve">and oxidation indices. </w:t>
            </w:r>
            <w:hyperlink r:id="rId38" w:tgtFrame="_blank" w:history="1">
              <w:r w:rsidRPr="00C029BD">
                <w:rPr>
                  <w:rStyle w:val="Hyperlink"/>
                </w:rPr>
                <w:t>ScienceDirect</w:t>
              </w:r>
            </w:hyperlink>
          </w:p>
        </w:tc>
      </w:tr>
      <w:tr w:rsidR="00C029BD" w:rsidRPr="00C029BD" w14:paraId="207E9174" w14:textId="77777777">
        <w:trPr>
          <w:tblCellSpacing w:w="15" w:type="dxa"/>
        </w:trPr>
        <w:tc>
          <w:tcPr>
            <w:tcW w:w="0" w:type="auto"/>
            <w:vAlign w:val="center"/>
            <w:hideMark/>
          </w:tcPr>
          <w:p w14:paraId="7262415E" w14:textId="77777777" w:rsidR="00C029BD" w:rsidRPr="00C029BD" w:rsidRDefault="00C029BD" w:rsidP="00C029BD">
            <w:r w:rsidRPr="00C029BD">
              <w:lastRenderedPageBreak/>
              <w:t>Redox mediators / Fenton-like chemistry</w:t>
            </w:r>
          </w:p>
        </w:tc>
        <w:tc>
          <w:tcPr>
            <w:tcW w:w="0" w:type="auto"/>
            <w:vAlign w:val="center"/>
            <w:hideMark/>
          </w:tcPr>
          <w:p w14:paraId="3E72B12E" w14:textId="77777777" w:rsidR="00C029BD" w:rsidRPr="00C029BD" w:rsidRDefault="00C029BD" w:rsidP="00C029BD">
            <w:r w:rsidRPr="00C029BD">
              <w:t>Indirect oxidation via radicals; can potentiate extracellular depolymerization</w:t>
            </w:r>
          </w:p>
        </w:tc>
        <w:tc>
          <w:tcPr>
            <w:tcW w:w="0" w:type="auto"/>
            <w:vAlign w:val="center"/>
            <w:hideMark/>
          </w:tcPr>
          <w:p w14:paraId="5103F944" w14:textId="77777777" w:rsidR="00C029BD" w:rsidRPr="00C029BD" w:rsidRDefault="00C029BD" w:rsidP="00C029BD">
            <w:r w:rsidRPr="00C029BD">
              <w:t xml:space="preserve">Microbial consortia or metal-catalyzed systems shown to increase oxidation. </w:t>
            </w:r>
            <w:hyperlink r:id="rId39" w:tgtFrame="_blank" w:history="1">
              <w:r w:rsidRPr="00C029BD">
                <w:rPr>
                  <w:rStyle w:val="Hyperlink"/>
                </w:rPr>
                <w:t>ScienceDirect</w:t>
              </w:r>
            </w:hyperlink>
          </w:p>
        </w:tc>
      </w:tr>
    </w:tbl>
    <w:p w14:paraId="329ECA43" w14:textId="77777777" w:rsidR="00C029BD" w:rsidRPr="00C029BD" w:rsidRDefault="00C029BD" w:rsidP="00C029BD">
      <w:pPr>
        <w:rPr>
          <w:b/>
          <w:bCs/>
        </w:rPr>
      </w:pPr>
      <w:r w:rsidRPr="00C029BD">
        <w:rPr>
          <w:b/>
          <w:bCs/>
        </w:rPr>
        <w:t>Table 2 — Representative microbial taxa from enrichment/metagenomic studies and typical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3574"/>
        <w:gridCol w:w="3486"/>
      </w:tblGrid>
      <w:tr w:rsidR="00C029BD" w:rsidRPr="00C029BD" w14:paraId="6B149353" w14:textId="77777777">
        <w:trPr>
          <w:tblHeader/>
          <w:tblCellSpacing w:w="15" w:type="dxa"/>
        </w:trPr>
        <w:tc>
          <w:tcPr>
            <w:tcW w:w="0" w:type="auto"/>
            <w:vAlign w:val="center"/>
            <w:hideMark/>
          </w:tcPr>
          <w:p w14:paraId="10C22BE2" w14:textId="77777777" w:rsidR="00C029BD" w:rsidRPr="00C029BD" w:rsidRDefault="00C029BD" w:rsidP="00C029BD">
            <w:pPr>
              <w:rPr>
                <w:b/>
                <w:bCs/>
              </w:rPr>
            </w:pPr>
            <w:r w:rsidRPr="00C029BD">
              <w:rPr>
                <w:b/>
                <w:bCs/>
              </w:rPr>
              <w:t>Taxon (genus)</w:t>
            </w:r>
          </w:p>
        </w:tc>
        <w:tc>
          <w:tcPr>
            <w:tcW w:w="0" w:type="auto"/>
            <w:vAlign w:val="center"/>
            <w:hideMark/>
          </w:tcPr>
          <w:p w14:paraId="041A31C8" w14:textId="77777777" w:rsidR="00C029BD" w:rsidRPr="00C029BD" w:rsidRDefault="00C029BD" w:rsidP="00C029BD">
            <w:pPr>
              <w:rPr>
                <w:b/>
                <w:bCs/>
              </w:rPr>
            </w:pPr>
            <w:r w:rsidRPr="00C029BD">
              <w:rPr>
                <w:b/>
                <w:bCs/>
              </w:rPr>
              <w:t>Typical role</w:t>
            </w:r>
          </w:p>
        </w:tc>
        <w:tc>
          <w:tcPr>
            <w:tcW w:w="0" w:type="auto"/>
            <w:vAlign w:val="center"/>
            <w:hideMark/>
          </w:tcPr>
          <w:p w14:paraId="7BF46D5D" w14:textId="77777777" w:rsidR="00C029BD" w:rsidRPr="00C029BD" w:rsidRDefault="00C029BD" w:rsidP="00C029BD">
            <w:pPr>
              <w:rPr>
                <w:b/>
                <w:bCs/>
              </w:rPr>
            </w:pPr>
            <w:r w:rsidRPr="00C029BD">
              <w:rPr>
                <w:b/>
                <w:bCs/>
              </w:rPr>
              <w:t>Notes</w:t>
            </w:r>
          </w:p>
        </w:tc>
      </w:tr>
      <w:tr w:rsidR="00C029BD" w:rsidRPr="00C029BD" w14:paraId="299CC344" w14:textId="77777777">
        <w:trPr>
          <w:tblCellSpacing w:w="15" w:type="dxa"/>
        </w:trPr>
        <w:tc>
          <w:tcPr>
            <w:tcW w:w="0" w:type="auto"/>
            <w:vAlign w:val="center"/>
            <w:hideMark/>
          </w:tcPr>
          <w:p w14:paraId="0F64D1D0" w14:textId="77777777" w:rsidR="00C029BD" w:rsidRPr="00C029BD" w:rsidRDefault="00C029BD" w:rsidP="00C029BD">
            <w:r w:rsidRPr="00C029BD">
              <w:rPr>
                <w:i/>
                <w:iCs/>
              </w:rPr>
              <w:t>Pseudomonas</w:t>
            </w:r>
          </w:p>
        </w:tc>
        <w:tc>
          <w:tcPr>
            <w:tcW w:w="0" w:type="auto"/>
            <w:vAlign w:val="center"/>
            <w:hideMark/>
          </w:tcPr>
          <w:p w14:paraId="29D1D961" w14:textId="77777777" w:rsidR="00C029BD" w:rsidRPr="00C029BD" w:rsidRDefault="00C029BD" w:rsidP="00C029BD">
            <w:r w:rsidRPr="00C029BD">
              <w:t>alkane/alkene oxidation; flexible metabolism</w:t>
            </w:r>
          </w:p>
        </w:tc>
        <w:tc>
          <w:tcPr>
            <w:tcW w:w="0" w:type="auto"/>
            <w:vAlign w:val="center"/>
            <w:hideMark/>
          </w:tcPr>
          <w:p w14:paraId="728D1648" w14:textId="77777777" w:rsidR="00C029BD" w:rsidRPr="00C029BD" w:rsidRDefault="00C029BD" w:rsidP="00C029BD">
            <w:r w:rsidRPr="00C029BD">
              <w:t xml:space="preserve">Common in enrichment from landfill/soil; can assimilate short oxidation products. </w:t>
            </w:r>
            <w:hyperlink r:id="rId40" w:tgtFrame="_blank" w:history="1">
              <w:r w:rsidRPr="00C029BD">
                <w:rPr>
                  <w:rStyle w:val="Hyperlink"/>
                </w:rPr>
                <w:t>MDPI</w:t>
              </w:r>
            </w:hyperlink>
          </w:p>
        </w:tc>
      </w:tr>
      <w:tr w:rsidR="00C029BD" w:rsidRPr="00C029BD" w14:paraId="4809C0A9" w14:textId="77777777">
        <w:trPr>
          <w:tblCellSpacing w:w="15" w:type="dxa"/>
        </w:trPr>
        <w:tc>
          <w:tcPr>
            <w:tcW w:w="0" w:type="auto"/>
            <w:vAlign w:val="center"/>
            <w:hideMark/>
          </w:tcPr>
          <w:p w14:paraId="7DFBCBF6" w14:textId="77777777" w:rsidR="00C029BD" w:rsidRPr="00C029BD" w:rsidRDefault="00C029BD" w:rsidP="00C029BD">
            <w:r w:rsidRPr="00C029BD">
              <w:rPr>
                <w:i/>
                <w:iCs/>
              </w:rPr>
              <w:t>Gordonia</w:t>
            </w:r>
            <w:r w:rsidRPr="00C029BD">
              <w:t xml:space="preserve">, </w:t>
            </w:r>
            <w:r w:rsidRPr="00C029BD">
              <w:rPr>
                <w:i/>
                <w:iCs/>
              </w:rPr>
              <w:t>Rhodococcus</w:t>
            </w:r>
            <w:r w:rsidRPr="00C029BD">
              <w:t xml:space="preserve">, </w:t>
            </w:r>
            <w:r w:rsidRPr="00C029BD">
              <w:rPr>
                <w:i/>
                <w:iCs/>
              </w:rPr>
              <w:t>Mycobacterium</w:t>
            </w:r>
          </w:p>
        </w:tc>
        <w:tc>
          <w:tcPr>
            <w:tcW w:w="0" w:type="auto"/>
            <w:vAlign w:val="center"/>
            <w:hideMark/>
          </w:tcPr>
          <w:p w14:paraId="3FCC886A" w14:textId="77777777" w:rsidR="00C029BD" w:rsidRPr="00C029BD" w:rsidRDefault="00C029BD" w:rsidP="00C029BD">
            <w:r w:rsidRPr="00C029BD">
              <w:t>Actinobacteria with alkane and hydrocarbon degradation; cell-surface hydrophobicity aids attachment</w:t>
            </w:r>
          </w:p>
        </w:tc>
        <w:tc>
          <w:tcPr>
            <w:tcW w:w="0" w:type="auto"/>
            <w:vAlign w:val="center"/>
            <w:hideMark/>
          </w:tcPr>
          <w:p w14:paraId="249A21A7" w14:textId="77777777" w:rsidR="00C029BD" w:rsidRPr="00C029BD" w:rsidRDefault="00C029BD" w:rsidP="00C029BD">
            <w:r w:rsidRPr="00C029BD">
              <w:t xml:space="preserve">Frequently observed in PE enrichments and consortia. </w:t>
            </w:r>
            <w:hyperlink r:id="rId41" w:tgtFrame="_blank" w:history="1">
              <w:r w:rsidRPr="00C029BD">
                <w:rPr>
                  <w:rStyle w:val="Hyperlink"/>
                </w:rPr>
                <w:t>PMC</w:t>
              </w:r>
            </w:hyperlink>
          </w:p>
        </w:tc>
      </w:tr>
      <w:tr w:rsidR="00C029BD" w:rsidRPr="00C029BD" w14:paraId="11DD8EC5" w14:textId="77777777">
        <w:trPr>
          <w:tblCellSpacing w:w="15" w:type="dxa"/>
        </w:trPr>
        <w:tc>
          <w:tcPr>
            <w:tcW w:w="0" w:type="auto"/>
            <w:vAlign w:val="center"/>
            <w:hideMark/>
          </w:tcPr>
          <w:p w14:paraId="3930E7B1" w14:textId="77777777" w:rsidR="00C029BD" w:rsidRPr="00C029BD" w:rsidRDefault="00C029BD" w:rsidP="00C029BD">
            <w:r w:rsidRPr="00C029BD">
              <w:rPr>
                <w:i/>
                <w:iCs/>
              </w:rPr>
              <w:t>Bacillus</w:t>
            </w:r>
          </w:p>
        </w:tc>
        <w:tc>
          <w:tcPr>
            <w:tcW w:w="0" w:type="auto"/>
            <w:vAlign w:val="center"/>
            <w:hideMark/>
          </w:tcPr>
          <w:p w14:paraId="2435320A" w14:textId="77777777" w:rsidR="00C029BD" w:rsidRPr="00C029BD" w:rsidRDefault="00C029BD" w:rsidP="00C029BD">
            <w:r w:rsidRPr="00C029BD">
              <w:t>Fast-growing, secretion of enzymes, surfactant production</w:t>
            </w:r>
          </w:p>
        </w:tc>
        <w:tc>
          <w:tcPr>
            <w:tcW w:w="0" w:type="auto"/>
            <w:vAlign w:val="center"/>
            <w:hideMark/>
          </w:tcPr>
          <w:p w14:paraId="27CD8113" w14:textId="77777777" w:rsidR="00C029BD" w:rsidRPr="00C029BD" w:rsidRDefault="00C029BD" w:rsidP="00C029BD">
            <w:r w:rsidRPr="00C029BD">
              <w:t xml:space="preserve">Detected in many studies; sometimes associated with additive degradation. </w:t>
            </w:r>
            <w:hyperlink r:id="rId42" w:tgtFrame="_blank" w:history="1">
              <w:r w:rsidRPr="00C029BD">
                <w:rPr>
                  <w:rStyle w:val="Hyperlink"/>
                </w:rPr>
                <w:t>SpringerLink</w:t>
              </w:r>
            </w:hyperlink>
          </w:p>
        </w:tc>
      </w:tr>
      <w:tr w:rsidR="00C029BD" w:rsidRPr="00C029BD" w14:paraId="2BA12B05" w14:textId="77777777">
        <w:trPr>
          <w:tblCellSpacing w:w="15" w:type="dxa"/>
        </w:trPr>
        <w:tc>
          <w:tcPr>
            <w:tcW w:w="0" w:type="auto"/>
            <w:vAlign w:val="center"/>
            <w:hideMark/>
          </w:tcPr>
          <w:p w14:paraId="7BBADF60" w14:textId="77777777" w:rsidR="00C029BD" w:rsidRPr="00C029BD" w:rsidRDefault="00C029BD" w:rsidP="00C029BD">
            <w:r w:rsidRPr="00C029BD">
              <w:t xml:space="preserve">White-rot fungi (e.g., </w:t>
            </w:r>
            <w:r w:rsidRPr="00C029BD">
              <w:rPr>
                <w:i/>
                <w:iCs/>
              </w:rPr>
              <w:t>Phanerochaete</w:t>
            </w:r>
            <w:r w:rsidRPr="00C029BD">
              <w:t>)</w:t>
            </w:r>
          </w:p>
        </w:tc>
        <w:tc>
          <w:tcPr>
            <w:tcW w:w="0" w:type="auto"/>
            <w:vAlign w:val="center"/>
            <w:hideMark/>
          </w:tcPr>
          <w:p w14:paraId="4B184E79" w14:textId="77777777" w:rsidR="00C029BD" w:rsidRPr="00C029BD" w:rsidRDefault="00C029BD" w:rsidP="00C029BD">
            <w:r w:rsidRPr="00C029BD">
              <w:t>Ligninolytic enzymes, extracellular oxidation</w:t>
            </w:r>
          </w:p>
        </w:tc>
        <w:tc>
          <w:tcPr>
            <w:tcW w:w="0" w:type="auto"/>
            <w:vAlign w:val="center"/>
            <w:hideMark/>
          </w:tcPr>
          <w:p w14:paraId="7E8767AC" w14:textId="77777777" w:rsidR="00C029BD" w:rsidRPr="00C029BD" w:rsidRDefault="00C029BD" w:rsidP="00C029BD">
            <w:r w:rsidRPr="00C029BD">
              <w:t xml:space="preserve">Often produce laccase/MnP/LiP; surface oxidation reported. </w:t>
            </w:r>
            <w:hyperlink r:id="rId43" w:tgtFrame="_blank" w:history="1">
              <w:r w:rsidRPr="00C029BD">
                <w:rPr>
                  <w:rStyle w:val="Hyperlink"/>
                </w:rPr>
                <w:t>PMC</w:t>
              </w:r>
            </w:hyperlink>
          </w:p>
        </w:tc>
      </w:tr>
    </w:tbl>
    <w:p w14:paraId="60FC2A44" w14:textId="77777777" w:rsidR="00C029BD" w:rsidRPr="00C029BD" w:rsidRDefault="00C029BD" w:rsidP="00C029BD">
      <w:pPr>
        <w:rPr>
          <w:b/>
          <w:bCs/>
        </w:rPr>
      </w:pPr>
      <w:r w:rsidRPr="00C029BD">
        <w:rPr>
          <w:b/>
          <w:bCs/>
        </w:rPr>
        <w:t>Figure 1 — Conceptual schematic (textual description)</w:t>
      </w:r>
    </w:p>
    <w:p w14:paraId="44EE6F89" w14:textId="77777777" w:rsidR="00C029BD" w:rsidRPr="00C029BD" w:rsidRDefault="00C029BD" w:rsidP="00C029BD">
      <w:r w:rsidRPr="00C029BD">
        <w:t>A three-panel figure is recommended:</w:t>
      </w:r>
    </w:p>
    <w:p w14:paraId="0A39A5C7" w14:textId="77777777" w:rsidR="00C029BD" w:rsidRPr="00C029BD" w:rsidRDefault="00C029BD" w:rsidP="00C029BD">
      <w:pPr>
        <w:numPr>
          <w:ilvl w:val="0"/>
          <w:numId w:val="6"/>
        </w:numPr>
      </w:pPr>
      <w:r w:rsidRPr="00C029BD">
        <w:rPr>
          <w:b/>
          <w:bCs/>
        </w:rPr>
        <w:t>Panel A — Pristine PE:</w:t>
      </w:r>
      <w:r w:rsidRPr="00C029BD">
        <w:t xml:space="preserve"> crystalline, hydrophobic surface, enzymes excluded.</w:t>
      </w:r>
    </w:p>
    <w:p w14:paraId="60996FF3" w14:textId="77777777" w:rsidR="00C029BD" w:rsidRPr="00C029BD" w:rsidRDefault="00C029BD" w:rsidP="00C029BD">
      <w:pPr>
        <w:numPr>
          <w:ilvl w:val="0"/>
          <w:numId w:val="6"/>
        </w:numPr>
      </w:pPr>
      <w:r w:rsidRPr="00C029BD">
        <w:rPr>
          <w:b/>
          <w:bCs/>
        </w:rPr>
        <w:t>Panel B — Abiotic activation:</w:t>
      </w:r>
      <w:r w:rsidRPr="00C029BD">
        <w:t xml:space="preserve"> UV/thermal/chemical aging introduces carbonyls, lowers Mw, creates pits.</w:t>
      </w:r>
    </w:p>
    <w:p w14:paraId="7968A101" w14:textId="77777777" w:rsidR="00C029BD" w:rsidRPr="00C029BD" w:rsidRDefault="00C029BD" w:rsidP="00C029BD">
      <w:pPr>
        <w:numPr>
          <w:ilvl w:val="0"/>
          <w:numId w:val="6"/>
        </w:numPr>
      </w:pPr>
      <w:r w:rsidRPr="00C029BD">
        <w:rPr>
          <w:b/>
          <w:bCs/>
        </w:rPr>
        <w:lastRenderedPageBreak/>
        <w:t>Panel C — Biotic consortium action:</w:t>
      </w:r>
      <w:r w:rsidRPr="00C029BD">
        <w:t xml:space="preserve"> fungal laccases/peroxidases and bacterial alkane monooxygenases oxidize, fragment, and assimilate fragments; arrows indicate oxidation → oligomers → β-oxidation → CO₂/biomass or conversion to value-added products.</w:t>
      </w:r>
    </w:p>
    <w:p w14:paraId="3DF59A80" w14:textId="77777777" w:rsidR="00C029BD" w:rsidRPr="00C029BD" w:rsidRDefault="00C029BD" w:rsidP="00C029BD">
      <w:r w:rsidRPr="00C029BD">
        <w:rPr>
          <w:i/>
          <w:iCs/>
        </w:rPr>
        <w:t>(Authors should generate a vector figure based on this schematic for final publication.)</w:t>
      </w:r>
      <w:r w:rsidRPr="00C029BD">
        <w:t xml:space="preserve"> </w:t>
      </w:r>
      <w:hyperlink r:id="rId44" w:tgtFrame="_blank" w:history="1">
        <w:r w:rsidRPr="00C029BD">
          <w:rPr>
            <w:rStyle w:val="Hyperlink"/>
          </w:rPr>
          <w:t>ScienceDirect+1</w:t>
        </w:r>
      </w:hyperlink>
    </w:p>
    <w:p w14:paraId="1234F326" w14:textId="77777777" w:rsidR="00C029BD" w:rsidRPr="00C029BD" w:rsidRDefault="00C029BD" w:rsidP="00C029BD">
      <w:r w:rsidRPr="00C029BD">
        <w:pict w14:anchorId="15B5DD70">
          <v:rect id="_x0000_i1118" style="width:0;height:1.5pt" o:hralign="center" o:hrstd="t" o:hr="t" fillcolor="#a0a0a0" stroked="f"/>
        </w:pict>
      </w:r>
    </w:p>
    <w:p w14:paraId="1460B9B2" w14:textId="77777777" w:rsidR="00C029BD" w:rsidRPr="00C029BD" w:rsidRDefault="00C029BD" w:rsidP="00C029BD">
      <w:pPr>
        <w:rPr>
          <w:b/>
          <w:bCs/>
        </w:rPr>
      </w:pPr>
      <w:r w:rsidRPr="00C029BD">
        <w:rPr>
          <w:b/>
          <w:bCs/>
        </w:rPr>
        <w:t>9. Technology translation — scale-up and technoeconomic considerations</w:t>
      </w:r>
    </w:p>
    <w:p w14:paraId="5DC0A0AD" w14:textId="77777777" w:rsidR="00C029BD" w:rsidRPr="00C029BD" w:rsidRDefault="00C029BD" w:rsidP="00C029BD">
      <w:r w:rsidRPr="00C029BD">
        <w:t>Translating lab demonstrations into practical processes requires integrating pretreatment, biodegradation, and product recovery with life-cycle and economic analyses.</w:t>
      </w:r>
    </w:p>
    <w:p w14:paraId="41E103D6" w14:textId="77777777" w:rsidR="00C029BD" w:rsidRPr="00C029BD" w:rsidRDefault="00C029BD" w:rsidP="00C029BD">
      <w:pPr>
        <w:numPr>
          <w:ilvl w:val="0"/>
          <w:numId w:val="7"/>
        </w:numPr>
      </w:pPr>
      <w:r w:rsidRPr="00C029BD">
        <w:rPr>
          <w:b/>
          <w:bCs/>
        </w:rPr>
        <w:t>Energy balance of pretreatment:</w:t>
      </w:r>
      <w:r w:rsidRPr="00C029BD">
        <w:t xml:space="preserve"> UV or thermal pretreatments can be energy-intensive; coupling to waste-heat sources or solar photocatalysis may improve viability. </w:t>
      </w:r>
      <w:hyperlink r:id="rId45" w:tgtFrame="_blank" w:history="1">
        <w:r w:rsidRPr="00C029BD">
          <w:rPr>
            <w:rStyle w:val="Hyperlink"/>
          </w:rPr>
          <w:t>ScienceDirect</w:t>
        </w:r>
      </w:hyperlink>
    </w:p>
    <w:p w14:paraId="705CED4D" w14:textId="77777777" w:rsidR="00C029BD" w:rsidRPr="00C029BD" w:rsidRDefault="00C029BD" w:rsidP="00C029BD">
      <w:pPr>
        <w:numPr>
          <w:ilvl w:val="0"/>
          <w:numId w:val="7"/>
        </w:numPr>
      </w:pPr>
      <w:r w:rsidRPr="00C029BD">
        <w:rPr>
          <w:b/>
          <w:bCs/>
        </w:rPr>
        <w:t>Bioreactor configuration:</w:t>
      </w:r>
      <w:r w:rsidRPr="00C029BD">
        <w:t xml:space="preserve"> Solid-state reactors, biofilm reactors, or slurry reactors each present trade-offs in mass transfer versus throughput. Immobilized consortia on packed beds may handle film feedstocks while simplifying downstream separation. </w:t>
      </w:r>
      <w:hyperlink r:id="rId46" w:tgtFrame="_blank" w:history="1">
        <w:r w:rsidRPr="00C029BD">
          <w:rPr>
            <w:rStyle w:val="Hyperlink"/>
          </w:rPr>
          <w:t>PMC</w:t>
        </w:r>
      </w:hyperlink>
    </w:p>
    <w:p w14:paraId="38088488" w14:textId="77777777" w:rsidR="00C029BD" w:rsidRPr="00C029BD" w:rsidRDefault="00C029BD" w:rsidP="00C029BD">
      <w:pPr>
        <w:numPr>
          <w:ilvl w:val="0"/>
          <w:numId w:val="7"/>
        </w:numPr>
      </w:pPr>
      <w:r w:rsidRPr="00C029BD">
        <w:rPr>
          <w:b/>
          <w:bCs/>
        </w:rPr>
        <w:t>Product stream management:</w:t>
      </w:r>
      <w:r w:rsidRPr="00C029BD">
        <w:t xml:space="preserve"> If the goal is mineralization (CO₂), emissions control and greenhouse-gas accounting are central. If upcycling to chemicals, separation and purification costs dominate economic models. Synthetic biology approaches can steer flux to higher-value products, but regulatory and containment constraints apply. </w:t>
      </w:r>
      <w:hyperlink r:id="rId47" w:tgtFrame="_blank" w:history="1">
        <w:r w:rsidRPr="00C029BD">
          <w:rPr>
            <w:rStyle w:val="Hyperlink"/>
          </w:rPr>
          <w:t>Nature</w:t>
        </w:r>
      </w:hyperlink>
    </w:p>
    <w:p w14:paraId="39D11C10" w14:textId="77777777" w:rsidR="00C029BD" w:rsidRPr="00C029BD" w:rsidRDefault="00C029BD" w:rsidP="00C029BD">
      <w:r w:rsidRPr="00C029BD">
        <w:pict w14:anchorId="7CFCD066">
          <v:rect id="_x0000_i1119" style="width:0;height:1.5pt" o:hralign="center" o:hrstd="t" o:hr="t" fillcolor="#a0a0a0" stroked="f"/>
        </w:pict>
      </w:r>
    </w:p>
    <w:p w14:paraId="262E76AB" w14:textId="77777777" w:rsidR="00C029BD" w:rsidRPr="00C029BD" w:rsidRDefault="00C029BD" w:rsidP="00C029BD">
      <w:pPr>
        <w:rPr>
          <w:b/>
          <w:bCs/>
        </w:rPr>
      </w:pPr>
      <w:r w:rsidRPr="00C029BD">
        <w:rPr>
          <w:b/>
          <w:bCs/>
        </w:rPr>
        <w:t>10. Perspective and outlook (5–10 years)</w:t>
      </w:r>
    </w:p>
    <w:p w14:paraId="5F8B4454" w14:textId="77777777" w:rsidR="00C029BD" w:rsidRPr="00C029BD" w:rsidRDefault="00C029BD" w:rsidP="00C029BD">
      <w:r w:rsidRPr="00C029BD">
        <w:t>The coming decade is likely to be decisive for biologically mediated solutions to PE pollution. I outline a convergent roadmap:</w:t>
      </w:r>
    </w:p>
    <w:p w14:paraId="7CC92BEB" w14:textId="77777777" w:rsidR="00C029BD" w:rsidRPr="00C029BD" w:rsidRDefault="00C029BD" w:rsidP="00C029BD">
      <w:pPr>
        <w:numPr>
          <w:ilvl w:val="0"/>
          <w:numId w:val="8"/>
        </w:numPr>
      </w:pPr>
      <w:r w:rsidRPr="00C029BD">
        <w:rPr>
          <w:b/>
          <w:bCs/>
        </w:rPr>
        <w:t>Standardization and rigorous proof-of-concept (1–3 yr):</w:t>
      </w:r>
      <w:r w:rsidRPr="00C029BD">
        <w:t xml:space="preserve"> Community adoption of standardized films, ^13C-labelled assays, and multi-modal analytics will filter out non-reproducible claims and identify genuine depolymerization pathways. </w:t>
      </w:r>
      <w:hyperlink r:id="rId48" w:tgtFrame="_blank" w:history="1">
        <w:r w:rsidRPr="00C029BD">
          <w:rPr>
            <w:rStyle w:val="Hyperlink"/>
          </w:rPr>
          <w:t>ScienceDirect</w:t>
        </w:r>
      </w:hyperlink>
    </w:p>
    <w:p w14:paraId="4CA6DBAB" w14:textId="77777777" w:rsidR="00C029BD" w:rsidRPr="00C029BD" w:rsidRDefault="00C029BD" w:rsidP="00C029BD">
      <w:pPr>
        <w:numPr>
          <w:ilvl w:val="0"/>
          <w:numId w:val="8"/>
        </w:numPr>
      </w:pPr>
      <w:r w:rsidRPr="00C029BD">
        <w:rPr>
          <w:b/>
          <w:bCs/>
        </w:rPr>
        <w:t>Enzyme discovery and engineering (2–6 yr):</w:t>
      </w:r>
      <w:r w:rsidRPr="00C029BD">
        <w:t xml:space="preserve"> Targeted metagenomics of extreme environments (oil seeps, long-term plastic-polluted sites, insect guts) combined </w:t>
      </w:r>
      <w:r w:rsidRPr="00C029BD">
        <w:lastRenderedPageBreak/>
        <w:t xml:space="preserve">with high-throughput microfluidic screens will discover oxidases with improved activity on high-Mw substrates. Protein engineering (directed evolution, computational design) may yield enhanced monooxygenases, laccases, or novel multi-component depolymerases. </w:t>
      </w:r>
      <w:hyperlink r:id="rId49" w:tgtFrame="_blank" w:history="1">
        <w:r w:rsidRPr="00C029BD">
          <w:rPr>
            <w:rStyle w:val="Hyperlink"/>
          </w:rPr>
          <w:t>PMC+1</w:t>
        </w:r>
      </w:hyperlink>
    </w:p>
    <w:p w14:paraId="38460E5B" w14:textId="77777777" w:rsidR="00C029BD" w:rsidRPr="00C029BD" w:rsidRDefault="00C029BD" w:rsidP="00C029BD">
      <w:pPr>
        <w:numPr>
          <w:ilvl w:val="0"/>
          <w:numId w:val="8"/>
        </w:numPr>
      </w:pPr>
      <w:r w:rsidRPr="00C029BD">
        <w:rPr>
          <w:b/>
          <w:bCs/>
        </w:rPr>
        <w:t>Modular consortia and metabolic division-of-labor (3–7 yr):</w:t>
      </w:r>
      <w:r w:rsidRPr="00C029BD">
        <w:t xml:space="preserve"> Rationally assembled consortia that pair oxidative "front-end" organisms (fungi or bacteria) with efficient "back-end" assimilators and product-converting strains will outperform monocultures and enable steering carbon to desired products (upcycling). Synthetic ecology tools (engineered dependencies, kill-switches) will improve stability and biocontainment. </w:t>
      </w:r>
      <w:hyperlink r:id="rId50" w:tgtFrame="_blank" w:history="1">
        <w:r w:rsidRPr="00C029BD">
          <w:rPr>
            <w:rStyle w:val="Hyperlink"/>
          </w:rPr>
          <w:t>Nature</w:t>
        </w:r>
      </w:hyperlink>
    </w:p>
    <w:p w14:paraId="72A18DBA" w14:textId="77777777" w:rsidR="00C029BD" w:rsidRPr="00C029BD" w:rsidRDefault="00C029BD" w:rsidP="00C029BD">
      <w:pPr>
        <w:numPr>
          <w:ilvl w:val="0"/>
          <w:numId w:val="8"/>
        </w:numPr>
      </w:pPr>
      <w:r w:rsidRPr="00C029BD">
        <w:rPr>
          <w:b/>
          <w:bCs/>
        </w:rPr>
        <w:t>Low-energy abiotic–biotic integration and circularity (5–10 yr):</w:t>
      </w:r>
      <w:r w:rsidRPr="00C029BD">
        <w:t xml:space="preserve"> Scalable pretreatments (solar photocatalysis, catalytic weathering) integrated with biological reactors will be optimized for minimal environmental footprint. Technoeconomic analyses and pilot deployments will test viability for selected waste streams (e.g., agricultural mulch films, sorted municipal PE fractions). Policies favoring circularity and extended producer responsibility can accelerate adoption. </w:t>
      </w:r>
      <w:hyperlink r:id="rId51" w:tgtFrame="_blank" w:history="1">
        <w:r w:rsidRPr="00C029BD">
          <w:rPr>
            <w:rStyle w:val="Hyperlink"/>
          </w:rPr>
          <w:t>ScienceDirect+1</w:t>
        </w:r>
      </w:hyperlink>
    </w:p>
    <w:p w14:paraId="3AC6FC27" w14:textId="77777777" w:rsidR="00C029BD" w:rsidRPr="00C029BD" w:rsidRDefault="00C029BD" w:rsidP="00C029BD">
      <w:pPr>
        <w:numPr>
          <w:ilvl w:val="0"/>
          <w:numId w:val="8"/>
        </w:numPr>
      </w:pPr>
      <w:r w:rsidRPr="00C029BD">
        <w:rPr>
          <w:b/>
          <w:bCs/>
        </w:rPr>
        <w:t>Regulatory and ecological safety frameworks:</w:t>
      </w:r>
      <w:r w:rsidRPr="00C029BD">
        <w:t xml:space="preserve"> Evaluations of ecotoxicity of transformation products, fate of micro/nanoparticles, and containment strategies for engineered microbes will be embedded in development pipelines to ensure safe deployment. </w:t>
      </w:r>
      <w:hyperlink r:id="rId52" w:tgtFrame="_blank" w:history="1">
        <w:r w:rsidRPr="00C029BD">
          <w:rPr>
            <w:rStyle w:val="Hyperlink"/>
          </w:rPr>
          <w:t>PMC</w:t>
        </w:r>
      </w:hyperlink>
    </w:p>
    <w:p w14:paraId="7EC42713" w14:textId="77777777" w:rsidR="00C029BD" w:rsidRPr="00C029BD" w:rsidRDefault="00C029BD" w:rsidP="00C029BD">
      <w:r w:rsidRPr="00C029BD">
        <w:pict w14:anchorId="09D3DA89">
          <v:rect id="_x0000_i1120" style="width:0;height:1.5pt" o:hralign="center" o:hrstd="t" o:hr="t" fillcolor="#a0a0a0" stroked="f"/>
        </w:pict>
      </w:r>
    </w:p>
    <w:p w14:paraId="461C0BF9" w14:textId="77777777" w:rsidR="00C029BD" w:rsidRPr="00C029BD" w:rsidRDefault="00C029BD" w:rsidP="00C029BD">
      <w:pPr>
        <w:rPr>
          <w:b/>
          <w:bCs/>
        </w:rPr>
      </w:pPr>
      <w:r w:rsidRPr="00C029BD">
        <w:rPr>
          <w:b/>
          <w:bCs/>
        </w:rPr>
        <w:t>11. Conclusions — actionable takeaways</w:t>
      </w:r>
    </w:p>
    <w:p w14:paraId="3D0423E7" w14:textId="77777777" w:rsidR="00C029BD" w:rsidRPr="00C029BD" w:rsidRDefault="00C029BD" w:rsidP="00C029BD">
      <w:pPr>
        <w:numPr>
          <w:ilvl w:val="0"/>
          <w:numId w:val="9"/>
        </w:numPr>
      </w:pPr>
      <w:r w:rsidRPr="00C029BD">
        <w:rPr>
          <w:b/>
          <w:bCs/>
        </w:rPr>
        <w:t>PE biodegradation is possible but rarely complete without pretreatment.</w:t>
      </w:r>
      <w:r w:rsidRPr="00C029BD">
        <w:t xml:space="preserve"> The strongest experimental systems combine abiotic activation with microbial consortia possessing oxidative enzymes and alkane-assimilating pathways. </w:t>
      </w:r>
      <w:hyperlink r:id="rId53" w:tgtFrame="_blank" w:history="1">
        <w:r w:rsidRPr="00C029BD">
          <w:rPr>
            <w:rStyle w:val="Hyperlink"/>
          </w:rPr>
          <w:t>ScienceDirect+1</w:t>
        </w:r>
      </w:hyperlink>
    </w:p>
    <w:p w14:paraId="62E22397" w14:textId="77777777" w:rsidR="00C029BD" w:rsidRPr="00C029BD" w:rsidRDefault="00C029BD" w:rsidP="00C029BD">
      <w:pPr>
        <w:numPr>
          <w:ilvl w:val="0"/>
          <w:numId w:val="9"/>
        </w:numPr>
      </w:pPr>
      <w:r w:rsidRPr="00C029BD">
        <w:rPr>
          <w:b/>
          <w:bCs/>
        </w:rPr>
        <w:t>Rigorous multi-modal proof is essential.</w:t>
      </w:r>
      <w:r w:rsidRPr="00C029BD">
        <w:t xml:space="preserve"> Weight loss or SEM alone are insufficient; isotopic labelling, Mw reduction (GPC), FTIR/XPS surface chemistry, metabolite detection, and CO₂/bio-assimilation measurements are required to claim mineralization. </w:t>
      </w:r>
      <w:hyperlink r:id="rId54" w:tgtFrame="_blank" w:history="1">
        <w:r w:rsidRPr="00C029BD">
          <w:rPr>
            <w:rStyle w:val="Hyperlink"/>
          </w:rPr>
          <w:t>PMC</w:t>
        </w:r>
      </w:hyperlink>
    </w:p>
    <w:p w14:paraId="187C4D6C" w14:textId="77777777" w:rsidR="00C029BD" w:rsidRPr="00C029BD" w:rsidRDefault="00C029BD" w:rsidP="00C029BD">
      <w:pPr>
        <w:numPr>
          <w:ilvl w:val="0"/>
          <w:numId w:val="9"/>
        </w:numPr>
      </w:pPr>
      <w:r w:rsidRPr="00C029BD">
        <w:rPr>
          <w:b/>
          <w:bCs/>
        </w:rPr>
        <w:t>Communities unlock emergent capabilities but require ecological engineering.</w:t>
      </w:r>
      <w:r w:rsidRPr="00C029BD">
        <w:t xml:space="preserve"> Rationally designed consortia and division-of-labor strategies are promising and must be coupled to genetic, proteomic, and metabolomic validation pipelines. </w:t>
      </w:r>
      <w:hyperlink r:id="rId55" w:tgtFrame="_blank" w:history="1">
        <w:r w:rsidRPr="00C029BD">
          <w:rPr>
            <w:rStyle w:val="Hyperlink"/>
          </w:rPr>
          <w:t>Nature</w:t>
        </w:r>
      </w:hyperlink>
    </w:p>
    <w:p w14:paraId="73B2DB7C" w14:textId="77777777" w:rsidR="00C029BD" w:rsidRPr="00C029BD" w:rsidRDefault="00C029BD" w:rsidP="00C029BD">
      <w:pPr>
        <w:numPr>
          <w:ilvl w:val="0"/>
          <w:numId w:val="9"/>
        </w:numPr>
      </w:pPr>
      <w:r w:rsidRPr="00C029BD">
        <w:rPr>
          <w:b/>
          <w:bCs/>
        </w:rPr>
        <w:lastRenderedPageBreak/>
        <w:t>Focus on upcycling and circularity rather than simply disposal.</w:t>
      </w:r>
      <w:r w:rsidRPr="00C029BD">
        <w:t xml:space="preserve"> Bioconversion of PE-derived fragments into higher-value chemicals will likely offer better economic incentives than mineralization alone. </w:t>
      </w:r>
      <w:hyperlink r:id="rId56" w:tgtFrame="_blank" w:history="1">
        <w:r w:rsidRPr="00C029BD">
          <w:rPr>
            <w:rStyle w:val="Hyperlink"/>
          </w:rPr>
          <w:t>Nature</w:t>
        </w:r>
      </w:hyperlink>
    </w:p>
    <w:p w14:paraId="2F9B072E" w14:textId="77777777" w:rsidR="00C029BD" w:rsidRPr="00C029BD" w:rsidRDefault="00C029BD" w:rsidP="00C029BD">
      <w:r w:rsidRPr="00C029BD">
        <w:pict w14:anchorId="1F736874">
          <v:rect id="_x0000_i1121" style="width:0;height:1.5pt" o:hralign="center" o:hrstd="t" o:hr="t" fillcolor="#a0a0a0" stroked="f"/>
        </w:pict>
      </w:r>
    </w:p>
    <w:p w14:paraId="696F2F2C" w14:textId="77777777" w:rsidR="00C029BD" w:rsidRPr="00C029BD" w:rsidRDefault="00C029BD" w:rsidP="00C029BD">
      <w:pPr>
        <w:rPr>
          <w:b/>
          <w:bCs/>
        </w:rPr>
      </w:pPr>
      <w:r w:rsidRPr="00C029BD">
        <w:rPr>
          <w:b/>
          <w:bCs/>
        </w:rPr>
        <w:t>Acknowledgements</w:t>
      </w:r>
    </w:p>
    <w:p w14:paraId="6971A56A" w14:textId="77777777" w:rsidR="00C029BD" w:rsidRPr="00C029BD" w:rsidRDefault="00C029BD" w:rsidP="00C029BD">
      <w:r w:rsidRPr="00C029BD">
        <w:t>This review synthesizes numerous primary studies and reviews; the author thanks the community for rapidly expanding the evidence base. Readers are encouraged to consult the primary literature cited below for experimental details and data.</w:t>
      </w:r>
    </w:p>
    <w:p w14:paraId="47E3CC11" w14:textId="77777777" w:rsidR="00C029BD" w:rsidRPr="00C029BD" w:rsidRDefault="00C029BD" w:rsidP="00C029BD">
      <w:r w:rsidRPr="00C029BD">
        <w:pict w14:anchorId="297AE3D6">
          <v:rect id="_x0000_i1122" style="width:0;height:1.5pt" o:hralign="center" o:hrstd="t" o:hr="t" fillcolor="#a0a0a0" stroked="f"/>
        </w:pict>
      </w:r>
    </w:p>
    <w:p w14:paraId="09188BFC" w14:textId="77777777" w:rsidR="00C029BD" w:rsidRPr="00C029BD" w:rsidRDefault="00C029BD" w:rsidP="00C029BD">
      <w:pPr>
        <w:rPr>
          <w:b/>
          <w:bCs/>
        </w:rPr>
      </w:pPr>
      <w:r w:rsidRPr="00C029BD">
        <w:rPr>
          <w:b/>
          <w:bCs/>
        </w:rPr>
        <w:t>References (selected; click entries to follow source)</w:t>
      </w:r>
    </w:p>
    <w:p w14:paraId="0DBEF3EE" w14:textId="77777777" w:rsidR="00C029BD" w:rsidRPr="00C029BD" w:rsidRDefault="00C029BD" w:rsidP="00C029BD">
      <w:r w:rsidRPr="00C029BD">
        <w:rPr>
          <w:i/>
          <w:iCs/>
        </w:rPr>
        <w:t>NOTE:</w:t>
      </w:r>
      <w:r w:rsidRPr="00C029BD">
        <w:t xml:space="preserve"> Below are the web sources consulted to prepare this review. The numbered citations in the text map to these sources. Where the literature is extensive, these are representative, high-quality or recent examples — please consult original articles for experimental specifics.</w:t>
      </w:r>
    </w:p>
    <w:p w14:paraId="71A09978" w14:textId="77777777" w:rsidR="00C029BD" w:rsidRPr="00C029BD" w:rsidRDefault="00C029BD" w:rsidP="00C029BD">
      <w:pPr>
        <w:numPr>
          <w:ilvl w:val="0"/>
          <w:numId w:val="10"/>
        </w:numPr>
      </w:pPr>
      <w:r w:rsidRPr="00C029BD">
        <w:rPr>
          <w:b/>
          <w:bCs/>
        </w:rPr>
        <w:t>Zhang C., et al.</w:t>
      </w:r>
      <w:r w:rsidRPr="00C029BD">
        <w:t xml:space="preserve"> </w:t>
      </w:r>
      <w:r w:rsidRPr="00C029BD">
        <w:rPr>
          <w:i/>
          <w:iCs/>
        </w:rPr>
        <w:t>Assembly strategies for polyethylene-degrading microbial consortia.</w:t>
      </w:r>
      <w:r w:rsidRPr="00C029BD">
        <w:t xml:space="preserve"> (Review) — </w:t>
      </w:r>
      <w:r w:rsidRPr="00C029BD">
        <w:rPr>
          <w:i/>
          <w:iCs/>
        </w:rPr>
        <w:t>e.g.,</w:t>
      </w:r>
      <w:r w:rsidRPr="00C029BD">
        <w:t xml:space="preserve"> PMC article (2023). </w:t>
      </w:r>
      <w:hyperlink r:id="rId57" w:tgtFrame="_blank" w:history="1">
        <w:r w:rsidRPr="00C029BD">
          <w:rPr>
            <w:rStyle w:val="Hyperlink"/>
          </w:rPr>
          <w:t>PMC</w:t>
        </w:r>
      </w:hyperlink>
    </w:p>
    <w:p w14:paraId="392C90A6" w14:textId="77777777" w:rsidR="00C029BD" w:rsidRPr="00C029BD" w:rsidRDefault="00C029BD" w:rsidP="00C029BD">
      <w:pPr>
        <w:numPr>
          <w:ilvl w:val="0"/>
          <w:numId w:val="10"/>
        </w:numPr>
      </w:pPr>
      <w:r w:rsidRPr="00C029BD">
        <w:rPr>
          <w:b/>
          <w:bCs/>
        </w:rPr>
        <w:t>Pinto M., et al.</w:t>
      </w:r>
      <w:r w:rsidRPr="00C029BD">
        <w:t xml:space="preserve"> </w:t>
      </w:r>
      <w:r w:rsidRPr="00C029BD">
        <w:rPr>
          <w:i/>
          <w:iCs/>
        </w:rPr>
        <w:t>Microbial Consortiums of Putative Degraders of Low-Density Polyethylene (LDPE).</w:t>
      </w:r>
      <w:r w:rsidRPr="00C029BD">
        <w:t xml:space="preserve"> (2022) — </w:t>
      </w:r>
      <w:r w:rsidRPr="00C029BD">
        <w:rPr>
          <w:i/>
          <w:iCs/>
        </w:rPr>
        <w:t>bioRxiv / PMC.</w:t>
      </w:r>
      <w:r w:rsidRPr="00C029BD">
        <w:t xml:space="preserve"> </w:t>
      </w:r>
      <w:hyperlink r:id="rId58" w:tgtFrame="_blank" w:history="1">
        <w:r w:rsidRPr="00C029BD">
          <w:rPr>
            <w:rStyle w:val="Hyperlink"/>
          </w:rPr>
          <w:t>PMC</w:t>
        </w:r>
      </w:hyperlink>
    </w:p>
    <w:p w14:paraId="7DB5F41D" w14:textId="77777777" w:rsidR="00C029BD" w:rsidRPr="00C029BD" w:rsidRDefault="00C029BD" w:rsidP="00C029BD">
      <w:pPr>
        <w:numPr>
          <w:ilvl w:val="0"/>
          <w:numId w:val="10"/>
        </w:numPr>
      </w:pPr>
      <w:r w:rsidRPr="00C029BD">
        <w:rPr>
          <w:b/>
          <w:bCs/>
        </w:rPr>
        <w:t>Temporiti MEE., et al.</w:t>
      </w:r>
      <w:r w:rsidRPr="00C029BD">
        <w:t xml:space="preserve"> </w:t>
      </w:r>
      <w:r w:rsidRPr="00C029BD">
        <w:rPr>
          <w:i/>
          <w:iCs/>
        </w:rPr>
        <w:t>Fungal Enzymes Involved in Plastics Biodegradation.</w:t>
      </w:r>
      <w:r w:rsidRPr="00C029BD">
        <w:t xml:space="preserve"> (Review) — </w:t>
      </w:r>
      <w:r w:rsidRPr="00C029BD">
        <w:rPr>
          <w:i/>
          <w:iCs/>
        </w:rPr>
        <w:t>International Journal</w:t>
      </w:r>
      <w:r w:rsidRPr="00C029BD">
        <w:t xml:space="preserve"> (2022). </w:t>
      </w:r>
      <w:hyperlink r:id="rId59" w:tgtFrame="_blank" w:history="1">
        <w:r w:rsidRPr="00C029BD">
          <w:rPr>
            <w:rStyle w:val="Hyperlink"/>
          </w:rPr>
          <w:t>PMC</w:t>
        </w:r>
      </w:hyperlink>
    </w:p>
    <w:p w14:paraId="4862E523" w14:textId="77777777" w:rsidR="00C029BD" w:rsidRPr="00C029BD" w:rsidRDefault="00C029BD" w:rsidP="00C029BD">
      <w:pPr>
        <w:numPr>
          <w:ilvl w:val="0"/>
          <w:numId w:val="10"/>
        </w:numPr>
      </w:pPr>
      <w:r w:rsidRPr="00C029BD">
        <w:rPr>
          <w:b/>
          <w:bCs/>
        </w:rPr>
        <w:t>Jaiswal PB., et al.</w:t>
      </w:r>
      <w:r w:rsidRPr="00C029BD">
        <w:t xml:space="preserve"> </w:t>
      </w:r>
      <w:r w:rsidRPr="00C029BD">
        <w:rPr>
          <w:i/>
          <w:iCs/>
        </w:rPr>
        <w:t>Abiotic aging assisted bio-oxidation and degradation of polyethylene.</w:t>
      </w:r>
      <w:r w:rsidRPr="00C029BD">
        <w:t xml:space="preserve"> (2022) — </w:t>
      </w:r>
      <w:r w:rsidRPr="00C029BD">
        <w:rPr>
          <w:i/>
          <w:iCs/>
        </w:rPr>
        <w:t>Environmental Chemistry/Literature.</w:t>
      </w:r>
      <w:r w:rsidRPr="00C029BD">
        <w:t xml:space="preserve"> </w:t>
      </w:r>
      <w:hyperlink r:id="rId60" w:tgtFrame="_blank" w:history="1">
        <w:r w:rsidRPr="00C029BD">
          <w:rPr>
            <w:rStyle w:val="Hyperlink"/>
          </w:rPr>
          <w:t>ScienceDirect</w:t>
        </w:r>
      </w:hyperlink>
    </w:p>
    <w:p w14:paraId="14FD3913" w14:textId="77777777" w:rsidR="00C029BD" w:rsidRPr="00C029BD" w:rsidRDefault="00C029BD" w:rsidP="00C029BD">
      <w:pPr>
        <w:numPr>
          <w:ilvl w:val="0"/>
          <w:numId w:val="10"/>
        </w:numPr>
      </w:pPr>
      <w:r w:rsidRPr="00C029BD">
        <w:rPr>
          <w:b/>
          <w:bCs/>
        </w:rPr>
        <w:t>Bao T., et al.</w:t>
      </w:r>
      <w:r w:rsidRPr="00C029BD">
        <w:t xml:space="preserve"> </w:t>
      </w:r>
      <w:r w:rsidRPr="00C029BD">
        <w:rPr>
          <w:i/>
          <w:iCs/>
        </w:rPr>
        <w:t>Engineering microbial division of labor for plastic upcycling.</w:t>
      </w:r>
      <w:r w:rsidRPr="00C029BD">
        <w:t xml:space="preserve"> (2023) — </w:t>
      </w:r>
      <w:r w:rsidRPr="00C029BD">
        <w:rPr>
          <w:i/>
          <w:iCs/>
        </w:rPr>
        <w:t>Nature Communications</w:t>
      </w:r>
      <w:r w:rsidRPr="00C029BD">
        <w:t xml:space="preserve"> (example of synthetic consortia for plastic hydrolysate upcycling). </w:t>
      </w:r>
      <w:hyperlink r:id="rId61" w:tgtFrame="_blank" w:history="1">
        <w:r w:rsidRPr="00C029BD">
          <w:rPr>
            <w:rStyle w:val="Hyperlink"/>
          </w:rPr>
          <w:t>Nature</w:t>
        </w:r>
      </w:hyperlink>
    </w:p>
    <w:p w14:paraId="51833AB5" w14:textId="77777777" w:rsidR="00C029BD" w:rsidRPr="00C029BD" w:rsidRDefault="00C029BD" w:rsidP="00C029BD">
      <w:pPr>
        <w:numPr>
          <w:ilvl w:val="0"/>
          <w:numId w:val="10"/>
        </w:numPr>
      </w:pPr>
      <w:r w:rsidRPr="00C029BD">
        <w:rPr>
          <w:b/>
          <w:bCs/>
        </w:rPr>
        <w:t>Yasin NM., et al.</w:t>
      </w:r>
      <w:r w:rsidRPr="00C029BD">
        <w:t xml:space="preserve"> </w:t>
      </w:r>
      <w:r w:rsidRPr="00C029BD">
        <w:rPr>
          <w:i/>
          <w:iCs/>
        </w:rPr>
        <w:t>Enhancing the biodegradation of (bio)plastic through pretreatment methods.</w:t>
      </w:r>
      <w:r w:rsidRPr="00C029BD">
        <w:t xml:space="preserve"> (Review) — </w:t>
      </w:r>
      <w:r w:rsidRPr="00C029BD">
        <w:rPr>
          <w:i/>
          <w:iCs/>
        </w:rPr>
        <w:t>Journal (2022).</w:t>
      </w:r>
      <w:r w:rsidRPr="00C029BD">
        <w:t xml:space="preserve"> </w:t>
      </w:r>
      <w:hyperlink r:id="rId62" w:tgtFrame="_blank" w:history="1">
        <w:r w:rsidRPr="00C029BD">
          <w:rPr>
            <w:rStyle w:val="Hyperlink"/>
          </w:rPr>
          <w:t>ScienceDirect</w:t>
        </w:r>
      </w:hyperlink>
    </w:p>
    <w:p w14:paraId="3270236C" w14:textId="77777777" w:rsidR="00C029BD" w:rsidRPr="00C029BD" w:rsidRDefault="00C029BD" w:rsidP="00C029BD">
      <w:pPr>
        <w:numPr>
          <w:ilvl w:val="0"/>
          <w:numId w:val="10"/>
        </w:numPr>
      </w:pPr>
      <w:r w:rsidRPr="00C029BD">
        <w:rPr>
          <w:b/>
          <w:bCs/>
        </w:rPr>
        <w:t>Wang S., et al.</w:t>
      </w:r>
      <w:r w:rsidRPr="00C029BD">
        <w:t xml:space="preserve"> </w:t>
      </w:r>
      <w:r w:rsidRPr="00C029BD">
        <w:rPr>
          <w:i/>
          <w:iCs/>
        </w:rPr>
        <w:t>Direct in vivo evidence and gut microbiota independence in insect-associated PE degradation studies.</w:t>
      </w:r>
      <w:r w:rsidRPr="00C029BD">
        <w:t xml:space="preserve"> (2022) — </w:t>
      </w:r>
      <w:r w:rsidRPr="00C029BD">
        <w:rPr>
          <w:i/>
          <w:iCs/>
        </w:rPr>
        <w:t>Environmental Science / Journal.</w:t>
      </w:r>
      <w:r w:rsidRPr="00C029BD">
        <w:t xml:space="preserve"> </w:t>
      </w:r>
      <w:hyperlink r:id="rId63" w:tgtFrame="_blank" w:history="1">
        <w:r w:rsidRPr="00C029BD">
          <w:rPr>
            <w:rStyle w:val="Hyperlink"/>
          </w:rPr>
          <w:t>ScienceDirect</w:t>
        </w:r>
      </w:hyperlink>
    </w:p>
    <w:p w14:paraId="130BAEC5" w14:textId="77777777" w:rsidR="00C029BD" w:rsidRPr="00C029BD" w:rsidRDefault="00C029BD" w:rsidP="00C029BD">
      <w:pPr>
        <w:numPr>
          <w:ilvl w:val="0"/>
          <w:numId w:val="10"/>
        </w:numPr>
      </w:pPr>
      <w:r w:rsidRPr="00C029BD">
        <w:rPr>
          <w:b/>
          <w:bCs/>
        </w:rPr>
        <w:lastRenderedPageBreak/>
        <w:t>Rong Z., et al.</w:t>
      </w:r>
      <w:r w:rsidRPr="00C029BD">
        <w:t xml:space="preserve"> </w:t>
      </w:r>
      <w:r w:rsidRPr="00C029BD">
        <w:rPr>
          <w:i/>
          <w:iCs/>
        </w:rPr>
        <w:t>LDPE degradation by bacterium with AlkB involvement.</w:t>
      </w:r>
      <w:r w:rsidRPr="00C029BD">
        <w:t xml:space="preserve"> (2024) — </w:t>
      </w:r>
      <w:r w:rsidRPr="00C029BD">
        <w:rPr>
          <w:i/>
          <w:iCs/>
        </w:rPr>
        <w:t>Environmental Research.</w:t>
      </w:r>
      <w:r w:rsidRPr="00C029BD">
        <w:t xml:space="preserve"> </w:t>
      </w:r>
      <w:hyperlink r:id="rId64" w:tgtFrame="_blank" w:history="1">
        <w:r w:rsidRPr="00C029BD">
          <w:rPr>
            <w:rStyle w:val="Hyperlink"/>
          </w:rPr>
          <w:t>ScienceDirect</w:t>
        </w:r>
      </w:hyperlink>
    </w:p>
    <w:p w14:paraId="423C6873" w14:textId="77777777" w:rsidR="00C029BD" w:rsidRPr="00C029BD" w:rsidRDefault="00C029BD" w:rsidP="00C029BD">
      <w:pPr>
        <w:numPr>
          <w:ilvl w:val="0"/>
          <w:numId w:val="10"/>
        </w:numPr>
      </w:pPr>
      <w:r w:rsidRPr="00C029BD">
        <w:rPr>
          <w:b/>
          <w:bCs/>
        </w:rPr>
        <w:t>Marco ZEB., et al.</w:t>
      </w:r>
      <w:r w:rsidRPr="00C029BD">
        <w:t xml:space="preserve"> </w:t>
      </w:r>
      <w:r w:rsidRPr="00C029BD">
        <w:rPr>
          <w:i/>
          <w:iCs/>
        </w:rPr>
        <w:t>Effect of abiotic treatments on agricultural plastic waste.</w:t>
      </w:r>
      <w:r w:rsidRPr="00C029BD">
        <w:t xml:space="preserve"> (2024) — </w:t>
      </w:r>
      <w:r w:rsidRPr="00C029BD">
        <w:rPr>
          <w:i/>
          <w:iCs/>
        </w:rPr>
        <w:t>PLoS / PMC review.</w:t>
      </w:r>
      <w:r w:rsidRPr="00C029BD">
        <w:t xml:space="preserve"> </w:t>
      </w:r>
      <w:hyperlink r:id="rId65" w:tgtFrame="_blank" w:history="1">
        <w:r w:rsidRPr="00C029BD">
          <w:rPr>
            <w:rStyle w:val="Hyperlink"/>
          </w:rPr>
          <w:t>PMC</w:t>
        </w:r>
      </w:hyperlink>
    </w:p>
    <w:p w14:paraId="227FD60D" w14:textId="77777777" w:rsidR="00C029BD" w:rsidRPr="00C029BD" w:rsidRDefault="00C029BD" w:rsidP="00C029BD">
      <w:pPr>
        <w:numPr>
          <w:ilvl w:val="0"/>
          <w:numId w:val="10"/>
        </w:numPr>
      </w:pPr>
      <w:r w:rsidRPr="00C029BD">
        <w:rPr>
          <w:b/>
          <w:bCs/>
        </w:rPr>
        <w:t>Zhang N., et al.</w:t>
      </w:r>
      <w:r w:rsidRPr="00C029BD">
        <w:t xml:space="preserve"> </w:t>
      </w:r>
      <w:r w:rsidRPr="00C029BD">
        <w:rPr>
          <w:i/>
          <w:iCs/>
        </w:rPr>
        <w:t>Current advances in biodegradation of polyolefins.</w:t>
      </w:r>
      <w:r w:rsidRPr="00C029BD">
        <w:t xml:space="preserve"> (2022) — </w:t>
      </w:r>
      <w:r w:rsidRPr="00C029BD">
        <w:rPr>
          <w:i/>
          <w:iCs/>
        </w:rPr>
        <w:t>Microorganisms (MDPI).</w:t>
      </w:r>
      <w:r w:rsidRPr="00C029BD">
        <w:t xml:space="preserve"> </w:t>
      </w:r>
      <w:hyperlink r:id="rId66" w:tgtFrame="_blank" w:history="1">
        <w:r w:rsidRPr="00C029BD">
          <w:rPr>
            <w:rStyle w:val="Hyperlink"/>
          </w:rPr>
          <w:t>MDPI</w:t>
        </w:r>
      </w:hyperlink>
    </w:p>
    <w:p w14:paraId="6A67FF84"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3E42"/>
    <w:multiLevelType w:val="multilevel"/>
    <w:tmpl w:val="5104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90470"/>
    <w:multiLevelType w:val="multilevel"/>
    <w:tmpl w:val="C82E4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22BD0"/>
    <w:multiLevelType w:val="multilevel"/>
    <w:tmpl w:val="210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56020"/>
    <w:multiLevelType w:val="multilevel"/>
    <w:tmpl w:val="D5C6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D1B88"/>
    <w:multiLevelType w:val="multilevel"/>
    <w:tmpl w:val="AC9EB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693D9E"/>
    <w:multiLevelType w:val="multilevel"/>
    <w:tmpl w:val="233E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625737"/>
    <w:multiLevelType w:val="multilevel"/>
    <w:tmpl w:val="55B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47041"/>
    <w:multiLevelType w:val="multilevel"/>
    <w:tmpl w:val="894C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652002"/>
    <w:multiLevelType w:val="multilevel"/>
    <w:tmpl w:val="3EE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97C00"/>
    <w:multiLevelType w:val="multilevel"/>
    <w:tmpl w:val="C128B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933053">
    <w:abstractNumId w:val="1"/>
  </w:num>
  <w:num w:numId="2" w16cid:durableId="2013027734">
    <w:abstractNumId w:val="8"/>
  </w:num>
  <w:num w:numId="3" w16cid:durableId="2132436830">
    <w:abstractNumId w:val="2"/>
  </w:num>
  <w:num w:numId="4" w16cid:durableId="802044412">
    <w:abstractNumId w:val="7"/>
  </w:num>
  <w:num w:numId="5" w16cid:durableId="983045093">
    <w:abstractNumId w:val="5"/>
  </w:num>
  <w:num w:numId="6" w16cid:durableId="1351103668">
    <w:abstractNumId w:val="9"/>
  </w:num>
  <w:num w:numId="7" w16cid:durableId="1878739089">
    <w:abstractNumId w:val="0"/>
  </w:num>
  <w:num w:numId="8" w16cid:durableId="1343314320">
    <w:abstractNumId w:val="3"/>
  </w:num>
  <w:num w:numId="9" w16cid:durableId="1311203575">
    <w:abstractNumId w:val="6"/>
  </w:num>
  <w:num w:numId="10" w16cid:durableId="586114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67E"/>
    <w:rsid w:val="004313C7"/>
    <w:rsid w:val="00C029BD"/>
    <w:rsid w:val="00C1667E"/>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6A3535-2DA3-47CA-B3C8-317192032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67E"/>
    <w:rPr>
      <w:rFonts w:eastAsiaTheme="majorEastAsia" w:cstheme="majorBidi"/>
      <w:color w:val="272727" w:themeColor="text1" w:themeTint="D8"/>
    </w:rPr>
  </w:style>
  <w:style w:type="paragraph" w:styleId="Title">
    <w:name w:val="Title"/>
    <w:basedOn w:val="Normal"/>
    <w:next w:val="Normal"/>
    <w:link w:val="TitleChar"/>
    <w:uiPriority w:val="10"/>
    <w:qFormat/>
    <w:rsid w:val="00C16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67E"/>
    <w:pPr>
      <w:spacing w:before="160"/>
      <w:jc w:val="center"/>
    </w:pPr>
    <w:rPr>
      <w:i/>
      <w:iCs/>
      <w:color w:val="404040" w:themeColor="text1" w:themeTint="BF"/>
    </w:rPr>
  </w:style>
  <w:style w:type="character" w:customStyle="1" w:styleId="QuoteChar">
    <w:name w:val="Quote Char"/>
    <w:basedOn w:val="DefaultParagraphFont"/>
    <w:link w:val="Quote"/>
    <w:uiPriority w:val="29"/>
    <w:rsid w:val="00C1667E"/>
    <w:rPr>
      <w:i/>
      <w:iCs/>
      <w:color w:val="404040" w:themeColor="text1" w:themeTint="BF"/>
    </w:rPr>
  </w:style>
  <w:style w:type="paragraph" w:styleId="ListParagraph">
    <w:name w:val="List Paragraph"/>
    <w:basedOn w:val="Normal"/>
    <w:uiPriority w:val="34"/>
    <w:qFormat/>
    <w:rsid w:val="00C1667E"/>
    <w:pPr>
      <w:ind w:left="720"/>
      <w:contextualSpacing/>
    </w:pPr>
  </w:style>
  <w:style w:type="character" w:styleId="IntenseEmphasis">
    <w:name w:val="Intense Emphasis"/>
    <w:basedOn w:val="DefaultParagraphFont"/>
    <w:uiPriority w:val="21"/>
    <w:qFormat/>
    <w:rsid w:val="00C1667E"/>
    <w:rPr>
      <w:i/>
      <w:iCs/>
      <w:color w:val="0F4761" w:themeColor="accent1" w:themeShade="BF"/>
    </w:rPr>
  </w:style>
  <w:style w:type="paragraph" w:styleId="IntenseQuote">
    <w:name w:val="Intense Quote"/>
    <w:basedOn w:val="Normal"/>
    <w:next w:val="Normal"/>
    <w:link w:val="IntenseQuoteChar"/>
    <w:uiPriority w:val="30"/>
    <w:qFormat/>
    <w:rsid w:val="00C16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67E"/>
    <w:rPr>
      <w:i/>
      <w:iCs/>
      <w:color w:val="0F4761" w:themeColor="accent1" w:themeShade="BF"/>
    </w:rPr>
  </w:style>
  <w:style w:type="character" w:styleId="IntenseReference">
    <w:name w:val="Intense Reference"/>
    <w:basedOn w:val="DefaultParagraphFont"/>
    <w:uiPriority w:val="32"/>
    <w:qFormat/>
    <w:rsid w:val="00C1667E"/>
    <w:rPr>
      <w:b/>
      <w:bCs/>
      <w:smallCaps/>
      <w:color w:val="0F4761" w:themeColor="accent1" w:themeShade="BF"/>
      <w:spacing w:val="5"/>
    </w:rPr>
  </w:style>
  <w:style w:type="character" w:styleId="Hyperlink">
    <w:name w:val="Hyperlink"/>
    <w:basedOn w:val="DefaultParagraphFont"/>
    <w:uiPriority w:val="99"/>
    <w:unhideWhenUsed/>
    <w:rsid w:val="00C029BD"/>
    <w:rPr>
      <w:color w:val="467886" w:themeColor="hyperlink"/>
      <w:u w:val="single"/>
    </w:rPr>
  </w:style>
  <w:style w:type="character" w:styleId="UnresolvedMention">
    <w:name w:val="Unresolved Mention"/>
    <w:basedOn w:val="DefaultParagraphFont"/>
    <w:uiPriority w:val="99"/>
    <w:semiHidden/>
    <w:unhideWhenUsed/>
    <w:rsid w:val="00C02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mc.ncbi.nlm.nih.gov/articles/PMC10857199/?utm_source=chatgpt.com" TargetMode="External"/><Relationship Id="rId21" Type="http://schemas.openxmlformats.org/officeDocument/2006/relationships/hyperlink" Target="https://pmc.ncbi.nlm.nih.gov/articles/PMC8941889/?utm_source=chatgpt.com" TargetMode="External"/><Relationship Id="rId34" Type="http://schemas.openxmlformats.org/officeDocument/2006/relationships/hyperlink" Target="https://www.sciencedirect.com/science/article/abs/pii/S0141391022003342?utm_source=chatgpt.com" TargetMode="External"/><Relationship Id="rId42" Type="http://schemas.openxmlformats.org/officeDocument/2006/relationships/hyperlink" Target="https://link.springer.com/article/10.1007/s42452-022-05143-4?utm_source=chatgpt.com" TargetMode="External"/><Relationship Id="rId47" Type="http://schemas.openxmlformats.org/officeDocument/2006/relationships/hyperlink" Target="https://www.nature.com/articles/s41467-023-40777-x?utm_source=chatgpt.com" TargetMode="External"/><Relationship Id="rId50" Type="http://schemas.openxmlformats.org/officeDocument/2006/relationships/hyperlink" Target="https://www.nature.com/articles/s41467-023-40777-x?utm_source=chatgpt.com" TargetMode="External"/><Relationship Id="rId55" Type="http://schemas.openxmlformats.org/officeDocument/2006/relationships/hyperlink" Target="https://www.nature.com/articles/s41467-023-40777-x?utm_source=chatgpt.com" TargetMode="External"/><Relationship Id="rId63" Type="http://schemas.openxmlformats.org/officeDocument/2006/relationships/hyperlink" Target="https://www.sciencedirect.com/science/article/abs/pii/S0304389421021816?utm_source=chatgpt.com" TargetMode="External"/><Relationship Id="rId68" Type="http://schemas.openxmlformats.org/officeDocument/2006/relationships/theme" Target="theme/theme1.xml"/><Relationship Id="rId7" Type="http://schemas.openxmlformats.org/officeDocument/2006/relationships/hyperlink" Target="https://www.sciencedirect.com/science/article/abs/pii/S0141391022003342?utm_source=chatgpt.com" TargetMode="External"/><Relationship Id="rId2" Type="http://schemas.openxmlformats.org/officeDocument/2006/relationships/styles" Target="styles.xml"/><Relationship Id="rId16" Type="http://schemas.openxmlformats.org/officeDocument/2006/relationships/hyperlink" Target="https://www.sciencedirect.com/science/article/abs/pii/S0304389421021816?utm_source=chatgpt.com" TargetMode="External"/><Relationship Id="rId29" Type="http://schemas.openxmlformats.org/officeDocument/2006/relationships/hyperlink" Target="https://pmc.ncbi.nlm.nih.gov/articles/PMC10857199/?utm_source=chatgpt.com" TargetMode="External"/><Relationship Id="rId11" Type="http://schemas.openxmlformats.org/officeDocument/2006/relationships/hyperlink" Target="https://pmc.ncbi.nlm.nih.gov/articles/PMC9230134/?utm_source=chatgpt.com" TargetMode="External"/><Relationship Id="rId24" Type="http://schemas.openxmlformats.org/officeDocument/2006/relationships/hyperlink" Target="https://www.nature.com/articles/s41467-023-40777-x?utm_source=chatgpt.com" TargetMode="External"/><Relationship Id="rId32" Type="http://schemas.openxmlformats.org/officeDocument/2006/relationships/hyperlink" Target="https://pmc.ncbi.nlm.nih.gov/articles/PMC8941889/?utm_source=chatgpt.com" TargetMode="External"/><Relationship Id="rId37" Type="http://schemas.openxmlformats.org/officeDocument/2006/relationships/hyperlink" Target="https://pmc.ncbi.nlm.nih.gov/articles/PMC9230134/?utm_source=chatgpt.com" TargetMode="External"/><Relationship Id="rId40" Type="http://schemas.openxmlformats.org/officeDocument/2006/relationships/hyperlink" Target="https://www.mdpi.com/2076-2607/10/8/1537?utm_source=chatgpt.com" TargetMode="External"/><Relationship Id="rId45" Type="http://schemas.openxmlformats.org/officeDocument/2006/relationships/hyperlink" Target="https://www.sciencedirect.com/science/article/abs/pii/S0141391022003342?utm_source=chatgpt.com" TargetMode="External"/><Relationship Id="rId53" Type="http://schemas.openxmlformats.org/officeDocument/2006/relationships/hyperlink" Target="https://www.sciencedirect.com/science/article/abs/pii/S0141391022003342?utm_source=chatgpt.com" TargetMode="External"/><Relationship Id="rId58" Type="http://schemas.openxmlformats.org/officeDocument/2006/relationships/hyperlink" Target="https://pmc.ncbi.nlm.nih.gov/articles/PMC8941889/?utm_source=chatgpt.com" TargetMode="External"/><Relationship Id="rId66" Type="http://schemas.openxmlformats.org/officeDocument/2006/relationships/hyperlink" Target="https://www.mdpi.com/2076-2607/10/8/1537?utm_source=chatgpt.com" TargetMode="External"/><Relationship Id="rId5" Type="http://schemas.openxmlformats.org/officeDocument/2006/relationships/hyperlink" Target="https://www.mdpi.com/2076-2607/10/8/1537?utm_source=chatgpt.com" TargetMode="External"/><Relationship Id="rId61" Type="http://schemas.openxmlformats.org/officeDocument/2006/relationships/hyperlink" Target="https://www.nature.com/articles/s41467-023-40777-x?utm_source=chatgpt.com" TargetMode="External"/><Relationship Id="rId19" Type="http://schemas.openxmlformats.org/officeDocument/2006/relationships/hyperlink" Target="https://pmc.ncbi.nlm.nih.gov/articles/PMC10150012/?utm_source=chatgpt.com" TargetMode="External"/><Relationship Id="rId14" Type="http://schemas.openxmlformats.org/officeDocument/2006/relationships/hyperlink" Target="https://pmc.ncbi.nlm.nih.gov/articles/PMC8941889/?utm_source=chatgpt.com" TargetMode="External"/><Relationship Id="rId22" Type="http://schemas.openxmlformats.org/officeDocument/2006/relationships/hyperlink" Target="https://pmc.ncbi.nlm.nih.gov/articles/PMC10857199/?utm_source=chatgpt.com" TargetMode="External"/><Relationship Id="rId27" Type="http://schemas.openxmlformats.org/officeDocument/2006/relationships/hyperlink" Target="https://www.mdpi.com/2076-2607/10/8/1537?utm_source=chatgpt.com" TargetMode="External"/><Relationship Id="rId30" Type="http://schemas.openxmlformats.org/officeDocument/2006/relationships/hyperlink" Target="https://www.sciencedirect.com/science/article/abs/pii/S0141391022003342?utm_source=chatgpt.com" TargetMode="External"/><Relationship Id="rId35" Type="http://schemas.openxmlformats.org/officeDocument/2006/relationships/hyperlink" Target="https://www.nature.com/articles/s41467-023-40777-x?utm_source=chatgpt.com" TargetMode="External"/><Relationship Id="rId43" Type="http://schemas.openxmlformats.org/officeDocument/2006/relationships/hyperlink" Target="https://pmc.ncbi.nlm.nih.gov/articles/PMC9230134/?utm_source=chatgpt.com" TargetMode="External"/><Relationship Id="rId48" Type="http://schemas.openxmlformats.org/officeDocument/2006/relationships/hyperlink" Target="https://www.sciencedirect.com/science/article/abs/pii/S0141391022003342?utm_source=chatgpt.com" TargetMode="External"/><Relationship Id="rId56" Type="http://schemas.openxmlformats.org/officeDocument/2006/relationships/hyperlink" Target="https://www.nature.com/articles/s41467-023-40777-x?utm_source=chatgpt.com" TargetMode="External"/><Relationship Id="rId64" Type="http://schemas.openxmlformats.org/officeDocument/2006/relationships/hyperlink" Target="https://www.sciencedirect.com/science/article/pii/S0048969723066202?utm_source=chatgpt.com" TargetMode="External"/><Relationship Id="rId8" Type="http://schemas.openxmlformats.org/officeDocument/2006/relationships/hyperlink" Target="https://pmc.ncbi.nlm.nih.gov/articles/PMC8941889/?utm_source=chatgpt.com" TargetMode="External"/><Relationship Id="rId51" Type="http://schemas.openxmlformats.org/officeDocument/2006/relationships/hyperlink" Target="https://www.sciencedirect.com/science/article/abs/pii/S0141391022003342?utm_source=chatgpt.com" TargetMode="External"/><Relationship Id="rId3" Type="http://schemas.openxmlformats.org/officeDocument/2006/relationships/settings" Target="settings.xml"/><Relationship Id="rId12" Type="http://schemas.openxmlformats.org/officeDocument/2006/relationships/hyperlink" Target="https://www.mdpi.com/2076-2607/10/8/1537?utm_source=chatgpt.com" TargetMode="External"/><Relationship Id="rId17" Type="http://schemas.openxmlformats.org/officeDocument/2006/relationships/hyperlink" Target="https://www.nature.com/articles/s41467-023-40777-x?utm_source=chatgpt.com" TargetMode="External"/><Relationship Id="rId25" Type="http://schemas.openxmlformats.org/officeDocument/2006/relationships/hyperlink" Target="https://www.sciencedirect.com/science/article/abs/pii/S0304389421021816?utm_source=chatgpt.com" TargetMode="External"/><Relationship Id="rId33" Type="http://schemas.openxmlformats.org/officeDocument/2006/relationships/hyperlink" Target="https://www.nature.com/articles/s41467-023-40777-x?utm_source=chatgpt.com" TargetMode="External"/><Relationship Id="rId38" Type="http://schemas.openxmlformats.org/officeDocument/2006/relationships/hyperlink" Target="https://www.sciencedirect.com/science/article/pii/S0147651323007066?utm_source=chatgpt.com" TargetMode="External"/><Relationship Id="rId46" Type="http://schemas.openxmlformats.org/officeDocument/2006/relationships/hyperlink" Target="https://pmc.ncbi.nlm.nih.gov/articles/PMC10150012/?utm_source=chatgpt.com" TargetMode="External"/><Relationship Id="rId59" Type="http://schemas.openxmlformats.org/officeDocument/2006/relationships/hyperlink" Target="https://pmc.ncbi.nlm.nih.gov/articles/PMC9230134/?utm_source=chatgpt.com" TargetMode="External"/><Relationship Id="rId67" Type="http://schemas.openxmlformats.org/officeDocument/2006/relationships/fontTable" Target="fontTable.xml"/><Relationship Id="rId20" Type="http://schemas.openxmlformats.org/officeDocument/2006/relationships/hyperlink" Target="https://www.sciencedirect.com/science/article/abs/pii/S0141391022003342?utm_source=chatgpt.com" TargetMode="External"/><Relationship Id="rId41" Type="http://schemas.openxmlformats.org/officeDocument/2006/relationships/hyperlink" Target="https://pmc.ncbi.nlm.nih.gov/articles/PMC8941889/?utm_source=chatgpt.com" TargetMode="External"/><Relationship Id="rId54" Type="http://schemas.openxmlformats.org/officeDocument/2006/relationships/hyperlink" Target="https://pmc.ncbi.nlm.nih.gov/articles/PMC10857199/?utm_source=chatgpt.com" TargetMode="External"/><Relationship Id="rId62" Type="http://schemas.openxmlformats.org/officeDocument/2006/relationships/hyperlink" Target="https://www.sciencedirect.com/science/article/abs/pii/S0956053X22003038?utm_source=chatgpt.com" TargetMode="External"/><Relationship Id="rId1" Type="http://schemas.openxmlformats.org/officeDocument/2006/relationships/numbering" Target="numbering.xml"/><Relationship Id="rId6" Type="http://schemas.openxmlformats.org/officeDocument/2006/relationships/hyperlink" Target="https://www.sciencedirect.com/science/article/abs/pii/S0141391022003342?utm_source=chatgpt.com" TargetMode="External"/><Relationship Id="rId15" Type="http://schemas.openxmlformats.org/officeDocument/2006/relationships/hyperlink" Target="https://pmc.ncbi.nlm.nih.gov/articles/PMC9230134/?utm_source=chatgpt.com" TargetMode="External"/><Relationship Id="rId23" Type="http://schemas.openxmlformats.org/officeDocument/2006/relationships/hyperlink" Target="https://www.mdpi.com/2076-2607/10/8/1537?utm_source=chatgpt.com" TargetMode="External"/><Relationship Id="rId28" Type="http://schemas.openxmlformats.org/officeDocument/2006/relationships/hyperlink" Target="https://pmc.ncbi.nlm.nih.gov/articles/PMC8941889/?utm_source=chatgpt.com" TargetMode="External"/><Relationship Id="rId36" Type="http://schemas.openxmlformats.org/officeDocument/2006/relationships/hyperlink" Target="https://pmc.ncbi.nlm.nih.gov/articles/PMC8941889/?utm_source=chatgpt.com" TargetMode="External"/><Relationship Id="rId49" Type="http://schemas.openxmlformats.org/officeDocument/2006/relationships/hyperlink" Target="https://pmc.ncbi.nlm.nih.gov/articles/PMC9230134/?utm_source=chatgpt.com" TargetMode="External"/><Relationship Id="rId57" Type="http://schemas.openxmlformats.org/officeDocument/2006/relationships/hyperlink" Target="https://pmc.ncbi.nlm.nih.gov/articles/PMC10150012/?utm_source=chatgpt.com" TargetMode="External"/><Relationship Id="rId10" Type="http://schemas.openxmlformats.org/officeDocument/2006/relationships/hyperlink" Target="https://pmc.ncbi.nlm.nih.gov/articles/PMC8941889/?utm_source=chatgpt.com" TargetMode="External"/><Relationship Id="rId31" Type="http://schemas.openxmlformats.org/officeDocument/2006/relationships/hyperlink" Target="https://pmc.ncbi.nlm.nih.gov/articles/PMC9230134/?utm_source=chatgpt.com" TargetMode="External"/><Relationship Id="rId44" Type="http://schemas.openxmlformats.org/officeDocument/2006/relationships/hyperlink" Target="https://www.sciencedirect.com/science/article/abs/pii/S0141391022003342?utm_source=chatgpt.com" TargetMode="External"/><Relationship Id="rId52" Type="http://schemas.openxmlformats.org/officeDocument/2006/relationships/hyperlink" Target="https://pmc.ncbi.nlm.nih.gov/articles/PMC10857199/?utm_source=chatgpt.com" TargetMode="External"/><Relationship Id="rId60" Type="http://schemas.openxmlformats.org/officeDocument/2006/relationships/hyperlink" Target="https://www.sciencedirect.com/science/article/abs/pii/S0141391022003342?utm_source=chatgpt.com" TargetMode="External"/><Relationship Id="rId65" Type="http://schemas.openxmlformats.org/officeDocument/2006/relationships/hyperlink" Target="https://pmc.ncbi.nlm.nih.gov/articles/PMC10857199/?utm_source=chatgpt.com" TargetMode="External"/><Relationship Id="rId4" Type="http://schemas.openxmlformats.org/officeDocument/2006/relationships/webSettings" Target="webSettings.xml"/><Relationship Id="rId9" Type="http://schemas.openxmlformats.org/officeDocument/2006/relationships/hyperlink" Target="https://www.sciencedirect.com/science/article/abs/pii/S0956053X22003038?utm_source=chatgpt.com" TargetMode="External"/><Relationship Id="rId13" Type="http://schemas.openxmlformats.org/officeDocument/2006/relationships/hyperlink" Target="https://www.sciencedirect.com/science/article/abs/pii/S0957582025010110?utm_source=chatgpt.com" TargetMode="External"/><Relationship Id="rId18" Type="http://schemas.openxmlformats.org/officeDocument/2006/relationships/hyperlink" Target="https://www.sciencedirect.com/science/article/abs/pii/S0141391022003342?utm_source=chatgpt.com" TargetMode="External"/><Relationship Id="rId39" Type="http://schemas.openxmlformats.org/officeDocument/2006/relationships/hyperlink" Target="https://www.sciencedirect.com/science/article/abs/pii/S095758202501011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4410</Words>
  <Characters>25140</Characters>
  <Application>Microsoft Office Word</Application>
  <DocSecurity>0</DocSecurity>
  <Lines>209</Lines>
  <Paragraphs>58</Paragraphs>
  <ScaleCrop>false</ScaleCrop>
  <Company/>
  <LinksUpToDate>false</LinksUpToDate>
  <CharactersWithSpaces>29492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2025-10-26T01:22:00Z</dcterms:created>
  <dcterms:modified xsi:type="dcterms:W3CDTF">2025-10-26T01:22:00Z</dcterms:modified>
</cp:coreProperties>
</file>