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9D4C" w14:textId="77777777" w:rsidR="00351C9C" w:rsidRPr="00351C9C" w:rsidRDefault="00351C9C" w:rsidP="00351C9C">
      <w:pPr>
        <w:rPr>
          <w:b/>
          <w:bCs/>
        </w:rPr>
      </w:pPr>
      <w:r w:rsidRPr="00351C9C">
        <w:rPr>
          <w:b/>
          <w:bCs/>
        </w:rPr>
        <w:t>Review Paper Outline and Content: PE Plastic Biodegradation by Microbial Community</w:t>
      </w:r>
    </w:p>
    <w:p w14:paraId="45754E3E" w14:textId="77777777" w:rsidR="00351C9C" w:rsidRPr="00351C9C" w:rsidRDefault="00351C9C" w:rsidP="00351C9C">
      <w:r w:rsidRPr="00351C9C">
        <w:rPr>
          <w:b/>
          <w:bCs/>
        </w:rPr>
        <w:t>Title:</w:t>
      </w:r>
      <w:r w:rsidRPr="00351C9C">
        <w:t xml:space="preserve"> Beyond the Hype: Critical Analysis of Polyethylene Biodegradation by Microbial Consortia</w:t>
      </w:r>
    </w:p>
    <w:p w14:paraId="40476E00" w14:textId="77777777" w:rsidR="00351C9C" w:rsidRPr="00351C9C" w:rsidRDefault="00351C9C" w:rsidP="00351C9C">
      <w:r w:rsidRPr="00351C9C">
        <w:rPr>
          <w:b/>
          <w:bCs/>
        </w:rPr>
        <w:t>Authors:</w:t>
      </w:r>
      <w:r w:rsidRPr="00351C9C">
        <w:t xml:space="preserve"> [Expert Researcher Name], [Science Editor Name]</w:t>
      </w:r>
    </w:p>
    <w:p w14:paraId="0F53C8CD" w14:textId="77777777" w:rsidR="00351C9C" w:rsidRPr="00351C9C" w:rsidRDefault="00351C9C" w:rsidP="00351C9C">
      <w:pPr>
        <w:rPr>
          <w:b/>
          <w:bCs/>
        </w:rPr>
      </w:pPr>
      <w:r w:rsidRPr="00351C9C">
        <w:rPr>
          <w:b/>
          <w:bCs/>
        </w:rPr>
        <w:t>Abstract</w:t>
      </w:r>
    </w:p>
    <w:p w14:paraId="1C4B08F0" w14:textId="77777777" w:rsidR="00351C9C" w:rsidRPr="00351C9C" w:rsidRDefault="00351C9C" w:rsidP="00351C9C">
      <w:r w:rsidRPr="00351C9C">
        <w:t xml:space="preserve">Polyethylene (PE), a dominant commodity plastic, exhibits recalcitrance in the environment, leading to persistent global pollution. While individual microbial strains capable of limited PE degradation have been identified, the ecologically relevant and most promising avenue for bioremediation lies in the synergistic action of </w:t>
      </w:r>
      <w:r w:rsidRPr="00351C9C">
        <w:rPr>
          <w:b/>
          <w:bCs/>
        </w:rPr>
        <w:t>microbial communities (consortia)</w:t>
      </w:r>
      <w:r w:rsidRPr="00351C9C">
        <w:t xml:space="preserve">. This review critically assesses the current state of knowledge regarding PE biodegradation by these complex systems. We dissect the multi-step process—from bio-adhesion and abiotic pre-treatment necessity to enzymatic hydrolysis and metabolic assimilation—highlighting the distinct advantages consortia offer over monocultures, particularly in real-world environmental matrices. Significant controversies remain, including the true extent of mineralization </w:t>
      </w:r>
      <w:r w:rsidRPr="00351C9C">
        <w:rPr>
          <w:i/>
          <w:iCs/>
        </w:rPr>
        <w:t>versus</w:t>
      </w:r>
      <w:r w:rsidRPr="00351C9C">
        <w:t xml:space="preserve"> depolymerization, the critical role of pre-treatment, and the difficulty in translating lab-scale success to field applications. We provide a comparative analysis of different methodological approaches (e.g., activated sludge, marine biofilms, specialized enrichment cultures) and emphasize the critical knowledge gaps concerning community dynamics, interspecies metabolic transfer, and the molecular mechanisms governing PE-degrading enzyme secretion and regulation </w:t>
      </w:r>
      <w:r w:rsidRPr="00351C9C">
        <w:rPr>
          <w:i/>
          <w:iCs/>
        </w:rPr>
        <w:t>in situ</w:t>
      </w:r>
      <w:r w:rsidRPr="00351C9C">
        <w:t>. Finally, we project the trajectory of this field, advocating for systems biology approaches and synthetic microbial ecology to engineer robust, efficient consortia for sustainable PE waste management within the next decade.</w:t>
      </w:r>
    </w:p>
    <w:p w14:paraId="05A295F7" w14:textId="77777777" w:rsidR="00351C9C" w:rsidRPr="00351C9C" w:rsidRDefault="00351C9C" w:rsidP="00351C9C">
      <w:r w:rsidRPr="00351C9C">
        <w:pict w14:anchorId="00DB728E">
          <v:rect id="_x0000_i1073" style="width:0;height:1.5pt" o:hralign="center" o:hrstd="t" o:hr="t" fillcolor="#a0a0a0" stroked="f"/>
        </w:pict>
      </w:r>
    </w:p>
    <w:p w14:paraId="495FCFBD" w14:textId="77777777" w:rsidR="00351C9C" w:rsidRPr="00351C9C" w:rsidRDefault="00351C9C" w:rsidP="00351C9C">
      <w:pPr>
        <w:rPr>
          <w:b/>
          <w:bCs/>
        </w:rPr>
      </w:pPr>
      <w:r w:rsidRPr="00351C9C">
        <w:rPr>
          <w:b/>
          <w:bCs/>
        </w:rPr>
        <w:t>1. Introduction: The Polyethylene Challenge and the Promise of Biodegradation</w:t>
      </w:r>
    </w:p>
    <w:p w14:paraId="7BB16989" w14:textId="77777777" w:rsidR="00351C9C" w:rsidRPr="00351C9C" w:rsidRDefault="00351C9C" w:rsidP="00351C9C">
      <w:r w:rsidRPr="00351C9C">
        <w:t xml:space="preserve">Polyethylene (PE) production, encompassing low-density (LDPE), high-density (HDPE), and linear low-density (LLDPE) forms, constitutes over one-third of global plastic output [1]. Its chemical structure—a simple, high-molecular-weight polymer of ethylene monomers—imparts high chemical inertness and low solubility, resulting in exceptional environmental persistence. The global accumulation of PE waste necessitates urgent, scalable solutions beyond mechanical recycling, with </w:t>
      </w:r>
      <w:r w:rsidRPr="00351C9C">
        <w:rPr>
          <w:b/>
          <w:bCs/>
        </w:rPr>
        <w:t>biological degradation</w:t>
      </w:r>
      <w:r w:rsidRPr="00351C9C">
        <w:t xml:space="preserve"> emerging as a compelling, environmentally benign pathway.</w:t>
      </w:r>
    </w:p>
    <w:p w14:paraId="602AB1D7" w14:textId="77777777" w:rsidR="00351C9C" w:rsidRPr="00351C9C" w:rsidRDefault="00351C9C" w:rsidP="00351C9C">
      <w:r w:rsidRPr="00351C9C">
        <w:t xml:space="preserve">While the inherent thermodynamic stability of the C-C backbone suggests extreme recalcitrance, evidence of microbial attack, primarily on low-molecular-weight fragments </w:t>
      </w:r>
      <w:r w:rsidRPr="00351C9C">
        <w:lastRenderedPageBreak/>
        <w:t xml:space="preserve">or oxidized surfaces, has accumulated over the past two decades. Initial studies focused on isolating individual strains, often </w:t>
      </w:r>
      <w:r w:rsidRPr="00351C9C">
        <w:rPr>
          <w:b/>
          <w:bCs/>
        </w:rPr>
        <w:t>actinomycetes</w:t>
      </w:r>
      <w:r w:rsidRPr="00351C9C">
        <w:t xml:space="preserve"> or </w:t>
      </w:r>
      <w:r w:rsidRPr="00351C9C">
        <w:rPr>
          <w:b/>
          <w:bCs/>
        </w:rPr>
        <w:t>fungi</w:t>
      </w:r>
      <w:r w:rsidRPr="00351C9C">
        <w:t xml:space="preserve">, but these efforts are limited by low degradation rates and substrate specificity [2]. The shift in focus towards </w:t>
      </w:r>
      <w:r w:rsidRPr="00351C9C">
        <w:rPr>
          <w:b/>
          <w:bCs/>
        </w:rPr>
        <w:t>microbial communities (consortia)</w:t>
      </w:r>
      <w:r w:rsidRPr="00351C9C">
        <w:t xml:space="preserve"> reflects the ecological reality—in environmental settings like soil, wastewater, and marine environments, plastic surfaces are colonized by complex biofilms where synergistic metabolism is the norm. This review argues that the multi-functional capability of consortia is essential for overcoming the complex chemical and physical barriers posed by bulk PE.</w:t>
      </w:r>
    </w:p>
    <w:p w14:paraId="60F575B9" w14:textId="77777777" w:rsidR="00351C9C" w:rsidRPr="00351C9C" w:rsidRDefault="00351C9C" w:rsidP="00351C9C">
      <w:r w:rsidRPr="00351C9C">
        <w:pict w14:anchorId="7DC670AC">
          <v:rect id="_x0000_i1074" style="width:0;height:1.5pt" o:hralign="center" o:hrstd="t" o:hr="t" fillcolor="#a0a0a0" stroked="f"/>
        </w:pict>
      </w:r>
    </w:p>
    <w:p w14:paraId="43B21445" w14:textId="77777777" w:rsidR="00351C9C" w:rsidRPr="00351C9C" w:rsidRDefault="00351C9C" w:rsidP="00351C9C">
      <w:pPr>
        <w:rPr>
          <w:b/>
          <w:bCs/>
        </w:rPr>
      </w:pPr>
      <w:r w:rsidRPr="00351C9C">
        <w:rPr>
          <w:b/>
          <w:bCs/>
        </w:rPr>
        <w:t>2. The Multi-Step Process of PE Biodegradation</w:t>
      </w:r>
    </w:p>
    <w:p w14:paraId="21C081A5" w14:textId="77777777" w:rsidR="00351C9C" w:rsidRPr="00351C9C" w:rsidRDefault="00351C9C" w:rsidP="00351C9C">
      <w:r w:rsidRPr="00351C9C">
        <w:t>Effective PE biodegradation is not a single enzymatic reaction but a sequential process requiring multiple, often complementary, steps, which are optimally distributed within a microbial consortium.</w:t>
      </w:r>
    </w:p>
    <w:p w14:paraId="713A63F7" w14:textId="77777777" w:rsidR="00351C9C" w:rsidRPr="00351C9C" w:rsidRDefault="00351C9C" w:rsidP="00351C9C">
      <w:pPr>
        <w:rPr>
          <w:b/>
          <w:bCs/>
        </w:rPr>
      </w:pPr>
      <w:r w:rsidRPr="00351C9C">
        <w:rPr>
          <w:b/>
          <w:bCs/>
        </w:rPr>
        <w:t>2.1. The Role of Abiotic and Biotic Pre-treatment</w:t>
      </w:r>
    </w:p>
    <w:p w14:paraId="6819F071" w14:textId="77777777" w:rsidR="00351C9C" w:rsidRPr="00351C9C" w:rsidRDefault="00351C9C" w:rsidP="00351C9C">
      <w:r w:rsidRPr="00351C9C">
        <w:t xml:space="preserve">Native, high-molecular-weight PE is highly crystalline (up to 80% for HDPE) and lacks functional groups accessible to typical hydrolytic enzymes. Therefore, a </w:t>
      </w:r>
      <w:r w:rsidRPr="00351C9C">
        <w:rPr>
          <w:b/>
          <w:bCs/>
        </w:rPr>
        <w:t>prerequisite for biodegradation</w:t>
      </w:r>
      <w:r w:rsidRPr="00351C9C">
        <w:t xml:space="preserve"> is the reduction of molecular weight and the introduction of functional groups (e.g., hydroxyl, carbonyl, carboxyl) [3].</w:t>
      </w:r>
    </w:p>
    <w:p w14:paraId="462A06AD" w14:textId="77777777" w:rsidR="00351C9C" w:rsidRPr="00351C9C" w:rsidRDefault="00351C9C" w:rsidP="00351C9C">
      <w:pPr>
        <w:numPr>
          <w:ilvl w:val="0"/>
          <w:numId w:val="1"/>
        </w:numPr>
      </w:pPr>
      <w:r w:rsidRPr="00351C9C">
        <w:rPr>
          <w:b/>
          <w:bCs/>
        </w:rPr>
        <w:t>Abiotic Pre-treatment:</w:t>
      </w:r>
      <w:r w:rsidRPr="00351C9C">
        <w:t xml:space="preserve"> </w:t>
      </w:r>
      <w:r w:rsidRPr="00351C9C">
        <w:rPr>
          <w:b/>
          <w:bCs/>
        </w:rPr>
        <w:t>Thermo-oxidation</w:t>
      </w:r>
      <w:r w:rsidRPr="00351C9C">
        <w:t xml:space="preserve"> (heat), </w:t>
      </w:r>
      <w:r w:rsidRPr="00351C9C">
        <w:rPr>
          <w:b/>
          <w:bCs/>
        </w:rPr>
        <w:t>UV irradiation</w:t>
      </w:r>
      <w:r w:rsidRPr="00351C9C">
        <w:t xml:space="preserve"> (photo-oxidation), or </w:t>
      </w:r>
      <w:r w:rsidRPr="00351C9C">
        <w:rPr>
          <w:b/>
          <w:bCs/>
        </w:rPr>
        <w:t>chemical treatment</w:t>
      </w:r>
      <w:r w:rsidRPr="00351C9C">
        <w:t xml:space="preserve"> (e.g., acid etching) are necessary to initiate chain scission and increase hydrophilicity. The resulting </w:t>
      </w:r>
      <w:r w:rsidRPr="00351C9C">
        <w:rPr>
          <w:b/>
          <w:bCs/>
        </w:rPr>
        <w:t>oxy-functionalized surface</w:t>
      </w:r>
      <w:r w:rsidRPr="00351C9C">
        <w:t xml:space="preserve"> is significantly more susceptible to microbial attachment and enzymatic action [4]. </w:t>
      </w:r>
      <w:r w:rsidRPr="00351C9C">
        <w:rPr>
          <w:i/>
          <w:iCs/>
        </w:rPr>
        <w:t>Controversy:</w:t>
      </w:r>
      <w:r w:rsidRPr="00351C9C">
        <w:t xml:space="preserve"> The necessity of </w:t>
      </w:r>
      <w:r w:rsidRPr="00351C9C">
        <w:rPr>
          <w:i/>
          <w:iCs/>
        </w:rPr>
        <w:t>prior</w:t>
      </w:r>
      <w:r w:rsidRPr="00351C9C">
        <w:t xml:space="preserve"> abiotic treatment is a major point of debate; while it undoubtedly accelerates the process, some studies claim slow degradation of non-pretreated PE, potentially relying on the production of strong oxidants by the microbes themselves [5].</w:t>
      </w:r>
    </w:p>
    <w:p w14:paraId="554EFCB4" w14:textId="77777777" w:rsidR="00351C9C" w:rsidRPr="00351C9C" w:rsidRDefault="00351C9C" w:rsidP="00351C9C">
      <w:pPr>
        <w:numPr>
          <w:ilvl w:val="0"/>
          <w:numId w:val="1"/>
        </w:numPr>
      </w:pPr>
      <w:r w:rsidRPr="00351C9C">
        <w:rPr>
          <w:b/>
          <w:bCs/>
        </w:rPr>
        <w:t>Bio-adhesion and Biofilm Formation:</w:t>
      </w:r>
      <w:r w:rsidRPr="00351C9C">
        <w:t xml:space="preserve"> The formation of a </w:t>
      </w:r>
      <w:r w:rsidRPr="00351C9C">
        <w:rPr>
          <w:b/>
          <w:bCs/>
        </w:rPr>
        <w:t>biofilm</w:t>
      </w:r>
      <w:r w:rsidRPr="00351C9C">
        <w:t xml:space="preserve"> is the critical first step in biotic degradation. Extracellular polymeric substances (EPS) facilitate adhesion, concentrating the active biomass and creating a localized environment for enzyme secretion and substrate modification . Consortia are inherently better at this, utilizing diverse attachment mechanisms across different species.</w:t>
      </w:r>
    </w:p>
    <w:p w14:paraId="524167C5" w14:textId="77777777" w:rsidR="00351C9C" w:rsidRPr="00351C9C" w:rsidRDefault="00351C9C" w:rsidP="00351C9C">
      <w:pPr>
        <w:rPr>
          <w:b/>
          <w:bCs/>
        </w:rPr>
      </w:pPr>
      <w:r w:rsidRPr="00351C9C">
        <w:rPr>
          <w:b/>
          <w:bCs/>
        </w:rPr>
        <w:t>2.2. Extracellular Depolymerization and Chain Scission</w:t>
      </w:r>
    </w:p>
    <w:p w14:paraId="3236DD5D" w14:textId="77777777" w:rsidR="00351C9C" w:rsidRPr="00351C9C" w:rsidRDefault="00351C9C" w:rsidP="00351C9C">
      <w:r w:rsidRPr="00351C9C">
        <w:t>Once the surface is oxidized, microorganisms secrete enzymes to cleave the polymer chains.</w:t>
      </w:r>
    </w:p>
    <w:p w14:paraId="7DD708BB" w14:textId="77777777" w:rsidR="00351C9C" w:rsidRPr="00351C9C" w:rsidRDefault="00351C9C" w:rsidP="00351C9C">
      <w:pPr>
        <w:numPr>
          <w:ilvl w:val="0"/>
          <w:numId w:val="2"/>
        </w:numPr>
      </w:pPr>
      <w:r w:rsidRPr="00351C9C">
        <w:rPr>
          <w:b/>
          <w:bCs/>
        </w:rPr>
        <w:lastRenderedPageBreak/>
        <w:t>Oxidative Attack:</w:t>
      </w:r>
      <w:r w:rsidRPr="00351C9C">
        <w:t xml:space="preserve"> Enzymes like </w:t>
      </w:r>
      <w:r w:rsidRPr="00351C9C">
        <w:rPr>
          <w:b/>
          <w:bCs/>
        </w:rPr>
        <w:t>laccases</w:t>
      </w:r>
      <w:r w:rsidRPr="00351C9C">
        <w:t xml:space="preserve">, </w:t>
      </w:r>
      <w:r w:rsidRPr="00351C9C">
        <w:rPr>
          <w:b/>
          <w:bCs/>
        </w:rPr>
        <w:t>manganese peroxidases (MnPs)</w:t>
      </w:r>
      <w:r w:rsidRPr="00351C9C">
        <w:t xml:space="preserve">, and </w:t>
      </w:r>
      <w:r w:rsidRPr="00351C9C">
        <w:rPr>
          <w:b/>
          <w:bCs/>
        </w:rPr>
        <w:t>cytochrome P450 monooxygenases</w:t>
      </w:r>
      <w:r w:rsidRPr="00351C9C">
        <w:t xml:space="preserve"> are implicated in initial </w:t>
      </w:r>
      <w:r w:rsidRPr="00351C9C">
        <w:rPr>
          <w:i/>
          <w:iCs/>
        </w:rPr>
        <w:t>exo-chain scission</w:t>
      </w:r>
      <w:r w:rsidRPr="00351C9C">
        <w:t xml:space="preserve"> by generating highly reactive radicals or by insertion of oxygen atoms into the C-C or C-H bonds [6]. These are often non-specific and are thought to attack the newly formed oxygenated groups.</w:t>
      </w:r>
    </w:p>
    <w:p w14:paraId="3D76E6DE" w14:textId="77777777" w:rsidR="00351C9C" w:rsidRPr="00351C9C" w:rsidRDefault="00351C9C" w:rsidP="00351C9C">
      <w:pPr>
        <w:numPr>
          <w:ilvl w:val="0"/>
          <w:numId w:val="2"/>
        </w:numPr>
      </w:pPr>
      <w:r w:rsidRPr="00351C9C">
        <w:rPr>
          <w:b/>
          <w:bCs/>
        </w:rPr>
        <w:t>Hydrolytic Cleavage:</w:t>
      </w:r>
      <w:r w:rsidRPr="00351C9C">
        <w:t xml:space="preserve"> Shorter-chain oxidized fragments (often referred to as oligomers or waxes) become substrates for true depolymerizing enzymes. Esterases, lipases, and specific alkane hydroxylases are candidates for breaking the oxygen-containing bonds (e.g., ester, ether, ketone) [7]. </w:t>
      </w:r>
      <w:r w:rsidRPr="00351C9C">
        <w:rPr>
          <w:i/>
          <w:iCs/>
        </w:rPr>
        <w:t>Critical Point:</w:t>
      </w:r>
      <w:r w:rsidRPr="00351C9C">
        <w:t xml:space="preserve"> The identification of a </w:t>
      </w:r>
      <w:r w:rsidRPr="00351C9C">
        <w:rPr>
          <w:i/>
          <w:iCs/>
        </w:rPr>
        <w:t>specific</w:t>
      </w:r>
      <w:r w:rsidRPr="00351C9C">
        <w:t xml:space="preserve"> PE-depolymerase, analogous to PETase for polyethylene terephthalate (PET), remains a central, unfulfilled goal. It is likely that PE degradation relies on a suite of less-specific, promiscuous enzymes.</w:t>
      </w:r>
    </w:p>
    <w:p w14:paraId="1583B316" w14:textId="77777777" w:rsidR="00351C9C" w:rsidRPr="00351C9C" w:rsidRDefault="00351C9C" w:rsidP="00351C9C">
      <w:pPr>
        <w:rPr>
          <w:b/>
          <w:bCs/>
        </w:rPr>
      </w:pPr>
      <w:r w:rsidRPr="00351C9C">
        <w:rPr>
          <w:b/>
          <w:bCs/>
        </w:rPr>
        <w:t>2.3. Intracellular Assimilation and Mineralization</w:t>
      </w:r>
    </w:p>
    <w:p w14:paraId="7879FDB3" w14:textId="77777777" w:rsidR="00351C9C" w:rsidRPr="00351C9C" w:rsidRDefault="00351C9C" w:rsidP="00351C9C">
      <w:r w:rsidRPr="00351C9C">
        <w:t xml:space="preserve">The resulting low-molecular-weight fragments (e.g., short-chain alkanes, fatty acids, dicarboxylic acids) are small enough to be transported into the microbial cell via membrane transporters. These compounds then enter central metabolic pathways, such as the $\beta$-oxidation pathway, leading to the ultimate fate: </w:t>
      </w:r>
      <w:r w:rsidRPr="00351C9C">
        <w:rPr>
          <w:b/>
          <w:bCs/>
        </w:rPr>
        <w:t>mineralization</w:t>
      </w:r>
      <w:r w:rsidRPr="00351C9C">
        <w:t xml:space="preserve"> ($\text{CO}_2$ and $\text{H}_2\text{O}$ production) [8].</w:t>
      </w:r>
    </w:p>
    <w:p w14:paraId="7B06AA65" w14:textId="77777777" w:rsidR="00351C9C" w:rsidRPr="00351C9C" w:rsidRDefault="00351C9C" w:rsidP="00351C9C">
      <w:pPr>
        <w:numPr>
          <w:ilvl w:val="0"/>
          <w:numId w:val="3"/>
        </w:numPr>
      </w:pPr>
      <w:r w:rsidRPr="00351C9C">
        <w:rPr>
          <w:i/>
          <w:iCs/>
        </w:rPr>
        <w:t>Knowledge Gap:</w:t>
      </w:r>
      <w:r w:rsidRPr="00351C9C">
        <w:t xml:space="preserve"> The molecular mechanisms and genetic regulation of the </w:t>
      </w:r>
      <w:r w:rsidRPr="00351C9C">
        <w:rPr>
          <w:b/>
          <w:bCs/>
        </w:rPr>
        <w:t>transport systems</w:t>
      </w:r>
      <w:r w:rsidRPr="00351C9C">
        <w:t xml:space="preserve"> for these novel, chemically diverse plastic-derived metabolites are poorly understood. This is a crucial bottleneck in engineering high-efficiency strains.</w:t>
      </w:r>
    </w:p>
    <w:p w14:paraId="49C3D3F6" w14:textId="77777777" w:rsidR="00351C9C" w:rsidRPr="00351C9C" w:rsidRDefault="00351C9C" w:rsidP="00351C9C">
      <w:r w:rsidRPr="00351C9C">
        <w:pict w14:anchorId="40DD7471">
          <v:rect id="_x0000_i1075" style="width:0;height:1.5pt" o:hralign="center" o:hrstd="t" o:hr="t" fillcolor="#a0a0a0" stroked="f"/>
        </w:pict>
      </w:r>
    </w:p>
    <w:p w14:paraId="78A7542A" w14:textId="77777777" w:rsidR="00351C9C" w:rsidRPr="00351C9C" w:rsidRDefault="00351C9C" w:rsidP="00351C9C">
      <w:pPr>
        <w:rPr>
          <w:b/>
          <w:bCs/>
        </w:rPr>
      </w:pPr>
      <w:r w:rsidRPr="00351C9C">
        <w:rPr>
          <w:b/>
          <w:bCs/>
        </w:rPr>
        <w:t>3. The Superiority of Microbial Consortia</w:t>
      </w:r>
    </w:p>
    <w:p w14:paraId="4654BA41" w14:textId="77777777" w:rsidR="00351C9C" w:rsidRPr="00351C9C" w:rsidRDefault="00351C9C" w:rsidP="00351C9C">
      <w:r w:rsidRPr="00351C9C">
        <w:t xml:space="preserve">Microbial consortia significantly outperform monocultures in PE biodegradation due to </w:t>
      </w:r>
      <w:r w:rsidRPr="00351C9C">
        <w:rPr>
          <w:b/>
          <w:bCs/>
        </w:rPr>
        <w:t>functional redundancy, metabolic synergy, and enhanced resilience</w:t>
      </w:r>
      <w:r w:rsidRPr="00351C9C">
        <w:t>.</w:t>
      </w:r>
    </w:p>
    <w:p w14:paraId="3B7A3824" w14:textId="77777777" w:rsidR="00351C9C" w:rsidRPr="00351C9C" w:rsidRDefault="00351C9C" w:rsidP="00351C9C">
      <w:pPr>
        <w:rPr>
          <w:b/>
          <w:bCs/>
        </w:rPr>
      </w:pPr>
      <w:r w:rsidRPr="00351C9C">
        <w:rPr>
          <w:b/>
          <w:bCs/>
        </w:rPr>
        <w:t>3.1. Metabolic Specialization and Synergy</w:t>
      </w:r>
    </w:p>
    <w:p w14:paraId="5AC87F77" w14:textId="77777777" w:rsidR="00351C9C" w:rsidRPr="00351C9C" w:rsidRDefault="00351C9C" w:rsidP="00351C9C">
      <w:r w:rsidRPr="00351C9C">
        <w:t>A successful consortium typically consists of:</w:t>
      </w:r>
    </w:p>
    <w:p w14:paraId="58CECF85" w14:textId="77777777" w:rsidR="00351C9C" w:rsidRPr="00351C9C" w:rsidRDefault="00351C9C" w:rsidP="00351C9C">
      <w:pPr>
        <w:numPr>
          <w:ilvl w:val="0"/>
          <w:numId w:val="4"/>
        </w:numPr>
      </w:pPr>
      <w:r w:rsidRPr="00351C9C">
        <w:rPr>
          <w:b/>
          <w:bCs/>
        </w:rPr>
        <w:t>Primary Degrader/Biofilm Former:</w:t>
      </w:r>
      <w:r w:rsidRPr="00351C9C">
        <w:t xml:space="preserve"> Species that initiate biofilm formation and secrete the necessary non-specific oxidative enzymes to attack the polymer surface.</w:t>
      </w:r>
    </w:p>
    <w:p w14:paraId="10FC129C" w14:textId="77777777" w:rsidR="00351C9C" w:rsidRPr="00351C9C" w:rsidRDefault="00351C9C" w:rsidP="00351C9C">
      <w:pPr>
        <w:numPr>
          <w:ilvl w:val="0"/>
          <w:numId w:val="4"/>
        </w:numPr>
      </w:pPr>
      <w:r w:rsidRPr="00351C9C">
        <w:rPr>
          <w:b/>
          <w:bCs/>
        </w:rPr>
        <w:t>Oligomer Scavenger:</w:t>
      </w:r>
      <w:r w:rsidRPr="00351C9C">
        <w:t xml:space="preserve"> Species specialized in up-taking and metabolizing the resulting low-molecular-weight PE fragments.</w:t>
      </w:r>
    </w:p>
    <w:p w14:paraId="3162B6BA" w14:textId="77777777" w:rsidR="00351C9C" w:rsidRPr="00351C9C" w:rsidRDefault="00351C9C" w:rsidP="00351C9C">
      <w:pPr>
        <w:numPr>
          <w:ilvl w:val="0"/>
          <w:numId w:val="4"/>
        </w:numPr>
      </w:pPr>
      <w:r w:rsidRPr="00351C9C">
        <w:rPr>
          <w:b/>
          <w:bCs/>
        </w:rPr>
        <w:lastRenderedPageBreak/>
        <w:t>Auxiliary Species:</w:t>
      </w:r>
      <w:r w:rsidRPr="00351C9C">
        <w:t xml:space="preserve"> Organisms that maintain the local microenvironment (e.g., nutrient cycling, $\text{pH}$ regulation) or produce co-factors/surfactants that enhance enzyme activity and substrate accessibility [9].</w:t>
      </w:r>
    </w:p>
    <w:p w14:paraId="3308BF0F" w14:textId="77777777" w:rsidR="00351C9C" w:rsidRPr="00351C9C" w:rsidRDefault="00351C9C" w:rsidP="00351C9C">
      <w:r w:rsidRPr="00351C9C">
        <w:t>This division of labor minimizes the metabolic burden on any single organism. For example, a fungus might dominate the initial oxidative attack, while an accompanying bacterium rapidly consumes the released oligomers, preventing product inhibition and driving the overall reaction forward.</w:t>
      </w:r>
    </w:p>
    <w:p w14:paraId="719672D8" w14:textId="77777777" w:rsidR="00351C9C" w:rsidRPr="00351C9C" w:rsidRDefault="00351C9C" w:rsidP="00351C9C">
      <w:pPr>
        <w:rPr>
          <w:b/>
          <w:bCs/>
        </w:rPr>
      </w:pPr>
      <w:r w:rsidRPr="00351C9C">
        <w:rPr>
          <w:b/>
          <w:bCs/>
        </w:rPr>
        <w:t>3.2. Enhanced Resilience and Environmental Adaptability</w:t>
      </w:r>
    </w:p>
    <w:p w14:paraId="33C0C4DA" w14:textId="77777777" w:rsidR="00351C9C" w:rsidRPr="00351C9C" w:rsidRDefault="00351C9C" w:rsidP="00351C9C">
      <w:r w:rsidRPr="00351C9C">
        <w:t xml:space="preserve">Field applications of biodegradation require robustness against environmental fluctuations ($\text{pH}$, salinity, temperature, co-contaminants). Consortia, with their functional redundancy, exhibit greater </w:t>
      </w:r>
      <w:r w:rsidRPr="00351C9C">
        <w:rPr>
          <w:b/>
          <w:bCs/>
        </w:rPr>
        <w:t>ecological stability</w:t>
      </w:r>
      <w:r w:rsidRPr="00351C9C">
        <w:t xml:space="preserve"> and higher tolerance to environmental stress compared to isolated pure cultures [10]. This is particularly evident in studies using activated sludge or marine enrichment cultures, which are inherently acclimatized to complex matrices.</w:t>
      </w:r>
    </w:p>
    <w:p w14:paraId="054CA6C1" w14:textId="77777777" w:rsidR="00351C9C" w:rsidRPr="00351C9C" w:rsidRDefault="00351C9C" w:rsidP="00351C9C">
      <w:r w:rsidRPr="00351C9C">
        <w:pict w14:anchorId="0AC8DF1B">
          <v:rect id="_x0000_i1076" style="width:0;height:1.5pt" o:hralign="center" o:hrstd="t" o:hr="t" fillcolor="#a0a0a0" stroked="f"/>
        </w:pict>
      </w:r>
    </w:p>
    <w:p w14:paraId="68A5FF7F" w14:textId="77777777" w:rsidR="00351C9C" w:rsidRPr="00351C9C" w:rsidRDefault="00351C9C" w:rsidP="00351C9C">
      <w:pPr>
        <w:rPr>
          <w:b/>
          <w:bCs/>
        </w:rPr>
      </w:pPr>
      <w:r w:rsidRPr="00351C9C">
        <w:rPr>
          <w:b/>
          <w:bCs/>
        </w:rPr>
        <w:t>4. Methodological Landscape and Critical Assessment</w:t>
      </w:r>
    </w:p>
    <w:p w14:paraId="43478C9E" w14:textId="77777777" w:rsidR="00351C9C" w:rsidRPr="00351C9C" w:rsidRDefault="00351C9C" w:rsidP="00351C9C">
      <w:r w:rsidRPr="00351C9C">
        <w:t>The methodologies employed to study PE biodegradation significantly influence the reported outcomes and pose challenges for inter-study comparability.</w:t>
      </w:r>
    </w:p>
    <w:p w14:paraId="2AEA6F4D" w14:textId="77777777" w:rsidR="00351C9C" w:rsidRPr="00351C9C" w:rsidRDefault="00351C9C" w:rsidP="00351C9C">
      <w:pPr>
        <w:rPr>
          <w:b/>
          <w:bCs/>
        </w:rPr>
      </w:pPr>
      <w:r w:rsidRPr="00351C9C">
        <w:rPr>
          <w:b/>
          <w:bCs/>
        </w:rPr>
        <w:t>4.1. Comparative Analysis of Enrichment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724"/>
        <w:gridCol w:w="3013"/>
        <w:gridCol w:w="2883"/>
      </w:tblGrid>
      <w:tr w:rsidR="00351C9C" w:rsidRPr="00351C9C" w14:paraId="0E8D88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CB802" w14:textId="77777777" w:rsidR="00351C9C" w:rsidRPr="00351C9C" w:rsidRDefault="00351C9C" w:rsidP="00351C9C">
            <w:r w:rsidRPr="00351C9C">
              <w:rPr>
                <w:b/>
                <w:bCs/>
              </w:rPr>
              <w:t>Enrichment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C192B" w14:textId="77777777" w:rsidR="00351C9C" w:rsidRPr="00351C9C" w:rsidRDefault="00351C9C" w:rsidP="00351C9C">
            <w:r w:rsidRPr="00351C9C">
              <w:rPr>
                <w:b/>
                <w:bCs/>
              </w:rPr>
              <w:t>Source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E4497" w14:textId="77777777" w:rsidR="00351C9C" w:rsidRPr="00351C9C" w:rsidRDefault="00351C9C" w:rsidP="00351C9C">
            <w:r w:rsidRPr="00351C9C">
              <w:rPr>
                <w:b/>
                <w:bCs/>
              </w:rPr>
              <w:t>Key Advantages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A10A6" w14:textId="77777777" w:rsidR="00351C9C" w:rsidRPr="00351C9C" w:rsidRDefault="00351C9C" w:rsidP="00351C9C">
            <w:r w:rsidRPr="00351C9C">
              <w:rPr>
                <w:b/>
                <w:bCs/>
              </w:rPr>
              <w:t>Critical Limitations</w:t>
            </w:r>
          </w:p>
        </w:tc>
      </w:tr>
      <w:tr w:rsidR="00351C9C" w:rsidRPr="00351C9C" w14:paraId="379B3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EC279" w14:textId="77777777" w:rsidR="00351C9C" w:rsidRPr="00351C9C" w:rsidRDefault="00351C9C" w:rsidP="00351C9C">
            <w:r w:rsidRPr="00351C9C">
              <w:rPr>
                <w:b/>
                <w:bCs/>
              </w:rPr>
              <w:t>Activated Sludge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793C4" w14:textId="77777777" w:rsidR="00351C9C" w:rsidRPr="00351C9C" w:rsidRDefault="00351C9C" w:rsidP="00351C9C">
            <w:r w:rsidRPr="00351C9C">
              <w:t>Wastewater Treatment Plants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CB10C" w14:textId="77777777" w:rsidR="00351C9C" w:rsidRPr="00351C9C" w:rsidRDefault="00351C9C" w:rsidP="00351C9C">
            <w:r w:rsidRPr="00351C9C">
              <w:t>High microbial diversity; pre-exposed to high-molecular-weight organic compounds; rapid enrichment.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11A50" w14:textId="77777777" w:rsidR="00351C9C" w:rsidRPr="00351C9C" w:rsidRDefault="00351C9C" w:rsidP="00351C9C">
            <w:r w:rsidRPr="00351C9C">
              <w:t>Difficult to control community composition; potential presence of non-degrading or parasitic species.</w:t>
            </w:r>
          </w:p>
        </w:tc>
      </w:tr>
      <w:tr w:rsidR="00351C9C" w:rsidRPr="00351C9C" w14:paraId="74F94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3F1B6" w14:textId="77777777" w:rsidR="00351C9C" w:rsidRPr="00351C9C" w:rsidRDefault="00351C9C" w:rsidP="00351C9C">
            <w:r w:rsidRPr="00351C9C">
              <w:rPr>
                <w:b/>
                <w:bCs/>
              </w:rPr>
              <w:t>Soil/Compost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CC756" w14:textId="77777777" w:rsidR="00351C9C" w:rsidRPr="00351C9C" w:rsidRDefault="00351C9C" w:rsidP="00351C9C">
            <w:r w:rsidRPr="00351C9C">
              <w:t>Landfills, Agricultural Soil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7D728" w14:textId="77777777" w:rsidR="00351C9C" w:rsidRPr="00351C9C" w:rsidRDefault="00351C9C" w:rsidP="00351C9C">
            <w:r w:rsidRPr="00351C9C">
              <w:t>High abundance of fungi and actinomycetes; relevant to terrestrial pollution.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5D3BF" w14:textId="77777777" w:rsidR="00351C9C" w:rsidRPr="00351C9C" w:rsidRDefault="00351C9C" w:rsidP="00351C9C">
            <w:r w:rsidRPr="00351C9C">
              <w:t>Heterogeneity of matrix; often requires long incubation times (months to years).</w:t>
            </w:r>
          </w:p>
        </w:tc>
      </w:tr>
      <w:tr w:rsidR="00351C9C" w:rsidRPr="00351C9C" w14:paraId="10778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C379B" w14:textId="77777777" w:rsidR="00351C9C" w:rsidRPr="00351C9C" w:rsidRDefault="00351C9C" w:rsidP="00351C9C">
            <w:r w:rsidRPr="00351C9C">
              <w:rPr>
                <w:b/>
                <w:bCs/>
              </w:rPr>
              <w:lastRenderedPageBreak/>
              <w:t>Marine Biofilms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DFEF7" w14:textId="77777777" w:rsidR="00351C9C" w:rsidRPr="00351C9C" w:rsidRDefault="00351C9C" w:rsidP="00351C9C">
            <w:r w:rsidRPr="00351C9C">
              <w:t>Ocean surfaces, sediment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B126A" w14:textId="77777777" w:rsidR="00351C9C" w:rsidRPr="00351C9C" w:rsidRDefault="00351C9C" w:rsidP="00351C9C">
            <w:r w:rsidRPr="00351C9C">
              <w:t>Adapted to high salinity and low nutrient conditions; relevant to ocean plastic.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E2753" w14:textId="77777777" w:rsidR="00351C9C" w:rsidRPr="00351C9C" w:rsidRDefault="00351C9C" w:rsidP="00351C9C">
            <w:r w:rsidRPr="00351C9C">
              <w:t>Slower growth rates; results often confounded by photo-oxidation effects.</w:t>
            </w:r>
          </w:p>
        </w:tc>
      </w:tr>
      <w:tr w:rsidR="00351C9C" w:rsidRPr="00351C9C" w14:paraId="78BE7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13F04" w14:textId="77777777" w:rsidR="00351C9C" w:rsidRPr="00351C9C" w:rsidRDefault="00351C9C" w:rsidP="00351C9C">
            <w:r w:rsidRPr="00351C9C">
              <w:rPr>
                <w:b/>
                <w:bCs/>
              </w:rPr>
              <w:t>Synthetic Consortia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6F64" w14:textId="77777777" w:rsidR="00351C9C" w:rsidRPr="00351C9C" w:rsidRDefault="00351C9C" w:rsidP="00351C9C">
            <w:r w:rsidRPr="00351C9C">
              <w:t>Laboratory inoculation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4198" w14:textId="77777777" w:rsidR="00351C9C" w:rsidRPr="00351C9C" w:rsidRDefault="00351C9C" w:rsidP="00351C9C">
            <w:r w:rsidRPr="00351C9C">
              <w:t>Precisely known composition; tunable functional capacity; ideal for mechanistic studies.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A3E22" w14:textId="77777777" w:rsidR="00351C9C" w:rsidRPr="00351C9C" w:rsidRDefault="00351C9C" w:rsidP="00351C9C">
            <w:r w:rsidRPr="00351C9C">
              <w:t>Simplification may neglect essential, yet unknown, inter-species interactions.</w:t>
            </w:r>
          </w:p>
        </w:tc>
      </w:tr>
    </w:tbl>
    <w:p w14:paraId="3DE7C38B" w14:textId="77777777" w:rsidR="00351C9C" w:rsidRPr="00351C9C" w:rsidRDefault="00351C9C" w:rsidP="00351C9C">
      <w:r w:rsidRPr="00351C9C">
        <w:t>[Table 1: Comparative Analysis of Microbial Enrichment Strategies for PE Degradation]</w:t>
      </w:r>
    </w:p>
    <w:p w14:paraId="7F457A3E" w14:textId="77777777" w:rsidR="00351C9C" w:rsidRPr="00351C9C" w:rsidRDefault="00351C9C" w:rsidP="00351C9C">
      <w:pPr>
        <w:rPr>
          <w:b/>
          <w:bCs/>
        </w:rPr>
      </w:pPr>
      <w:r w:rsidRPr="00351C9C">
        <w:rPr>
          <w:b/>
          <w:bCs/>
        </w:rPr>
        <w:t>4.2. Analytical Rigor: Quantifying Biodegradation</w:t>
      </w:r>
    </w:p>
    <w:p w14:paraId="276F990E" w14:textId="77777777" w:rsidR="00351C9C" w:rsidRPr="00351C9C" w:rsidRDefault="00351C9C" w:rsidP="00351C9C">
      <w:r w:rsidRPr="00351C9C">
        <w:t xml:space="preserve">A persistent controversy in the field revolves around the </w:t>
      </w:r>
      <w:r w:rsidRPr="00351C9C">
        <w:rPr>
          <w:b/>
          <w:bCs/>
        </w:rPr>
        <w:t>accurate quantification of true biodegradation (mineralization)</w:t>
      </w:r>
      <w:r w:rsidRPr="00351C9C">
        <w:t xml:space="preserve"> </w:t>
      </w:r>
      <w:r w:rsidRPr="00351C9C">
        <w:rPr>
          <w:i/>
          <w:iCs/>
        </w:rPr>
        <w:t>versus</w:t>
      </w:r>
      <w:r w:rsidRPr="00351C9C">
        <w:t xml:space="preserve"> </w:t>
      </w:r>
      <w:r w:rsidRPr="00351C9C">
        <w:rPr>
          <w:b/>
          <w:bCs/>
        </w:rPr>
        <w:t>superficial degradation (fragmentation/bio-erosion)</w:t>
      </w:r>
      <w:r w:rsidRPr="00351C9C">
        <w:t>.</w:t>
      </w:r>
    </w:p>
    <w:p w14:paraId="7F4F83BA" w14:textId="77777777" w:rsidR="00351C9C" w:rsidRPr="00351C9C" w:rsidRDefault="00351C9C" w:rsidP="00351C9C">
      <w:pPr>
        <w:numPr>
          <w:ilvl w:val="0"/>
          <w:numId w:val="5"/>
        </w:numPr>
      </w:pPr>
      <w:r w:rsidRPr="00351C9C">
        <w:rPr>
          <w:b/>
          <w:bCs/>
        </w:rPr>
        <w:t>Gold Standard:</w:t>
      </w:r>
      <w:r w:rsidRPr="00351C9C">
        <w:t xml:space="preserve"> The most rigorous evidence is </w:t>
      </w:r>
      <w:r w:rsidRPr="00351C9C">
        <w:rPr>
          <w:b/>
          <w:bCs/>
        </w:rPr>
        <w:t>$\text{CO}_2$ evolution measurement</w:t>
      </w:r>
      <w:r w:rsidRPr="00351C9C">
        <w:t xml:space="preserve"> using radio-labeled $\text{PE}$ ($\text{C}^{14}$-PE), which definitively proves mineralization [11]. Many studies, however, rely on less stringent measures:</w:t>
      </w:r>
    </w:p>
    <w:p w14:paraId="287D6803" w14:textId="77777777" w:rsidR="00351C9C" w:rsidRPr="00351C9C" w:rsidRDefault="00351C9C" w:rsidP="00351C9C">
      <w:pPr>
        <w:numPr>
          <w:ilvl w:val="1"/>
          <w:numId w:val="5"/>
        </w:numPr>
      </w:pPr>
      <w:r w:rsidRPr="00351C9C">
        <w:rPr>
          <w:b/>
          <w:bCs/>
        </w:rPr>
        <w:t>Weight Loss:</w:t>
      </w:r>
      <w:r w:rsidRPr="00351C9C">
        <w:t xml:space="preserve"> Highly susceptible to error from water absorption, biomass adhesion, and leaching of additives.</w:t>
      </w:r>
    </w:p>
    <w:p w14:paraId="6E0C153A" w14:textId="77777777" w:rsidR="00351C9C" w:rsidRPr="00351C9C" w:rsidRDefault="00351C9C" w:rsidP="00351C9C">
      <w:pPr>
        <w:numPr>
          <w:ilvl w:val="1"/>
          <w:numId w:val="5"/>
        </w:numPr>
      </w:pPr>
      <w:r w:rsidRPr="00351C9C">
        <w:rPr>
          <w:b/>
          <w:bCs/>
        </w:rPr>
        <w:t>Surface Characterization:</w:t>
      </w:r>
      <w:r w:rsidRPr="00351C9C">
        <w:t xml:space="preserve"> Techniques like </w:t>
      </w:r>
      <w:r w:rsidRPr="00351C9C">
        <w:rPr>
          <w:b/>
          <w:bCs/>
        </w:rPr>
        <w:t>Scanning Electron Microscopy (SEM)</w:t>
      </w:r>
      <w:r w:rsidRPr="00351C9C">
        <w:t xml:space="preserve">, </w:t>
      </w:r>
      <w:r w:rsidRPr="00351C9C">
        <w:rPr>
          <w:b/>
          <w:bCs/>
        </w:rPr>
        <w:t>Fourier-Transform Infrared Spectroscopy (FTIR)</w:t>
      </w:r>
      <w:r w:rsidRPr="00351C9C">
        <w:t xml:space="preserve">, and </w:t>
      </w:r>
      <w:r w:rsidRPr="00351C9C">
        <w:rPr>
          <w:b/>
          <w:bCs/>
        </w:rPr>
        <w:t>X-ray Photoelectron Spectroscopy (XPS)</w:t>
      </w:r>
      <w:r w:rsidRPr="00351C9C">
        <w:t xml:space="preserve"> provide evidence of surface changes (pitting, bond oxidation) but </w:t>
      </w:r>
      <w:r w:rsidRPr="00351C9C">
        <w:rPr>
          <w:i/>
          <w:iCs/>
        </w:rPr>
        <w:t>not</w:t>
      </w:r>
      <w:r w:rsidRPr="00351C9C">
        <w:t xml:space="preserve"> mass loss or mineralization.</w:t>
      </w:r>
    </w:p>
    <w:p w14:paraId="60973F9D" w14:textId="77777777" w:rsidR="00351C9C" w:rsidRPr="00351C9C" w:rsidRDefault="00351C9C" w:rsidP="00351C9C">
      <w:pPr>
        <w:numPr>
          <w:ilvl w:val="1"/>
          <w:numId w:val="5"/>
        </w:numPr>
      </w:pPr>
      <w:r w:rsidRPr="00351C9C">
        <w:rPr>
          <w:b/>
          <w:bCs/>
        </w:rPr>
        <w:t>Gel Permeation Chromatography (GPC):</w:t>
      </w:r>
      <w:r w:rsidRPr="00351C9C">
        <w:t xml:space="preserve"> Measures a decrease in average molecular weight, which indicates depolymerization but not necessarily complete assimilation.</w:t>
      </w:r>
    </w:p>
    <w:p w14:paraId="25705975" w14:textId="77777777" w:rsidR="00351C9C" w:rsidRPr="00351C9C" w:rsidRDefault="00351C9C" w:rsidP="00351C9C">
      <w:pPr>
        <w:numPr>
          <w:ilvl w:val="0"/>
          <w:numId w:val="5"/>
        </w:numPr>
      </w:pPr>
      <w:r w:rsidRPr="00351C9C">
        <w:rPr>
          <w:i/>
          <w:iCs/>
        </w:rPr>
        <w:t>Critical Takeaway:</w:t>
      </w:r>
      <w:r w:rsidRPr="00351C9C">
        <w:t xml:space="preserve"> Claims of high-rate PE degradation must be critically scrutinized, requiring robust data from $\text{C}^{14}$-PE mineralization studies, especially when performed by consortia, which can sequester carbon into new biomass rather than immediate $\text{CO}_2$ production.</w:t>
      </w:r>
    </w:p>
    <w:p w14:paraId="622494CD" w14:textId="77777777" w:rsidR="00351C9C" w:rsidRPr="00351C9C" w:rsidRDefault="00351C9C" w:rsidP="00351C9C">
      <w:r w:rsidRPr="00351C9C">
        <w:pict w14:anchorId="5723D04B">
          <v:rect id="_x0000_i1077" style="width:0;height:1.5pt" o:hralign="center" o:hrstd="t" o:hr="t" fillcolor="#a0a0a0" stroked="f"/>
        </w:pict>
      </w:r>
    </w:p>
    <w:p w14:paraId="306D5843" w14:textId="77777777" w:rsidR="00351C9C" w:rsidRPr="00351C9C" w:rsidRDefault="00351C9C" w:rsidP="00351C9C">
      <w:pPr>
        <w:rPr>
          <w:b/>
          <w:bCs/>
        </w:rPr>
      </w:pPr>
      <w:r w:rsidRPr="00351C9C">
        <w:rPr>
          <w:b/>
          <w:bCs/>
        </w:rPr>
        <w:lastRenderedPageBreak/>
        <w:t>5. Molecular Mechanisms and Community Dynamics</w:t>
      </w:r>
    </w:p>
    <w:p w14:paraId="6DDFC95F" w14:textId="77777777" w:rsidR="00351C9C" w:rsidRPr="00351C9C" w:rsidRDefault="00351C9C" w:rsidP="00351C9C">
      <w:r w:rsidRPr="00351C9C">
        <w:t xml:space="preserve">To advance the field, a move from descriptive observation to mechanistic understanding is essential. </w:t>
      </w:r>
      <w:r w:rsidRPr="00351C9C">
        <w:rPr>
          <w:b/>
          <w:bCs/>
        </w:rPr>
        <w:t>Omics technologies</w:t>
      </w:r>
      <w:r w:rsidRPr="00351C9C">
        <w:t xml:space="preserve"> are pivotal in dissecting the 'black box' of microbial consortia.</w:t>
      </w:r>
    </w:p>
    <w:p w14:paraId="3D3D22D8" w14:textId="77777777" w:rsidR="00351C9C" w:rsidRPr="00351C9C" w:rsidRDefault="00351C9C" w:rsidP="00351C9C">
      <w:pPr>
        <w:rPr>
          <w:b/>
          <w:bCs/>
        </w:rPr>
      </w:pPr>
      <w:r w:rsidRPr="00351C9C">
        <w:rPr>
          <w:b/>
          <w:bCs/>
        </w:rPr>
        <w:t>5.1. Metagenomics and Enzyme Discovery</w:t>
      </w:r>
    </w:p>
    <w:p w14:paraId="6D6E9082" w14:textId="77777777" w:rsidR="00351C9C" w:rsidRPr="00351C9C" w:rsidRDefault="00351C9C" w:rsidP="00351C9C">
      <w:r w:rsidRPr="00351C9C">
        <w:rPr>
          <w:b/>
          <w:bCs/>
        </w:rPr>
        <w:t>Metagenomic sequencing</w:t>
      </w:r>
      <w:r w:rsidRPr="00351C9C">
        <w:t xml:space="preserve"> of active consortia has the potential to bypass traditional cultivation limitations. This approach reveals the genetic inventory, identifying candidate genes for oxidative enzymes (e.g., new classes of peroxidases or alkane hydroxylases) and relevant transport systems [12].</w:t>
      </w:r>
    </w:p>
    <w:p w14:paraId="45AAB57A" w14:textId="77777777" w:rsidR="00351C9C" w:rsidRPr="00351C9C" w:rsidRDefault="00351C9C" w:rsidP="00351C9C">
      <w:pPr>
        <w:numPr>
          <w:ilvl w:val="0"/>
          <w:numId w:val="6"/>
        </w:numPr>
      </w:pPr>
      <w:r w:rsidRPr="00351C9C">
        <w:rPr>
          <w:i/>
          <w:iCs/>
        </w:rPr>
        <w:t>Challenge:</w:t>
      </w:r>
      <w:r w:rsidRPr="00351C9C">
        <w:t xml:space="preserve"> Assigning a specific function to a gene, particularly in complex plastic metabolism, requires </w:t>
      </w:r>
      <w:r w:rsidRPr="00351C9C">
        <w:rPr>
          <w:i/>
          <w:iCs/>
        </w:rPr>
        <w:t>in vitro</w:t>
      </w:r>
      <w:r w:rsidRPr="00351C9C">
        <w:t xml:space="preserve"> expression and validation, a bottleneck in current research.</w:t>
      </w:r>
    </w:p>
    <w:p w14:paraId="4100D2AD" w14:textId="77777777" w:rsidR="00351C9C" w:rsidRPr="00351C9C" w:rsidRDefault="00351C9C" w:rsidP="00351C9C">
      <w:pPr>
        <w:rPr>
          <w:b/>
          <w:bCs/>
        </w:rPr>
      </w:pPr>
      <w:r w:rsidRPr="00351C9C">
        <w:rPr>
          <w:b/>
          <w:bCs/>
        </w:rPr>
        <w:t>5.2. Metatranscriptomics and Inter-species Communication</w:t>
      </w:r>
    </w:p>
    <w:p w14:paraId="579F0A04" w14:textId="77777777" w:rsidR="00351C9C" w:rsidRPr="00351C9C" w:rsidRDefault="00351C9C" w:rsidP="00351C9C">
      <w:r w:rsidRPr="00351C9C">
        <w:rPr>
          <w:b/>
          <w:bCs/>
        </w:rPr>
        <w:t>Metatranscriptomics</w:t>
      </w:r>
      <w:r w:rsidRPr="00351C9C">
        <w:t xml:space="preserve"> provides a snapshot of gene expression </w:t>
      </w:r>
      <w:r w:rsidRPr="00351C9C">
        <w:rPr>
          <w:i/>
          <w:iCs/>
        </w:rPr>
        <w:t>in situ</w:t>
      </w:r>
      <w:r w:rsidRPr="00351C9C">
        <w:t xml:space="preserve"> when the consortium is actively degrading PE. This offers clues about enzyme regulation and environmental response. </w:t>
      </w:r>
      <w:r w:rsidRPr="00351C9C">
        <w:rPr>
          <w:b/>
          <w:bCs/>
        </w:rPr>
        <w:t>Metabolomics</w:t>
      </w:r>
      <w:r w:rsidRPr="00351C9C">
        <w:t xml:space="preserve"> can track the fate of PE-derived oligomers, identifying key intermediates and revealing </w:t>
      </w:r>
      <w:r w:rsidRPr="00351C9C">
        <w:rPr>
          <w:i/>
          <w:iCs/>
        </w:rPr>
        <w:t>cross-feeding</w:t>
      </w:r>
      <w:r w:rsidRPr="00351C9C">
        <w:t xml:space="preserve"> relationships [13].</w:t>
      </w:r>
    </w:p>
    <w:p w14:paraId="0B502D1F" w14:textId="77777777" w:rsidR="00351C9C" w:rsidRPr="00351C9C" w:rsidRDefault="00351C9C" w:rsidP="00351C9C">
      <w:pPr>
        <w:numPr>
          <w:ilvl w:val="0"/>
          <w:numId w:val="7"/>
        </w:numPr>
      </w:pPr>
      <w:r w:rsidRPr="00351C9C">
        <w:rPr>
          <w:i/>
          <w:iCs/>
        </w:rPr>
        <w:t>Hypothesis:</w:t>
      </w:r>
      <w:r w:rsidRPr="00351C9C">
        <w:t xml:space="preserve"> </w:t>
      </w:r>
      <w:r w:rsidRPr="00351C9C">
        <w:rPr>
          <w:b/>
          <w:bCs/>
        </w:rPr>
        <w:t>Quorum sensing (QS) molecules</w:t>
      </w:r>
      <w:r w:rsidRPr="00351C9C">
        <w:t xml:space="preserve"> likely regulate the coordinated secretion of depolymerizing enzymes across multiple species in the biofilm—a critical area for future investigation.</w:t>
      </w:r>
    </w:p>
    <w:p w14:paraId="1DDFC6CB" w14:textId="77777777" w:rsidR="00351C9C" w:rsidRPr="00351C9C" w:rsidRDefault="00351C9C" w:rsidP="00351C9C">
      <w:r w:rsidRPr="00351C9C">
        <w:pict w14:anchorId="13FAC403">
          <v:rect id="_x0000_i1078" style="width:0;height:1.5pt" o:hralign="center" o:hrstd="t" o:hr="t" fillcolor="#a0a0a0" stroked="f"/>
        </w:pict>
      </w:r>
    </w:p>
    <w:p w14:paraId="2CDA2CFE" w14:textId="77777777" w:rsidR="00351C9C" w:rsidRPr="00351C9C" w:rsidRDefault="00351C9C" w:rsidP="00351C9C">
      <w:pPr>
        <w:rPr>
          <w:b/>
          <w:bCs/>
        </w:rPr>
      </w:pPr>
      <w:r w:rsidRPr="00351C9C">
        <w:rPr>
          <w:b/>
          <w:bCs/>
        </w:rPr>
        <w:t>6. Knowledge Gaps and Future Research Directions</w:t>
      </w:r>
    </w:p>
    <w:p w14:paraId="48FCDE8B" w14:textId="77777777" w:rsidR="00351C9C" w:rsidRPr="00351C9C" w:rsidRDefault="00351C9C" w:rsidP="00351C9C">
      <w:r w:rsidRPr="00351C9C">
        <w:t>Despite the progress, several fundamental gaps impede the scalable application of PE biodegradation.</w:t>
      </w:r>
    </w:p>
    <w:p w14:paraId="27F26545" w14:textId="77777777" w:rsidR="00351C9C" w:rsidRPr="00351C9C" w:rsidRDefault="00351C9C" w:rsidP="00351C9C">
      <w:pPr>
        <w:numPr>
          <w:ilvl w:val="0"/>
          <w:numId w:val="8"/>
        </w:numPr>
      </w:pPr>
      <w:r w:rsidRPr="00351C9C">
        <w:rPr>
          <w:b/>
          <w:bCs/>
        </w:rPr>
        <w:t>The "PE Depolymerase" Problem:</w:t>
      </w:r>
      <w:r w:rsidRPr="00351C9C">
        <w:t xml:space="preserve"> The definitive discovery, characterization, and high-yield expression of an efficient, </w:t>
      </w:r>
      <w:r w:rsidRPr="00351C9C">
        <w:rPr>
          <w:b/>
          <w:bCs/>
        </w:rPr>
        <w:t>specific PE-depolymerase</w:t>
      </w:r>
      <w:r w:rsidRPr="00351C9C">
        <w:t xml:space="preserve"> remain the highest priority. The current reliance on non-specific oxidases is inefficient for industrial-scale upcycling.</w:t>
      </w:r>
    </w:p>
    <w:p w14:paraId="1923DBB0" w14:textId="77777777" w:rsidR="00351C9C" w:rsidRPr="00351C9C" w:rsidRDefault="00351C9C" w:rsidP="00351C9C">
      <w:pPr>
        <w:numPr>
          <w:ilvl w:val="0"/>
          <w:numId w:val="8"/>
        </w:numPr>
      </w:pPr>
      <w:r w:rsidRPr="00351C9C">
        <w:rPr>
          <w:b/>
          <w:bCs/>
        </w:rPr>
        <w:t>Community Ecology in Practice:</w:t>
      </w:r>
      <w:r w:rsidRPr="00351C9C">
        <w:t xml:space="preserve"> We lack predictive models linking the composition of a consortium to its degradation efficiency ($\text{Q}_{\text{eff}}$). Future research must focus on defining </w:t>
      </w:r>
      <w:r w:rsidRPr="00351C9C">
        <w:rPr>
          <w:b/>
          <w:bCs/>
        </w:rPr>
        <w:t>minimal effective consortia</w:t>
      </w:r>
      <w:r w:rsidRPr="00351C9C">
        <w:t xml:space="preserve"> and </w:t>
      </w:r>
      <w:r w:rsidRPr="00351C9C">
        <w:lastRenderedPageBreak/>
        <w:t>understanding the factors that maintain stability and prevent functional collapse in non-sterile, open systems.</w:t>
      </w:r>
    </w:p>
    <w:p w14:paraId="0FAFBDB1" w14:textId="77777777" w:rsidR="00351C9C" w:rsidRPr="00351C9C" w:rsidRDefault="00351C9C" w:rsidP="00351C9C">
      <w:pPr>
        <w:numPr>
          <w:ilvl w:val="0"/>
          <w:numId w:val="8"/>
        </w:numPr>
      </w:pPr>
      <w:r w:rsidRPr="00351C9C">
        <w:rPr>
          <w:b/>
          <w:bCs/>
        </w:rPr>
        <w:t>Scale-Up Economics:</w:t>
      </w:r>
      <w:r w:rsidRPr="00351C9C">
        <w:t xml:space="preserve"> Economic viability requires high degradation rates ($\text{g}$ plastic/$\text{L}/\text{h}$) and the ability to process non-pretreated, bulk PE under industrially relevant conditions (e.g., high solids loading). The current rates reported in most lab studies are orders of magnitude too low for commercial application [14].</w:t>
      </w:r>
    </w:p>
    <w:p w14:paraId="640CDF1A" w14:textId="77777777" w:rsidR="00351C9C" w:rsidRPr="00351C9C" w:rsidRDefault="00351C9C" w:rsidP="00351C9C">
      <w:r w:rsidRPr="00351C9C">
        <w:pict w14:anchorId="163E56BF">
          <v:rect id="_x0000_i1079" style="width:0;height:1.5pt" o:hralign="center" o:hrstd="t" o:hr="t" fillcolor="#a0a0a0" stroked="f"/>
        </w:pict>
      </w:r>
    </w:p>
    <w:p w14:paraId="5CD7E44D" w14:textId="77777777" w:rsidR="00351C9C" w:rsidRPr="00351C9C" w:rsidRDefault="00351C9C" w:rsidP="00351C9C">
      <w:pPr>
        <w:rPr>
          <w:b/>
          <w:bCs/>
        </w:rPr>
      </w:pPr>
      <w:r w:rsidRPr="00351C9C">
        <w:rPr>
          <w:b/>
          <w:bCs/>
        </w:rPr>
        <w:t>7. Perspective: Engineering the Future of PE Bioremediation</w:t>
      </w:r>
    </w:p>
    <w:p w14:paraId="615E417A" w14:textId="77777777" w:rsidR="00351C9C" w:rsidRPr="00351C9C" w:rsidRDefault="00351C9C" w:rsidP="00351C9C">
      <w:r w:rsidRPr="00351C9C">
        <w:t xml:space="preserve">The next 5–10 years will witness a transition from </w:t>
      </w:r>
      <w:r w:rsidRPr="00351C9C">
        <w:rPr>
          <w:i/>
          <w:iCs/>
        </w:rPr>
        <w:t>discovery</w:t>
      </w:r>
      <w:r w:rsidRPr="00351C9C">
        <w:t xml:space="preserve"> to </w:t>
      </w:r>
      <w:r w:rsidRPr="00351C9C">
        <w:rPr>
          <w:i/>
          <w:iCs/>
        </w:rPr>
        <w:t>design</w:t>
      </w:r>
      <w:r w:rsidRPr="00351C9C">
        <w:t xml:space="preserve"> in PE biodegradation. The future of this field is fundamentally anchored in </w:t>
      </w:r>
      <w:r w:rsidRPr="00351C9C">
        <w:rPr>
          <w:b/>
          <w:bCs/>
        </w:rPr>
        <w:t>Synthetic Biology and Systems Ecology</w:t>
      </w:r>
      <w:r w:rsidRPr="00351C9C">
        <w:t>.</w:t>
      </w:r>
    </w:p>
    <w:p w14:paraId="7802C78C" w14:textId="77777777" w:rsidR="00351C9C" w:rsidRPr="00351C9C" w:rsidRDefault="00351C9C" w:rsidP="00351C9C">
      <w:pPr>
        <w:numPr>
          <w:ilvl w:val="0"/>
          <w:numId w:val="9"/>
        </w:numPr>
      </w:pPr>
      <w:r w:rsidRPr="00351C9C">
        <w:rPr>
          <w:b/>
          <w:bCs/>
        </w:rPr>
        <w:t>Engineered Consortia:</w:t>
      </w:r>
      <w:r w:rsidRPr="00351C9C">
        <w:t xml:space="preserve"> We will move towards </w:t>
      </w:r>
      <w:r w:rsidRPr="00351C9C">
        <w:rPr>
          <w:b/>
          <w:bCs/>
        </w:rPr>
        <w:t>Synthetic Microbial Ecology (SME)</w:t>
      </w:r>
      <w:r w:rsidRPr="00351C9C">
        <w:t xml:space="preserve">, designing consortia with defined, stable metabolic roles. This involves using </w:t>
      </w:r>
      <w:r w:rsidRPr="00351C9C">
        <w:rPr>
          <w:b/>
          <w:bCs/>
        </w:rPr>
        <w:t>CRISPR-based genome editing</w:t>
      </w:r>
      <w:r w:rsidRPr="00351C9C">
        <w:t xml:space="preserve"> to enhance the expression of identified enzymes in fast-growing hosts and to install robust metabolic pathways for oligomer assimilation into valuable products (e.g., bioplastics, platform chemicals).</w:t>
      </w:r>
    </w:p>
    <w:p w14:paraId="1DAE4B16" w14:textId="77777777" w:rsidR="00351C9C" w:rsidRPr="00351C9C" w:rsidRDefault="00351C9C" w:rsidP="00351C9C">
      <w:pPr>
        <w:numPr>
          <w:ilvl w:val="0"/>
          <w:numId w:val="9"/>
        </w:numPr>
      </w:pPr>
      <w:r w:rsidRPr="00351C9C">
        <w:rPr>
          <w:b/>
          <w:bCs/>
        </w:rPr>
        <w:t>Integrated Biorefineries:</w:t>
      </w:r>
      <w:r w:rsidRPr="00351C9C">
        <w:t xml:space="preserve"> The most compelling future application lies in integrating biological degradation with chemical/thermal pre-treatment. For instance, </w:t>
      </w:r>
      <w:r w:rsidRPr="00351C9C">
        <w:rPr>
          <w:b/>
          <w:bCs/>
        </w:rPr>
        <w:t>mild pyrolysis</w:t>
      </w:r>
      <w:r w:rsidRPr="00351C9C">
        <w:t xml:space="preserve"> can convert bulk PE into short-chain waxes, which are then fed as a high-value carbon source to an engineered microbial consortium for upgrading to monomers or bioproducts [15]. This approach bypasses the need for microbes to overcome the initial polymer recalcitrance.</w:t>
      </w:r>
    </w:p>
    <w:p w14:paraId="42833CF8" w14:textId="77777777" w:rsidR="00351C9C" w:rsidRPr="00351C9C" w:rsidRDefault="00351C9C" w:rsidP="00351C9C">
      <w:pPr>
        <w:numPr>
          <w:ilvl w:val="0"/>
          <w:numId w:val="9"/>
        </w:numPr>
      </w:pPr>
      <w:r w:rsidRPr="00351C9C">
        <w:rPr>
          <w:b/>
          <w:bCs/>
        </w:rPr>
        <w:t>Predictive Modeling:</w:t>
      </w:r>
      <w:r w:rsidRPr="00351C9C">
        <w:t xml:space="preserve"> Advances in </w:t>
      </w:r>
      <w:r w:rsidRPr="00351C9C">
        <w:rPr>
          <w:b/>
          <w:bCs/>
        </w:rPr>
        <w:t>computational systems biology</w:t>
      </w:r>
      <w:r w:rsidRPr="00351C9C">
        <w:t xml:space="preserve"> and machine learning will be essential to predict the optimal community structure and environmental conditions for maximum degradation, accelerating the design-test-build cycle. The successful remediation of PE pollution hinges on this interdisciplinary convergence of microbiology, engineering, and data science.</w:t>
      </w:r>
    </w:p>
    <w:p w14:paraId="3FC6D5DA" w14:textId="77777777" w:rsidR="00351C9C" w:rsidRPr="00351C9C" w:rsidRDefault="00351C9C" w:rsidP="00351C9C">
      <w:r w:rsidRPr="00351C9C">
        <w:pict w14:anchorId="7092A4F1">
          <v:rect id="_x0000_i1080" style="width:0;height:1.5pt" o:hralign="center" o:hrstd="t" o:hr="t" fillcolor="#a0a0a0" stroked="f"/>
        </w:pict>
      </w:r>
    </w:p>
    <w:p w14:paraId="4A06EB47" w14:textId="77777777" w:rsidR="00351C9C" w:rsidRPr="00351C9C" w:rsidRDefault="00351C9C" w:rsidP="00351C9C">
      <w:pPr>
        <w:rPr>
          <w:b/>
          <w:bCs/>
        </w:rPr>
      </w:pPr>
      <w:r w:rsidRPr="00351C9C">
        <w:rPr>
          <w:b/>
          <w:bCs/>
        </w:rPr>
        <w:t>References (Indicative Structure)</w:t>
      </w:r>
    </w:p>
    <w:p w14:paraId="067CEFE4" w14:textId="77777777" w:rsidR="00351C9C" w:rsidRPr="00351C9C" w:rsidRDefault="00351C9C" w:rsidP="00351C9C">
      <w:r w:rsidRPr="00351C9C">
        <w:rPr>
          <w:i/>
          <w:iCs/>
        </w:rPr>
        <w:t>Note: These are placeholders to illustrate the required format.</w:t>
      </w:r>
    </w:p>
    <w:p w14:paraId="020BC34A" w14:textId="77777777" w:rsidR="00351C9C" w:rsidRPr="00351C9C" w:rsidRDefault="00351C9C" w:rsidP="00351C9C">
      <w:r w:rsidRPr="00351C9C">
        <w:t>[1] Geyer, R., Jambeck, J. R., &amp; Law, K. L. (2017). Production, use, and fate of all plastics ever made. Science Advances, 3(7), e1700782.</w:t>
      </w:r>
    </w:p>
    <w:p w14:paraId="184FAFF9" w14:textId="77777777" w:rsidR="00351C9C" w:rsidRPr="00351C9C" w:rsidRDefault="00351C9C" w:rsidP="00351C9C">
      <w:r w:rsidRPr="00351C9C">
        <w:lastRenderedPageBreak/>
        <w:t>[2] Gravouil, K., et al. (2020). Fungal biodegradation of high-density polyethylene films by Aspergillus flavus and Aspergillus terreus. Environmental Pollution, 267, 115481.</w:t>
      </w:r>
    </w:p>
    <w:p w14:paraId="441E9EE1" w14:textId="77777777" w:rsidR="00351C9C" w:rsidRPr="00351C9C" w:rsidRDefault="00351C9C" w:rsidP="00351C9C">
      <w:r w:rsidRPr="00351C9C">
        <w:t>[3] Restrepo-Flórez, J. M., Bassi, A., &amp; Thompson, M. R. (2014). Microbial degradation and deterioration of polyethylene—a review. International Biodeterioration &amp; Biodegradation, 88, 83-90.</w:t>
      </w:r>
    </w:p>
    <w:p w14:paraId="65C1E9CA" w14:textId="77777777" w:rsidR="00351C9C" w:rsidRPr="00351C9C" w:rsidRDefault="00351C9C" w:rsidP="00351C9C">
      <w:r w:rsidRPr="00351C9C">
        <w:t>[4] Albertsson, A. C., &amp; Bååth, K. (2009). The role of abiotic factors in the abiotic and biotic degradation of polyethylene. Polymer Degradation and Stability, 94(4), 746-751.</w:t>
      </w:r>
    </w:p>
    <w:p w14:paraId="5B32D23B" w14:textId="77777777" w:rsidR="00351C9C" w:rsidRPr="00351C9C" w:rsidRDefault="00351C9C" w:rsidP="00351C9C">
      <w:r w:rsidRPr="00351C9C">
        <w:t>[5] Jiyaku, N., et al. (2018). Biodegradation of polyethylene by an isolated Bacillus strain under aerobic conditions. Microbial Ecology, 75(2), 346-357.</w:t>
      </w:r>
    </w:p>
    <w:p w14:paraId="47B81832" w14:textId="77777777" w:rsidR="00351C9C" w:rsidRPr="00351C9C" w:rsidRDefault="00351C9C" w:rsidP="00351C9C">
      <w:r w:rsidRPr="00351C9C">
        <w:t>[6] Kim, T. S., et al. (2016). Enzymatic degradation of polyethylene by a cytochrome P450 monooxygenase from a marine bacterium. Applied and Environmental Microbiology, 82(2), 521-529.</w:t>
      </w:r>
    </w:p>
    <w:p w14:paraId="7C850C2E" w14:textId="77777777" w:rsidR="00351C9C" w:rsidRPr="00351C9C" w:rsidRDefault="00351C9C" w:rsidP="00351C9C">
      <w:r w:rsidRPr="00351C9C">
        <w:t>[7] Sangeetha, K., et al. (2020). Novel alkane hydroxylase from a Rhodococcus sp. for polyethylene wax degradation. Biotechnology and Bioengineering, 117(8), 2275-2287.</w:t>
      </w:r>
    </w:p>
    <w:p w14:paraId="17312EA2" w14:textId="77777777" w:rsidR="00351C9C" w:rsidRPr="00351C9C" w:rsidRDefault="00351C9C" w:rsidP="00351C9C">
      <w:r w:rsidRPr="00351C9C">
        <w:t>[8] Kawai, F., &amp; Kawabata, T. (2019). Microbial degradation of polyethylene. Applied Microbiology and Biotechnology, 103(6), 2541-2549.</w:t>
      </w:r>
    </w:p>
    <w:p w14:paraId="54D6C24F" w14:textId="77777777" w:rsidR="00351C9C" w:rsidRPr="00351C9C" w:rsidRDefault="00351C9C" w:rsidP="00351C9C">
      <w:r w:rsidRPr="00351C9C">
        <w:t>[9] Montalva, J. A., et al. (2021). Consortium-based biodegradation of polyethylene: a review on mechanisms, strategies, and challenges. Trends in Biotechnology, 39(8), 779-791.</w:t>
      </w:r>
    </w:p>
    <w:p w14:paraId="4DE93926" w14:textId="77777777" w:rsidR="00351C9C" w:rsidRPr="00351C9C" w:rsidRDefault="00351C9C" w:rsidP="00351C9C">
      <w:r w:rsidRPr="00351C9C">
        <w:t>[10] Ru, J., et al. (2020). A marine microbial consortium capable of degrading polyethylene. Nature Communications, 11(1), 1-12.</w:t>
      </w:r>
    </w:p>
    <w:p w14:paraId="07424897" w14:textId="77777777" w:rsidR="00351C9C" w:rsidRPr="00351C9C" w:rsidRDefault="00351C9C" w:rsidP="00351C9C">
      <w:r w:rsidRPr="00351C9C">
        <w:t>[11] Müller, R. J., et al. (2020). The long path to the elusive polyethylene-degrading microbes. Science, 369(6501), 273-274.</w:t>
      </w:r>
    </w:p>
    <w:p w14:paraId="14E77DE8" w14:textId="77777777" w:rsidR="00351C9C" w:rsidRPr="00351C9C" w:rsidRDefault="00351C9C" w:rsidP="00351C9C">
      <w:r w:rsidRPr="00351C9C">
        <w:t>[12] Rhodes, C. J. (2021). The Metagenomics of Plastic Degradation. Microorganisms, 9(4), 834.</w:t>
      </w:r>
    </w:p>
    <w:p w14:paraId="0FD5F7D7" w14:textId="77777777" w:rsidR="00351C9C" w:rsidRPr="00351C9C" w:rsidRDefault="00351C9C" w:rsidP="00351C9C">
      <w:r w:rsidRPr="00351C9C">
        <w:t>[13] Tiso, T., et al. (2021). Systems metabolic engineering for plastic monomer utilization. Current Opinion in Biotechnology, 69, 116-124.</w:t>
      </w:r>
    </w:p>
    <w:p w14:paraId="1E919C52" w14:textId="77777777" w:rsidR="00351C9C" w:rsidRPr="00351C9C" w:rsidRDefault="00351C9C" w:rsidP="00351C9C">
      <w:r w:rsidRPr="00351C9C">
        <w:t>[14] Wei, R., &amp; Zimmermann, W. (2017). Microbial metabolism of polyesters: current status and perspectives. Applied Microbiology and Biotechnology, 101(24), 9397-9407.</w:t>
      </w:r>
    </w:p>
    <w:p w14:paraId="5326A584" w14:textId="77777777" w:rsidR="00351C9C" w:rsidRPr="00351C9C" w:rsidRDefault="00351C9C" w:rsidP="00351C9C">
      <w:r w:rsidRPr="00351C9C">
        <w:t>[15] Koutsaftis, I., et al. (2022). Integrated biological and thermochemical processes for plastic waste valorization. Green Chemistry, 24(5), 2098-2122.</w:t>
      </w:r>
    </w:p>
    <w:p w14:paraId="36644074"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A9C"/>
    <w:multiLevelType w:val="multilevel"/>
    <w:tmpl w:val="FA18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08DF"/>
    <w:multiLevelType w:val="multilevel"/>
    <w:tmpl w:val="2560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D7264"/>
    <w:multiLevelType w:val="multilevel"/>
    <w:tmpl w:val="746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00A18"/>
    <w:multiLevelType w:val="multilevel"/>
    <w:tmpl w:val="E6B2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30DF9"/>
    <w:multiLevelType w:val="multilevel"/>
    <w:tmpl w:val="58D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5257A"/>
    <w:multiLevelType w:val="multilevel"/>
    <w:tmpl w:val="F8EC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D240F"/>
    <w:multiLevelType w:val="multilevel"/>
    <w:tmpl w:val="212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86E48"/>
    <w:multiLevelType w:val="multilevel"/>
    <w:tmpl w:val="41D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D6DA5"/>
    <w:multiLevelType w:val="multilevel"/>
    <w:tmpl w:val="3C5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70768">
    <w:abstractNumId w:val="7"/>
  </w:num>
  <w:num w:numId="2" w16cid:durableId="838807915">
    <w:abstractNumId w:val="0"/>
  </w:num>
  <w:num w:numId="3" w16cid:durableId="575287202">
    <w:abstractNumId w:val="2"/>
  </w:num>
  <w:num w:numId="4" w16cid:durableId="674497880">
    <w:abstractNumId w:val="1"/>
  </w:num>
  <w:num w:numId="5" w16cid:durableId="1872764718">
    <w:abstractNumId w:val="3"/>
  </w:num>
  <w:num w:numId="6" w16cid:durableId="1789347715">
    <w:abstractNumId w:val="6"/>
  </w:num>
  <w:num w:numId="7" w16cid:durableId="891959314">
    <w:abstractNumId w:val="4"/>
  </w:num>
  <w:num w:numId="8" w16cid:durableId="376860041">
    <w:abstractNumId w:val="5"/>
  </w:num>
  <w:num w:numId="9" w16cid:durableId="994332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B2"/>
    <w:rsid w:val="000865B2"/>
    <w:rsid w:val="00351C9C"/>
    <w:rsid w:val="004313C7"/>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BEAEE-0019-4D6B-9E21-38072980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5B2"/>
    <w:rPr>
      <w:rFonts w:eastAsiaTheme="majorEastAsia" w:cstheme="majorBidi"/>
      <w:color w:val="272727" w:themeColor="text1" w:themeTint="D8"/>
    </w:rPr>
  </w:style>
  <w:style w:type="paragraph" w:styleId="Title">
    <w:name w:val="Title"/>
    <w:basedOn w:val="Normal"/>
    <w:next w:val="Normal"/>
    <w:link w:val="TitleChar"/>
    <w:uiPriority w:val="10"/>
    <w:qFormat/>
    <w:rsid w:val="0008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5B2"/>
    <w:pPr>
      <w:spacing w:before="160"/>
      <w:jc w:val="center"/>
    </w:pPr>
    <w:rPr>
      <w:i/>
      <w:iCs/>
      <w:color w:val="404040" w:themeColor="text1" w:themeTint="BF"/>
    </w:rPr>
  </w:style>
  <w:style w:type="character" w:customStyle="1" w:styleId="QuoteChar">
    <w:name w:val="Quote Char"/>
    <w:basedOn w:val="DefaultParagraphFont"/>
    <w:link w:val="Quote"/>
    <w:uiPriority w:val="29"/>
    <w:rsid w:val="000865B2"/>
    <w:rPr>
      <w:i/>
      <w:iCs/>
      <w:color w:val="404040" w:themeColor="text1" w:themeTint="BF"/>
    </w:rPr>
  </w:style>
  <w:style w:type="paragraph" w:styleId="ListParagraph">
    <w:name w:val="List Paragraph"/>
    <w:basedOn w:val="Normal"/>
    <w:uiPriority w:val="34"/>
    <w:qFormat/>
    <w:rsid w:val="000865B2"/>
    <w:pPr>
      <w:ind w:left="720"/>
      <w:contextualSpacing/>
    </w:pPr>
  </w:style>
  <w:style w:type="character" w:styleId="IntenseEmphasis">
    <w:name w:val="Intense Emphasis"/>
    <w:basedOn w:val="DefaultParagraphFont"/>
    <w:uiPriority w:val="21"/>
    <w:qFormat/>
    <w:rsid w:val="000865B2"/>
    <w:rPr>
      <w:i/>
      <w:iCs/>
      <w:color w:val="0F4761" w:themeColor="accent1" w:themeShade="BF"/>
    </w:rPr>
  </w:style>
  <w:style w:type="paragraph" w:styleId="IntenseQuote">
    <w:name w:val="Intense Quote"/>
    <w:basedOn w:val="Normal"/>
    <w:next w:val="Normal"/>
    <w:link w:val="IntenseQuoteChar"/>
    <w:uiPriority w:val="30"/>
    <w:qFormat/>
    <w:rsid w:val="0008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5B2"/>
    <w:rPr>
      <w:i/>
      <w:iCs/>
      <w:color w:val="0F4761" w:themeColor="accent1" w:themeShade="BF"/>
    </w:rPr>
  </w:style>
  <w:style w:type="character" w:styleId="IntenseReference">
    <w:name w:val="Intense Reference"/>
    <w:basedOn w:val="DefaultParagraphFont"/>
    <w:uiPriority w:val="32"/>
    <w:qFormat/>
    <w:rsid w:val="00086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2537</Words>
  <Characters>14464</Characters>
  <Application>Microsoft Office Word</Application>
  <DocSecurity>0</DocSecurity>
  <Lines>120</Lines>
  <Paragraphs>33</Paragraphs>
  <ScaleCrop>false</ScaleCrop>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2025-10-26T03:46:00Z</dcterms:created>
  <dcterms:modified xsi:type="dcterms:W3CDTF">2025-10-26T03:47:00Z</dcterms:modified>
</cp:coreProperties>
</file>