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两亲性分子和胶体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表面物理化学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胶体的稳定性与聚沉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>规则比较电解质聚沉能力</w:t>
            </w:r>
            <w:r>
              <w:rPr>
                <w:rFonts w:hint="eastAsia" w:ascii="Times New Roman" w:hAnsi="Times New Roman" w:eastAsia="Times New Roman" w:cs="Times New Roman"/>
              </w:rPr>
              <w:t>；1:64:729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两亲性分子与</w:t>
            </w:r>
            <w:r>
              <w:rPr>
                <w:rFonts w:ascii="Times New Roman" w:hAnsi="Times New Roman" w:eastAsia="Times New Roman" w:cs="Times New Roman"/>
              </w:rPr>
              <w:t xml:space="preserve"> 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>表面活性剂行为差异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表面物理化学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吸附类型与吸附等温式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（θ、K、Vm）；</w:t>
            </w:r>
            <w:r>
              <w:rPr>
                <w:rFonts w:hint="eastAsia" w:ascii="Times New Roman" w:hAnsi="Times New Roman" w:eastAsia="FangSong" w:cs="Times New Roman"/>
              </w:rPr>
              <w:t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</w:t>
            </w:r>
            <w:r>
              <w:rPr>
                <w:rFonts w:hint="eastAsia" w:ascii="Times New Roman" w:hAnsi="Times New Roman" w:eastAsia="Times New Roman" w:cs="Times New Roman"/>
              </w:rPr>
              <w:t>85%；</w:t>
            </w: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2.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NaCl /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吸附平衡常数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 SDS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CMC ≈ 8 </w:t>
      </w:r>
      <w:r>
        <w:rPr>
          <w:rFonts w:hint="eastAsia" w:ascii="Times New Roman" w:hAnsi="Times New Roman" w:eastAsia="Times New Roman" w:cs="Times New Roman"/>
          <w:b/>
          <w:bCs/>
        </w:rPr>
        <w:t>mmol/L：</w:t>
      </w:r>
      <w:r>
        <w:rPr>
          <w:rFonts w:hint="eastAsia" w:ascii="Times New Roman" w:hAnsi="Times New Roman" w:eastAsia="FangSong" w:cs="Times New Roman"/>
          <w:b/>
          <w:bCs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LH </w:t>
      </w:r>
      <w:r>
        <w:rPr>
          <w:rFonts w:hint="eastAsia" w:ascii="Times New Roman" w:hAnsi="Times New Roman" w:eastAsia="FangSong" w:cs="Times New Roman"/>
          <w:b/>
          <w:bCs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10.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胶束形成的热力学驱动力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极限行为</w:t>
      </w:r>
      <w:r>
        <w:rPr>
          <w:rFonts w:hint="eastAsia" w:ascii="Times New Roman" w:hAnsi="Times New Roman" w:eastAsia="Times New Roman" w:cs="Times New Roman"/>
          <w:b/>
          <w:bCs/>
        </w:rPr>
        <w:t>（29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</w:t>
      </w:r>
      <w:r>
        <w:rPr>
          <w:rFonts w:hint="eastAsia" w:ascii="Times New Roman" w:hAnsi="Times New Roman" w:eastAsia="FangSong" w:cs="Times New Roman"/>
          <w:b/>
          <w:bCs/>
        </w:rPr>
        <w:t>胶束增溶疏水药物</w:t>
      </w:r>
      <w:r>
        <w:rPr>
          <w:rFonts w:hint="eastAsia" w:ascii="Times New Roman" w:hAnsi="Times New Roman" w:eastAsia="Times New Roman" w:cs="Times New Roman"/>
          <w:b/>
          <w:bCs/>
        </w:rPr>
        <w:t>（31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纳米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胶体制备中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促进成核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控制生长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上海中学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DLVO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ascii="Times New Roman" w:hAnsi="Times New Roman" w:eastAsia="Times New Roman" w:cs="Times New Roman"/>
          <w:b/>
          <w:bCs/>
        </w:rPr>
        <w:t xml:space="preserve"> ζ </w:t>
      </w:r>
      <w:r>
        <w:rPr>
          <w:rFonts w:hint="eastAsia" w:ascii="Times New Roman" w:hAnsi="Times New Roman" w:eastAsia="FangSong" w:cs="Times New Roman"/>
          <w:b/>
          <w:bCs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2026-09-19T09:02:05Z</dcterms:created>
  <dcterms:modified xsi:type="dcterms:W3CDTF">2026-09-19T09:02:05Z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