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第-2-章-化学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平衡常数-1"/>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spacing w:before="160" w:after="80"/>
      </w:pPr>
      <w:r>
        <w:pict>
          <v:rect style="width:0;height:1.5pt" o:hralign="center" o:hrstd="t" o:hr="t"/>
        </w:pict>
      </w:r>
    </w:p>
    <w:bookmarkEnd w:id="11"/>
    <w:bookmarkStart w:id="12" w:name="平衡常数-2"/>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平衡常数-3"/>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平衡常数-4"/>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反应商"/>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spacing w:before="160" w:after="80"/>
      </w:pPr>
      <w:r>
        <w:pict>
          <v:rect style="width:0;height:1.5pt" o:hralign="center" o:hrstd="t" o:hr="t"/>
        </w:pict>
      </w:r>
    </w:p>
    <w:bookmarkEnd w:id="15"/>
    <w:bookmarkStart w:id="16" w:name="平衡常数-5"/>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298</m:t>
          </m:r>
          <m:r>
            <m:rPr>
              <m:sty m:val="p"/>
            </m:rPr>
            <m:t>K</m:t>
          </m:r>
          <m:r>
            <m:rPr>
              <m:sty m:val="p"/>
            </m:rPr>
            <m:t>)</m:t>
          </m:r>
          <m:r>
            <m:rPr>
              <m:sty m:val="p"/>
            </m:rPr>
            <m:t>=</m:t>
          </m:r>
          <m:r>
            <m:t>3.4</m:t>
          </m:r>
          <m:r>
            <m:rPr>
              <m:sty m:val="p"/>
            </m:rPr>
            <m:t>×</m:t>
          </m:r>
          <m:sSup>
            <m:e>
              <m:r>
                <m:t>10</m:t>
              </m:r>
            </m:e>
            <m:sup>
              <m:r>
                <m:rPr>
                  <m:sty m:val="p"/>
                </m:rPr>
                <m:t>−</m:t>
              </m:r>
              <m:r>
                <m:t>18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298</m:t>
          </m:r>
          <m:r>
            <m:rPr>
              <m:sty m:val="p"/>
            </m:rPr>
            <m:t>K</m:t>
          </m:r>
          <m:r>
            <m:rPr>
              <m:sty m:val="p"/>
            </m:rPr>
            <m:t>)</m:t>
          </m:r>
          <m:r>
            <m:rPr>
              <m:sty m:val="p"/>
            </m:rPr>
            <m:t>=</m:t>
          </m:r>
          <m:r>
            <m:t>4.6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298</m:t>
          </m:r>
          <m:r>
            <m:rPr>
              <m:sty m:val="p"/>
            </m:rPr>
            <m:t>K</m:t>
          </m:r>
          <m:r>
            <m:rPr>
              <m:sty m:val="p"/>
            </m:rPr>
            <m:t>)</m:t>
          </m:r>
          <m:r>
            <m:rPr>
              <m:sty m:val="p"/>
            </m:rPr>
            <m:t>=</m:t>
          </m:r>
          <m:r>
            <m:t>4.1</m:t>
          </m:r>
          <m:r>
            <m:rPr>
              <m:sty m:val="p"/>
            </m:rPr>
            <m:t>×</m:t>
          </m:r>
          <m:sSup>
            <m:e>
              <m:r>
                <m:t>10</m:t>
              </m:r>
            </m:e>
            <m:sup>
              <m:r>
                <m:rPr>
                  <m:sty m:val="p"/>
                </m:rPr>
                <m:t>−</m:t>
              </m:r>
              <m:r>
                <m:t>9</m:t>
              </m:r>
            </m:sup>
          </m:sSup>
        </m:oMath>
      </m:oMathPara>
    </w:p>
    <w:p>
      <w:pPr>
        <w:spacing w:before="160" w:after="80"/>
      </w:pPr>
      <w:r>
        <w:pict>
          <v:rect style="width:0;height:1.5pt" o:hralign="center" o:hrstd="t" o:hr="t"/>
        </w:pict>
      </w:r>
    </w:p>
    <w:bookmarkEnd w:id="16"/>
    <w:bookmarkStart w:id="17" w:name="平衡常数-6"/>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C</m:t>
              </m:r>
              <m:sSub>
                <m:e>
                  <m:r>
                    <m:t>H</m:t>
                  </m:r>
                </m:e>
                <m:sub>
                  <m:r>
                    <m:t>3</m:t>
                  </m:r>
                </m:sub>
              </m:sSub>
              <m:r>
                <m:t>O</m:t>
              </m:r>
              <m:r>
                <m:t>H</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CO(g)</w:t>
            </w:r>
          </w:p>
        </w:tc>
        <w:tc>
          <w:tcPr/>
          <w:p>
            <w:pPr>
              <w:pStyle w:val="Compact"/>
              <w:jc w:val="center"/>
            </w:pPr>
            <m:oMath>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spacing w:before="160" w:after="80"/>
      </w:pPr>
      <w:r>
        <w:pict>
          <v:rect style="width:0;height:1.5pt" o:hralign="center" o:hrstd="t" o:hr="t"/>
        </w:pict>
      </w:r>
    </w:p>
    <w:bookmarkEnd w:id="17"/>
    <w:bookmarkStart w:id="18" w:name="平衡常数-7"/>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平衡常数-8"/>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平衡常数-9"/>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平衡常数-10"/>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6"/>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反应商-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spacing w:before="160" w:after="80"/>
      </w:pPr>
      <w:r>
        <w:pict>
          <v:rect style="width:0;height:1.5pt" o:hralign="center" o:hrstd="t" o:hr="t"/>
        </w:pict>
      </w:r>
    </w:p>
    <w:bookmarkEnd w:id="22"/>
    <w:bookmarkStart w:id="23" w:name="平衡常数-11"/>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900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1100</w:t>
            </w:r>
          </w:p>
        </w:tc>
        <w:tc>
          <w:tcPr/>
          <w:p>
            <w:pPr>
              <w:pStyle w:val="Compact"/>
              <w:jc w:val="center"/>
            </w:pPr>
            <w:r>
              <w:rPr>
                <w:rFonts w:ascii="Times New Roman" w:hAnsi="Times New Roman" w:eastAsia="Times New Roman" w:cs="Times New Roman"/>
                <w:b/>
              </w:rPr>
              <w:t xml:space="preserve">1170</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0.12</w:t>
            </w:r>
          </w:p>
        </w:tc>
      </w:tr>
    </w:tbl>
    <w:p>
      <w:pPr>
        <w:spacing w:before="160" w:after="80"/>
      </w:pPr>
      <w:r>
        <w:pict>
          <v:rect style="width:0;height:1.5pt" o:hralign="center" o:hrstd="t" o:hr="t"/>
        </w:pict>
      </w:r>
    </w:p>
    <w:bookmarkEnd w:id="23"/>
    <w:bookmarkStart w:id="24" w:name="平衡常数-12"/>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平衡常数</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平衡常数-13"/>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668</m:t>
          </m:r>
          <m:r>
            <m:rPr>
              <m:sty m:val="p"/>
            </m:rPr>
            <m:t>K</m:t>
          </m:r>
          <m:r>
            <m:rPr>
              <m:sty m:val="p"/>
            </m:rPr>
            <m:t>)</m:t>
          </m:r>
          <m:r>
            <m:rPr>
              <m:sty m:val="p"/>
            </m:rPr>
            <m:t>=</m:t>
          </m:r>
          <m:r>
            <m:t>4.44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平衡常数-14"/>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平衡常数-15"/>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平衡常数-16"/>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196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206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28"/>
    <w:bookmarkStart w:id="29" w:name="平衡常数-17"/>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深度每增加-1-km"/>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深度每增加</w:t>
      </w:r>
      <w:r>
        <w:rPr>
          <w:rFonts w:ascii="Times New Roman" w:hAnsi="Times New Roman" w:eastAsia="Times New Roman" w:cs="Times New Roman"/>
        </w:rPr>
        <w:t xml:space="preserve"> 1 km</w:t>
      </w:r>
    </w:p>
    <w:p>
      <w:pPr>
        <w:pStyle w:val="FirstParagraph"/>
      </w:pPr>
      <w:r>
        <w:rPr>
          <w:rFonts w:hint="eastAsia" w:ascii="Times New Roman" w:hAnsi="Times New Roman" w:eastAsia="FangSong" w:cs="Times New Roman"/>
        </w:rPr>
        <w:t>在地壳内</w:t>
      </w:r>
      <w:r>
        <w:rPr>
          <w:rFonts w:hint="eastAsia" w:ascii="Times New Roman" w:hAnsi="Times New Roman" w:eastAsia="Times New Roman" w:cs="Times New Roman"/>
        </w:rPr>
        <w:t>，</w:t>
      </w:r>
      <w:r>
        <w:rPr>
          <w:rFonts w:hint="eastAsia" w:ascii="Times New Roman" w:hAnsi="Times New Roman" w:eastAsia="FangSong" w:cs="Times New Roman"/>
        </w:rPr>
        <w:t>深度每增加</w:t>
      </w:r>
      <w:r>
        <w:rPr>
          <w:rFonts w:ascii="Times New Roman" w:hAnsi="Times New Roman" w:eastAsia="Times New Roman" w:cs="Times New Roman"/>
        </w:rPr>
        <w:t xml:space="preserve"> 1 </w:t>
      </w:r>
      <w:r>
        <w:rPr>
          <w:rFonts w:hint="eastAsia" w:ascii="Times New Roman" w:hAnsi="Times New Roman" w:eastAsia="Times New Roman" w:cs="Times New Roman"/>
        </w:rPr>
        <w:t>km，</w:t>
      </w:r>
      <w:r>
        <w:rPr>
          <w:rFonts w:hint="eastAsia" w:ascii="Times New Roman" w:hAnsi="Times New Roman" w:eastAsia="FangSong" w:cs="Times New Roman"/>
        </w:rPr>
        <w:t>压强大约增加</w:t>
      </w:r>
      <w:r>
        <w:rPr>
          <w:rFonts w:ascii="Times New Roman" w:hAnsi="Times New Roman" w:eastAsia="Times New Roman" w:cs="Times New Roman"/>
        </w:rPr>
        <w:t xml:space="preserve"> 25250~30300 </w:t>
      </w:r>
      <w:r>
        <w:rPr>
          <w:rFonts w:hint="eastAsia" w:ascii="Times New Roman" w:hAnsi="Times New Roman" w:eastAsia="Times New Roman" w:cs="Times New Roman"/>
        </w:rPr>
        <w:t>kPa，</w:t>
      </w:r>
      <w:r>
        <w:rPr>
          <w:rFonts w:hint="eastAsia" w:ascii="Times New Roman" w:hAnsi="Times New Roman" w:eastAsia="FangSong" w:cs="Times New Roman"/>
        </w:rPr>
        <w:t>在这样的压强下</w:t>
      </w:r>
      <w:r>
        <w:rPr>
          <w:rFonts w:hint="eastAsia" w:ascii="Times New Roman" w:hAnsi="Times New Roman" w:eastAsia="Times New Roman" w:cs="Times New Roman"/>
        </w:rPr>
        <w:t>，</w:t>
      </w:r>
      <w:r>
        <w:rPr>
          <w:rFonts w:hint="eastAsia" w:ascii="Times New Roman" w:hAnsi="Times New Roman" w:eastAsia="FangSong" w:cs="Times New Roman"/>
        </w:rPr>
        <w:t>对固体物质的平衡会发生较大影响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A</m:t>
              </m:r>
              <m:r>
                <m:rPr>
                  <m:sty m:val="p"/>
                </m:rPr>
                <m:t>l</m:t>
              </m:r>
            </m:e>
            <m:sub>
              <m:r>
                <m:t>2</m:t>
              </m:r>
            </m:sub>
          </m:sSub>
          <m:sSub>
            <m:e>
              <m:r>
                <m:rPr>
                  <m:sty m:val="p"/>
                </m:rPr>
                <m:t>S</m:t>
              </m:r>
              <m:r>
                <m:rPr>
                  <m:sty m:val="p"/>
                </m:rPr>
                <m:t>i</m:t>
              </m:r>
            </m:e>
            <m:sub>
              <m:r>
                <m:t>2</m:t>
              </m:r>
            </m:sub>
          </m:sSub>
          <m:sSub>
            <m:e>
              <m:r>
                <m:rPr>
                  <m:sty m:val="p"/>
                </m:rPr>
                <m:t>O</m:t>
              </m:r>
            </m:e>
            <m:sub>
              <m:r>
                <m:t>8</m:t>
              </m:r>
            </m:sub>
          </m:sSub>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sSub>
            <m:e>
              <m:r>
                <m:rPr>
                  <m:sty m:val="p"/>
                </m:rPr>
                <m:t>C</m:t>
              </m:r>
              <m:r>
                <m:rPr>
                  <m:sty m:val="p"/>
                </m:rPr>
                <m:t>a</m:t>
              </m:r>
              <m:r>
                <m:rPr>
                  <m:sty m:val="p"/>
                </m:rPr>
                <m:t>M</m:t>
              </m:r>
              <m:r>
                <m:rPr>
                  <m:sty m:val="p"/>
                </m:rPr>
                <m:t>g</m:t>
              </m:r>
            </m:e>
            <m:sub>
              <m:r>
                <m:t>2</m:t>
              </m:r>
            </m:sub>
          </m:sSub>
          <m:sSub>
            <m:e>
              <m:r>
                <m:rPr>
                  <m:sty m:val="p"/>
                </m:rPr>
                <m:t>A</m:t>
              </m:r>
              <m:r>
                <m:rPr>
                  <m:sty m:val="p"/>
                </m:rPr>
                <m:t>l</m:t>
              </m:r>
            </m:e>
            <m:sub>
              <m:r>
                <m:t>2</m:t>
              </m:r>
            </m:sub>
          </m:sSub>
          <m:sSub>
            <m:e>
              <m:r>
                <m:rPr>
                  <m:sty m:val="p"/>
                </m:rPr>
                <m:t>S</m:t>
              </m:r>
              <m:r>
                <m:rPr>
                  <m:sty m:val="p"/>
                </m:rPr>
                <m:t>i</m:t>
              </m:r>
            </m:e>
            <m:sub>
              <m:r>
                <m:t>3</m:t>
              </m:r>
            </m:sub>
          </m:sSub>
          <m:sSub>
            <m:e>
              <m:r>
                <m:rPr>
                  <m:sty m:val="p"/>
                </m:rPr>
                <m:t>O</m:t>
              </m:r>
            </m:e>
            <m:sub>
              <m:r>
                <m:t>12</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钙长石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镁橄榄石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摩尔质量</w:t>
            </w:r>
            <w:r>
              <w:rPr>
                <w:rFonts w:hint="eastAsia" w:ascii="Times New Roman" w:hAnsi="Times New Roman" w:eastAsia="Times New Roman" w:cs="Times New Roman"/>
                <w:b/>
              </w:rPr>
              <w:t>(g·mol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278</w:t>
            </w:r>
          </w:p>
        </w:tc>
        <w:tc>
          <w:tcPr/>
          <w:p>
            <w:pPr>
              <w:pStyle w:val="Compact"/>
              <w:jc w:val="center"/>
            </w:pPr>
            <w:r>
              <w:rPr>
                <w:rFonts w:ascii="Times New Roman" w:hAnsi="Times New Roman" w:eastAsia="Times New Roman" w:cs="Times New Roman"/>
                <w:b/>
              </w:rPr>
              <w:t xml:space="preserve">140.6</w:t>
            </w:r>
          </w:p>
        </w:tc>
        <w:tc>
          <w:tcPr/>
          <w:p>
            <w:pPr>
              <w:pStyle w:val="Compact"/>
              <w:jc w:val="center"/>
            </w:pPr>
            <w:r>
              <w:rPr>
                <w:rFonts w:ascii="Times New Roman" w:hAnsi="Times New Roman" w:eastAsia="Times New Roman" w:cs="Times New Roman"/>
                <w:b/>
              </w:rPr>
              <w:t xml:space="preserve">413.6</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3.50</w:t>
            </w:r>
          </w:p>
        </w:tc>
      </w:tr>
    </w:tbl>
    <w:p>
      <w:pPr>
        <w:pStyle w:val="BodyText"/>
        <w:spacing w:before="120"/>
      </w:pP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钙长石生成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镁橄榄石生成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钙长石和镁橄榄石共存</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石榴子石生成</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OCR「</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r>
        <w:rPr>
          <w:rFonts w:hint="eastAsia" w:ascii="Times New Roman" w:hAnsi="Times New Roman" w:eastAsia="FangSong" w:cs="Times New Roman"/>
        </w:rPr>
        <w:t>缺左括号</w:t>
      </w:r>
      <w:r>
        <w:rPr>
          <w:rFonts w:hint="eastAsia" w:ascii="Times New Roman" w:hAnsi="Times New Roman" w:eastAsia="Times New Roman" w:cs="Times New Roman"/>
        </w:rPr>
        <w:t>，</w:t>
      </w:r>
      <w:r>
        <w:rPr>
          <w:rFonts w:hint="eastAsia" w:ascii="Times New Roman" w:hAnsi="Times New Roman" w:eastAsia="FangSong" w:cs="Times New Roman"/>
        </w:rPr>
        <w:t>补全为</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合成氨平衡常数"/>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合成氨平衡常数</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co转化率与浓度影响"/>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Times New Roman" w:cs="Times New Roman"/>
        </w:rPr>
        <w:t>CO</w:t>
      </w:r>
      <w:r>
        <w:rPr>
          <w:rFonts w:hint="eastAsia" w:ascii="Times New Roman" w:hAnsi="Times New Roman" w:eastAsia="SimHei" w:cs="Times New Roman"/>
        </w:rPr>
        <w:t>转化率与浓度影响</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co2与h2的k-t表判断"/>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的</w:t>
      </w:r>
      <w:r>
        <w:rPr>
          <w:rFonts w:hint="eastAsia" w:ascii="Times New Roman" w:hAnsi="Times New Roman" w:eastAsia="Times New Roman" w:cs="Times New Roman"/>
        </w:rPr>
        <w:t>K-t</w:t>
      </w:r>
      <w:r>
        <w:rPr>
          <w:rFonts w:hint="eastAsia" w:ascii="Times New Roman" w:hAnsi="Times New Roman" w:eastAsia="SimHei" w:cs="Times New Roman"/>
        </w:rPr>
        <w:t>表判断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spacing w:before="160" w:after="80"/>
      </w:pPr>
      <w:r>
        <w:pict>
          <v:rect style="width:0;height:1.5pt" o:hralign="center" o:hrstd="t" o:hr="t"/>
        </w:pict>
      </w:r>
    </w:p>
    <w:bookmarkEnd w:id="33"/>
    <w:bookmarkStart w:id="34" w:name="勒沙特列原理解释啤酒泡沫"/>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勒沙特列原理解释啤酒泡沫</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合成氨平衡常数-1"/>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gibbs自由能"/>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溶度积"/>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spacing w:before="160" w:after="80"/>
      </w:pPr>
      <w:r>
        <w:pict>
          <v:rect style="width:0;height:1.5pt" o:hralign="center" o:hrstd="t" o:hr="t"/>
        </w:pict>
      </w:r>
    </w:p>
    <w:bookmarkEnd w:id="37"/>
    <w:bookmarkStart w:id="41" w:name="二组分共晶相图步冷曲线"/>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9" name="Picture"/>
            <a:graphic>
              <a:graphicData uri="http://schemas.openxmlformats.org/drawingml/2006/picture">
                <pic:pic>
                  <pic:nvPicPr>
                    <pic:cNvPr descr="physchem-binary-phase-diagram.jpg" id="40" name="Picture"/>
                    <pic:cNvPicPr>
                      <a:picLocks noChangeArrowheads="1" noChangeAspect="1"/>
                    </pic:cNvPicPr>
                  </pic:nvPicPr>
                  <pic:blipFill>
                    <a:blip r:embed="rId38"/>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4" w:name="二组分完全互溶相图"/>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42" name="Picture"/>
            <a:graphic>
              <a:graphicData uri="http://schemas.openxmlformats.org/drawingml/2006/picture">
                <pic:pic>
                  <pic:nvPicPr>
                    <pic:cNvPr descr="physchem-binary-phase-diagram.jpg" id="43" name="Picture"/>
                    <pic:cNvPicPr>
                      <a:picLocks noChangeArrowheads="1" noChangeAspect="1"/>
                    </pic:cNvPicPr>
                  </pic:nvPicPr>
                  <pic:blipFill>
                    <a:blip r:embed="rId38"/>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8" w:name="杠杆规则计算两相比例"/>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11"/>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12"/>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46" name="Picture"/>
            <a:graphic>
              <a:graphicData uri="http://schemas.openxmlformats.org/drawingml/2006/picture">
                <pic:pic>
                  <pic:nvPicPr>
                    <pic:cNvPr descr="physchem-phase-lever-rule.jpg" id="47" name="Picture"/>
                    <pic:cNvPicPr>
                      <a:picLocks noChangeArrowheads="1" noChangeAspect="1"/>
                    </pic:cNvPicPr>
                  </pic:nvPicPr>
                  <pic:blipFill>
                    <a:blip r:embed="rId45"/>
                    <a:stretch>
                      <a:fillRect/>
                    </a:stretch>
                  </pic:blipFill>
                  <pic:spPr bwMode="auto">
                    <a:xfrm>
                      <a:off x="0" y="0"/>
                      <a:ext cx="3600000" cy="22252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49" w:name="vanthoff温度影响"/>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Times New Roman" w:cs="Times New Roman"/>
        </w:rPr>
        <w:t>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平衡常数与转化率"/>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竞赛提升"/>
    <w:p>
      <w:pPr>
        <w:pStyle w:val="Heading2"/>
        <w:spacing w:before="280" w:after="120"/>
      </w:pPr>
      <w:r>
        <w:rPr>
          <w:rFonts w:hint="eastAsia" w:ascii="Times New Roman" w:hAnsi="Times New Roman" w:eastAsia="SimHei" w:cs="Times New Roman"/>
        </w:rPr>
        <w:t xml:space="preserve">竞赛提升</w:t>
      </w:r>
    </w:p>
    <w:bookmarkEnd w:id="51"/>
    <w:bookmarkStart w:id="52" w:name="多硫离子平衡计算"/>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agcl溶解度与相似相溶"/>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铁氧化物co与h2还原平衡"/>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lechatelier原理定量判断"/>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Times New Roman" w:cs="Times New Roman"/>
        </w:rPr>
        <w:t>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化学平衡常数"/>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化学平衡常数-1"/>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化学平衡常数-2"/>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化学平衡常数-3"/>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gibbs自由能与平衡"/>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60"/>
    <w:bookmarkStart w:id="61" w:name="化学平衡常数-4"/>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gibbs自由能与平衡-1"/>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化学平衡常数-5"/>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化学平衡常数-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co2与h2转化率"/>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spacing w:before="160" w:after="80"/>
      </w:pPr>
      <w:r>
        <w:pict>
          <v:rect style="width:0;height:1.5pt" o:hralign="center" o:hrstd="t" o:hr="t"/>
        </w:pict>
      </w:r>
    </w:p>
    <w:bookmarkEnd w:id="65"/>
    <w:bookmarkStart w:id="66" w:name="恒温恒容条件"/>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恒温</w:t>
      </w:r>
      <w:r>
        <w:rPr>
          <w:rFonts w:hint="eastAsia" w:ascii="Times New Roman" w:hAnsi="Times New Roman" w:eastAsia="Times New Roman" w:cs="Times New Roman"/>
        </w:rPr>
        <w:t>、</w:t>
      </w:r>
      <w:r>
        <w:rPr>
          <w:rFonts w:hint="eastAsia" w:ascii="Times New Roman" w:hAnsi="Times New Roman" w:eastAsia="SimHei" w:cs="Times New Roman"/>
        </w:rPr>
        <w:t>恒容条件</w:t>
      </w:r>
    </w:p>
    <w:p>
      <w:pPr>
        <w:pStyle w:val="FirstParagraph"/>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spacing w:before="160" w:after="80"/>
      </w:pPr>
      <w:r>
        <w:pict>
          <v:rect style="width:0;height:1.5pt" o:hralign="center" o:hrstd="t" o:hr="t"/>
        </w:pict>
      </w:r>
    </w:p>
    <w:bookmarkEnd w:id="66"/>
    <w:bookmarkStart w:id="67" w:name="容积不变的密闭容器"/>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 xml:space="preserve">容积不变的密闭容器</w:t>
      </w:r>
    </w:p>
    <w:p>
      <w:pPr>
        <w:pStyle w:val="FirstParagraph"/>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spacing w:before="160" w:after="80"/>
      </w:pPr>
      <w:r>
        <w:pict>
          <v:rect style="width:0;height:1.5pt" o:hralign="center" o:hrstd="t" o:hr="t"/>
        </w:pict>
      </w:r>
    </w:p>
    <w:bookmarkEnd w:id="67"/>
    <w:bookmarkStart w:id="68" w:name="溶度积-1"/>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spacing w:before="160" w:after="80"/>
      </w:pPr>
      <w:r>
        <w:pict>
          <v:rect style="width:0;height:1.5pt" o:hralign="center" o:hrstd="t" o:hr="t"/>
        </w:pict>
      </w:r>
    </w:p>
    <w:bookmarkEnd w:id="68"/>
    <w:bookmarkStart w:id="69" w:name="溶度积-2"/>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13"/>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3" w:name="初赛xef2制备条件"/>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Times New Roman" w:cs="Times New Roman"/>
        </w:rPr>
        <w:t>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71" name="Picture"/>
            <a:graphic>
              <a:graphicData uri="http://schemas.openxmlformats.org/drawingml/2006/picture">
                <pic:pic>
                  <pic:nvPicPr>
                    <pic:cNvPr descr="d2321ffaa5e5ca1cb2c10a7fcb0e412f4f3c4278b628e5d334acf5e9e120b9f5.jpg" id="72" name="Picture"/>
                    <pic:cNvPicPr>
                      <a:picLocks noChangeArrowheads="1" noChangeAspect="1"/>
                    </pic:cNvPicPr>
                  </pic:nvPicPr>
                  <pic:blipFill>
                    <a:blip r:embed="rId70"/>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14"/>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14"/>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江苏预赛铁与水蒸气kp省预赛"/>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Times New Roman" w:cs="Times New Roman"/>
        </w:rPr>
        <w:t>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再充入原料后平衡移动"/>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160" w:after="80"/>
      </w:pPr>
      <w:r>
        <w:pict>
          <v:rect style="width:0;height:1.5pt" o:hralign="center" o:hrstd="t" o:hr="t"/>
        </w:pict>
      </w:r>
    </w:p>
    <w:bookmarkEnd w:id="75"/>
    <w:bookmarkStart w:id="76" w:name="血红蛋白co中毒与乳酸作"/>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6"/>
    <w:bookmarkStart w:id="89" w:name="异构化x与y四图判k"/>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78" name="Picture"/>
            <a:graphic>
              <a:graphicData uri="http://schemas.openxmlformats.org/drawingml/2006/picture">
                <pic:pic>
                  <pic:nvPicPr>
                    <pic:cNvPr descr="747615873d9e347b461ed30e988d3cc4d8e52c741db182637d71f3e32aad8724.jpg" id="79" name="Picture"/>
                    <pic:cNvPicPr>
                      <a:picLocks noChangeArrowheads="1" noChangeAspect="1"/>
                    </pic:cNvPicPr>
                  </pic:nvPicPr>
                  <pic:blipFill>
                    <a:blip r:embed="rId77"/>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9259"/>
            <wp:effectExtent b="0" l="0" r="0" t="0"/>
            <wp:docPr descr="" title="" id="81" name="Picture"/>
            <a:graphic>
              <a:graphicData uri="http://schemas.openxmlformats.org/drawingml/2006/picture">
                <pic:pic>
                  <pic:nvPicPr>
                    <pic:cNvPr descr="3c2268ddba9cf22031b5c872a91523e2739287496d47cef821bb98078098c3db.jpg" id="82" name="Picture"/>
                    <pic:cNvPicPr>
                      <a:picLocks noChangeArrowheads="1" noChangeAspect="1"/>
                    </pic:cNvPicPr>
                  </pic:nvPicPr>
                  <pic:blipFill>
                    <a:blip r:embed="rId80"/>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34201"/>
            <wp:effectExtent b="0" l="0" r="0" t="0"/>
            <wp:docPr descr="" title="" id="84" name="Picture"/>
            <a:graphic>
              <a:graphicData uri="http://schemas.openxmlformats.org/drawingml/2006/picture">
                <pic:pic>
                  <pic:nvPicPr>
                    <pic:cNvPr descr="b242158c022aac6ab5c3eaa39b61fd900638873cf411149764c43e01e621b3c0.jpg" id="85" name="Picture"/>
                    <pic:cNvPicPr>
                      <a:picLocks noChangeArrowheads="1" noChangeAspect="1"/>
                    </pic:cNvPicPr>
                  </pic:nvPicPr>
                  <pic:blipFill>
                    <a:blip r:embed="rId83"/>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41528"/>
            <wp:effectExtent b="0" l="0" r="0" t="0"/>
            <wp:docPr descr="" title="" id="87" name="Picture"/>
            <a:graphic>
              <a:graphicData uri="http://schemas.openxmlformats.org/drawingml/2006/picture">
                <pic:pic>
                  <pic:nvPicPr>
                    <pic:cNvPr descr="a44f112f6baaa046068ea7471dd7d4615746e325f47e1c0fecf2c6c6aa0d88a1.jpg" id="88" name="Picture"/>
                    <pic:cNvPicPr>
                      <a:picLocks noChangeArrowheads="1" noChangeAspect="1"/>
                    </pic:cNvPicPr>
                  </pic:nvPicPr>
                  <pic:blipFill>
                    <a:blip r:embed="rId86"/>
                    <a:stretch>
                      <a:fillRect/>
                    </a:stretch>
                  </pic:blipFill>
                  <pic:spPr bwMode="auto">
                    <a:xfrm>
                      <a:off x="0" y="0"/>
                      <a:ext cx="3240000" cy="26415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按批</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教训直接以四图竖排列出并附标注</w:t>
      </w:r>
      <w:r>
        <w:rPr>
          <w:rFonts w:hint="eastAsia" w:ascii="Times New Roman" w:hAnsi="Times New Roman" w:eastAsia="Times New Roman" w:cs="Times New Roman"/>
        </w:rPr>
        <w:t>（</w:t>
      </w:r>
      <w:r>
        <w:rPr>
          <w:rFonts w:hint="eastAsia" w:ascii="Times New Roman" w:hAnsi="Times New Roman" w:eastAsia="FangSong" w:cs="Times New Roman"/>
        </w:rPr>
        <w:t>非表格嵌入</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89"/>
    <w:bookmarkStart w:id="90" w:name="ki与i2萃取平衡常数"/>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Times New Roman" w:cs="Times New Roman"/>
        </w:rPr>
        <w:t>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羟基磷灰石转化为氟磷灰石"/>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no2浓度变化计算第25届初赛"/>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初赛甲醇合成工艺kp"/>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Times New Roman" w:cs="Times New Roman"/>
        </w:rPr>
        <w:t>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94" name="Picture"/>
            <a:graphic>
              <a:graphicData uri="http://schemas.openxmlformats.org/drawingml/2006/picture">
                <pic:pic>
                  <pic:nvPicPr>
                    <pic:cNvPr descr="66b08849fe50da7fa23fe000960efe44646e71e048d843c98b3048b0edcefdd2.jpg" id="95" name="Picture"/>
                    <pic:cNvPicPr>
                      <a:picLocks noChangeArrowheads="1" noChangeAspect="1"/>
                    </pic:cNvPicPr>
                  </pic:nvPicPr>
                  <pic:blipFill>
                    <a:blip r:embed="rId93"/>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17"/>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费托合成co加氢四问"/>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18"/>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下n2o4no2分压计算第30届初赛"/>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平衡向左移动</w:t>
      </w:r>
    </w:p>
    <w:p>
      <w:pPr>
        <w:numPr>
          <w:ilvl w:val="0"/>
          <w:numId w:val="1019"/>
        </w:numPr>
      </w:pPr>
      <w:r>
        <w:rPr>
          <w:rFonts w:hint="eastAsia" w:ascii="Times New Roman" w:hAnsi="Times New Roman" w:eastAsia="FangSong" w:cs="Times New Roman"/>
        </w:rPr>
        <w:t xml:space="preserve">平衡不移动</w:t>
      </w:r>
    </w:p>
    <w:p>
      <w:pPr>
        <w:numPr>
          <w:ilvl w:val="0"/>
          <w:numId w:val="1019"/>
        </w:numPr>
      </w:pPr>
      <w:r>
        <w:rPr>
          <w:rFonts w:hint="eastAsia" w:ascii="Times New Roman" w:hAnsi="Times New Roman" w:eastAsia="FangSong" w:cs="Times New Roman"/>
        </w:rPr>
        <w:t xml:space="preserve">平衡向右移动</w:t>
      </w:r>
    </w:p>
    <w:p>
      <w:pPr>
        <w:numPr>
          <w:ilvl w:val="0"/>
          <w:numId w:val="1019"/>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平衡移动程度更大</w:t>
      </w:r>
    </w:p>
    <w:p>
      <w:pPr>
        <w:numPr>
          <w:ilvl w:val="0"/>
          <w:numId w:val="1020"/>
        </w:numPr>
      </w:pPr>
      <w:r>
        <w:rPr>
          <w:rFonts w:hint="eastAsia" w:ascii="Times New Roman" w:hAnsi="Times New Roman" w:eastAsia="FangSong" w:cs="Times New Roman"/>
        </w:rPr>
        <w:t xml:space="preserve">平衡移动程度更小</w:t>
      </w:r>
    </w:p>
    <w:p>
      <w:pPr>
        <w:numPr>
          <w:ilvl w:val="0"/>
          <w:numId w:val="1020"/>
        </w:numPr>
      </w:pPr>
      <w:r>
        <w:rPr>
          <w:rFonts w:hint="eastAsia" w:ascii="Times New Roman" w:hAnsi="Times New Roman" w:eastAsia="FangSong" w:cs="Times New Roman"/>
        </w:rPr>
        <w:t xml:space="preserve">平衡移动程度不变</w:t>
      </w:r>
    </w:p>
    <w:p>
      <w:pPr>
        <w:numPr>
          <w:ilvl w:val="0"/>
          <w:numId w:val="1020"/>
        </w:numPr>
      </w:pPr>
      <w:r>
        <w:rPr>
          <w:rFonts w:hint="eastAsia" w:ascii="Times New Roman" w:hAnsi="Times New Roman" w:eastAsia="FangSong" w:cs="Times New Roman"/>
        </w:rPr>
        <w:t xml:space="preserve">三者均有可能</w:t>
      </w:r>
    </w:p>
    <w:p>
      <w:pPr>
        <w:spacing w:before="160" w:after="80"/>
      </w:pPr>
      <w:r>
        <w:pict>
          <v:rect style="width:0;height:1.5pt" o:hralign="center" o:hrstd="t" o:hr="t"/>
        </w:pict>
      </w:r>
    </w:p>
    <w:bookmarkEnd w:id="98"/>
    <w:bookmarkStart w:id="99" w:name="多重平衡耦合"/>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 xml:space="preserve">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End w:id="10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0" Type="http://schemas.openxmlformats.org/officeDocument/2006/relationships/image" Target="media/rId80.jpg"/><Relationship Id="rId93" Type="http://schemas.openxmlformats.org/officeDocument/2006/relationships/image" Target="media/rId93.jpg"/><Relationship Id="rId77" Type="http://schemas.openxmlformats.org/officeDocument/2006/relationships/image" Target="media/rId77.jpg"/><Relationship Id="rId86" Type="http://schemas.openxmlformats.org/officeDocument/2006/relationships/image" Target="media/rId86.jpg"/><Relationship Id="rId83" Type="http://schemas.openxmlformats.org/officeDocument/2006/relationships/image" Target="media/rId83.jpg"/><Relationship Id="rId70" Type="http://schemas.openxmlformats.org/officeDocument/2006/relationships/image" Target="media/rId70.jpg"/><Relationship Id="rId38" Type="http://schemas.openxmlformats.org/officeDocument/2006/relationships/image" Target="media/rId38.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2026-09-19T05:00:11Z</dcterms:created>
  <dcterms:modified xsi:type="dcterms:W3CDTF">2026-09-19T05:00:11Z</dcterms:modified>
</cp:coreProperties>
</file>

<file path=docProps/custom.xml><?xml version="1.0" encoding="utf-8"?>
<Properties xmlns="http://schemas.openxmlformats.org/officeDocument/2006/custom-properties" xmlns:vt="http://schemas.openxmlformats.org/officeDocument/2006/docPropsVTypes"/>
</file>