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若再忽略分母中的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0.045，</w:t>
      </w:r>
      <w:r>
        <w:rPr>
          <w:rFonts w:hint="eastAsia" w:ascii="Times New Roman" w:hAnsi="Times New Roman" w:eastAsia="FangSong" w:cs="Times New Roman"/>
        </w:rPr>
        <w:t>二者同量级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0.041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转化率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要看谁被限量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上式的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的利用率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若投入的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少于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平衡要求的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尚未达到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FangSong" w:cs="Times New Roman"/>
        </w:rPr>
        <w:t>固体就已耗尽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一次处理转化率仅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4%」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一次处理只能转化约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4%），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3.18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3.18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这个窗口约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不算宽裕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2026-09-20T06:12:50Z</dcterms:created>
  <dcterms:modified xsi:type="dcterms:W3CDTF">2026-09-20T06:12:50Z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