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氧族与氮族元素-超级充实版自学完整"/>
    <w:p>
      <w:pPr>
        <w:pStyle w:val="Heading1"/>
        <w:spacing w:before="280" w:after="120"/>
        <w:jc w:val="center"/>
      </w:pPr>
      <w:r>
        <w:rPr>
          <w:rFonts w:hint="eastAsia" w:ascii="Times New Roman" w:hAnsi="Times New Roman" w:eastAsia="SimHei" w:cs="Times New Roman"/>
        </w:rPr>
        <w:t>氧族与氮族元素</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氧族单质与微观成键</w:t>
            </w:r>
          </w:p>
        </w:tc>
        <w:tc>
          <w:tcPr/>
          <w:p>
            <w:pPr>
              <w:pStyle w:val="Compact"/>
              <w:jc w:val="center"/>
            </w:pPr>
            <w:r>
              <w:rPr>
                <w:rFonts w:hint="eastAsia" w:ascii="Times New Roman" w:hAnsi="Times New Roman" w:eastAsia="FangSong" w:cs="Times New Roman"/>
              </w:rPr>
              <w:t>分子轨道能级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键与同素异形体</w:t>
            </w:r>
          </w:p>
        </w:tc>
        <w:tc>
          <w:tcPr/>
          <w:p>
            <w:pPr>
              <w:pStyle w:val="Compact"/>
              <w:jc w:val="center"/>
            </w:pPr>
            <w:r>
              <w:rPr>
                <w:rFonts w:hint="eastAsia" w:ascii="Times New Roman" w:hAnsi="Times New Roman" w:eastAsia="FangSong" w:cs="Times New Roman"/>
              </w:rPr>
              <w:t>掌握基态三线态氧与激发态单线态氧电子排布</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离域键构型</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皇冠构型与黏度反常相变机理</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硫含氧化合物与过氧酸</w:t>
            </w:r>
          </w:p>
        </w:tc>
        <w:tc>
          <w:tcPr/>
          <w:p>
            <w:pPr>
              <w:pStyle w:val="Compact"/>
              <w:jc w:val="center"/>
            </w:pPr>
            <w:r>
              <w:rPr>
                <w:rFonts w:hint="eastAsia" w:ascii="Times New Roman" w:hAnsi="Times New Roman" w:eastAsia="FangSong" w:cs="Times New Roman"/>
              </w:rPr>
              <w:t>多硫化物</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w:r>
              <w:rPr>
                <w:rFonts w:hint="eastAsia" w:ascii="Times New Roman" w:hAnsi="Times New Roman" w:eastAsia="FangSong" w:cs="Times New Roman"/>
              </w:rPr>
              <w:t>连二亚硫酸根与过硫酸结构</w:t>
            </w:r>
          </w:p>
        </w:tc>
        <w:tc>
          <w:tcPr/>
          <w:p>
            <w:pPr>
              <w:pStyle w:val="Compact"/>
              <w:jc w:val="center"/>
            </w:pPr>
            <w:r>
              <w:rPr>
                <w:rFonts w:hint="eastAsia" w:ascii="Times New Roman" w:hAnsi="Times New Roman" w:eastAsia="FangSong" w:cs="Times New Roman"/>
              </w:rPr>
              <w:t>熟练书写硫代硫酸盐歧化与配合</w:t>
            </w:r>
            <w:r>
              <w:rPr>
                <w:rFonts w:hint="eastAsia" w:ascii="Times New Roman" w:hAnsi="Times New Roman" w:eastAsia="Times New Roman" w:cs="Times New Roman"/>
              </w:rPr>
              <w:t>、</w:t>
            </w:r>
            <w:r>
              <w:rPr>
                <w:rFonts w:hint="eastAsia" w:ascii="Times New Roman" w:hAnsi="Times New Roman" w:eastAsia="FangSong" w:cs="Times New Roman"/>
              </w:rPr>
              <w:t>焦亚硫酸盐不对称结构</w:t>
            </w:r>
            <w:r>
              <w:rPr>
                <w:rFonts w:hint="eastAsia" w:ascii="Times New Roman" w:hAnsi="Times New Roman" w:eastAsia="Times New Roman" w:cs="Times New Roman"/>
              </w:rPr>
              <w:t>、</w:t>
            </w:r>
            <w:r>
              <w:rPr>
                <w:rFonts w:hint="eastAsia" w:ascii="Times New Roman" w:hAnsi="Times New Roman" w:eastAsia="FangSong" w:cs="Times New Roman"/>
              </w:rPr>
              <w:t>连二亚硫酸盐长</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键强还原性及</w:t>
            </w:r>
            <w:r>
              <w:rPr>
                <w:rFonts w:ascii="Times New Roman" w:hAnsi="Times New Roman" w:eastAsia="Times New Roman" w:cs="Times New Roman"/>
              </w:rPr>
              <w:t xml:space="preserve"> Marshall </w:t>
            </w:r>
            <w:r>
              <w:rPr>
                <w:rFonts w:hint="eastAsia" w:ascii="Times New Roman" w:hAnsi="Times New Roman" w:eastAsia="FangSong" w:cs="Times New Roman"/>
              </w:rPr>
              <w:t xml:space="preserve">酸过氧键反应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氮单质三键与多氮氢化物</w:t>
            </w:r>
          </w:p>
        </w:tc>
        <w:tc>
          <w:tcPr/>
          <w:p>
            <w:pPr>
              <w:pStyle w:val="Compact"/>
              <w:jc w:val="center"/>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二氮配合物端基活化与肼</w:t>
            </w:r>
            <w:r>
              <w:rPr>
                <w:rFonts w:hint="eastAsia" w:ascii="Times New Roman" w:hAnsi="Times New Roman" w:eastAsia="Times New Roman" w:cs="Times New Roman"/>
              </w:rPr>
              <w:t>、</w:t>
            </w:r>
            <w:r>
              <w:rPr>
                <w:rFonts w:hint="eastAsia" w:ascii="Times New Roman" w:hAnsi="Times New Roman" w:eastAsia="FangSong" w:cs="Times New Roman"/>
              </w:rPr>
              <w:t>叠氮酸</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高键能与配合物端基</w:t>
            </w:r>
            <w:r>
              <w:rPr>
                <w:rFonts w:hint="eastAsia" w:ascii="Times New Roman" w:hAnsi="Times New Roman" w:eastAsia="Times New Roman" w:cs="Times New Roman"/>
              </w:rPr>
              <w:t>/</w:t>
            </w:r>
            <w:r>
              <w:rPr>
                <w:rFonts w:hint="eastAsia" w:ascii="Times New Roman" w:hAnsi="Times New Roman" w:eastAsia="FangSong" w:cs="Times New Roman"/>
              </w:rPr>
              <w:t>侧基成键机理</w:t>
            </w:r>
            <w:r>
              <w:rPr>
                <w:rFonts w:hint="eastAsia" w:ascii="Times New Roman" w:hAnsi="Times New Roman" w:eastAsia="Times New Roman" w:cs="Times New Roman"/>
              </w:rPr>
              <w:t>、</w:t>
            </w:r>
            <w:r>
              <w:rPr>
                <w:rFonts w:hint="eastAsia" w:ascii="Times New Roman" w:hAnsi="Times New Roman" w:eastAsia="FangSong" w:cs="Times New Roman"/>
              </w:rPr>
              <w:t>液氨溶剂化电子强还原性</w:t>
            </w:r>
            <w:r>
              <w:rPr>
                <w:rFonts w:hint="eastAsia" w:ascii="Times New Roman" w:hAnsi="Times New Roman" w:eastAsia="Times New Roman" w:cs="Times New Roman"/>
              </w:rPr>
              <w:t>、</w:t>
            </w:r>
            <w:r>
              <w:rPr>
                <w:rFonts w:hint="eastAsia" w:ascii="Times New Roman" w:hAnsi="Times New Roman" w:eastAsia="FangSong" w:cs="Times New Roman"/>
              </w:rPr>
              <w:t>联氨交叉构象与叠氮化物线形结构及热分解</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氮氧化物与硝酸氧化还原</w:t>
            </w:r>
          </w:p>
        </w:tc>
        <w:tc>
          <w:tcPr/>
          <w:p>
            <w:pPr>
              <w:pStyle w:val="Compact"/>
              <w:jc w:val="center"/>
            </w:pPr>
            <w:r>
              <w:rPr>
                <w:rFonts w:hint="eastAsia" w:ascii="Times New Roman" w:hAnsi="Times New Roman" w:eastAsia="FangSong" w:cs="Times New Roman"/>
              </w:rPr>
              <w:t>二聚热力学平衡</w:t>
            </w:r>
            <w:r>
              <w:rPr>
                <w:rFonts w:hint="eastAsia" w:ascii="Times New Roman" w:hAnsi="Times New Roman" w:eastAsia="Times New Roman" w:cs="Times New Roman"/>
              </w:rPr>
              <w:t>、</w:t>
            </w:r>
            <w:r>
              <w:rPr>
                <w:rFonts w:hint="eastAsia" w:ascii="Times New Roman" w:hAnsi="Times New Roman" w:eastAsia="FangSong" w:cs="Times New Roman"/>
              </w:rPr>
              <w:t>硝酸浓度滑尺与王水氧化热力学</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平衡移动与结构</w:t>
            </w:r>
            <w:r>
              <w:rPr>
                <w:rFonts w:hint="eastAsia" w:ascii="Times New Roman" w:hAnsi="Times New Roman" w:eastAsia="Times New Roman" w:cs="Times New Roman"/>
              </w:rPr>
              <w:t>、</w:t>
            </w:r>
            <w:r>
              <w:rPr>
                <w:rFonts w:hint="eastAsia" w:ascii="Times New Roman" w:hAnsi="Times New Roman" w:eastAsia="FangSong" w:cs="Times New Roman"/>
              </w:rPr>
              <w:t>硝酸浓度对还原产物氧化态的调控规律</w:t>
            </w:r>
            <w:r>
              <w:rPr>
                <w:rFonts w:hint="eastAsia" w:ascii="Times New Roman" w:hAnsi="Times New Roman" w:eastAsia="Times New Roman" w:cs="Times New Roman"/>
              </w:rPr>
              <w:t>、</w:t>
            </w:r>
            <w:r>
              <w:rPr>
                <w:rFonts w:hint="eastAsia" w:ascii="Times New Roman" w:hAnsi="Times New Roman" w:eastAsia="FangSong" w:cs="Times New Roman"/>
              </w:rPr>
              <w:t>亚硝酸两性氧化还原及王水协同氧化配位机理</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磷单质与含氧酸多聚规律</w:t>
            </w:r>
          </w:p>
        </w:tc>
        <w:tc>
          <w:tcPr/>
          <w:p>
            <w:pPr>
              <w:pStyle w:val="Compact"/>
              <w:jc w:val="center"/>
            </w:pPr>
            <w:r>
              <w:rPr>
                <w:rFonts w:hint="eastAsia" w:ascii="Times New Roman" w:hAnsi="Times New Roman" w:eastAsia="FangSong" w:cs="Times New Roman"/>
              </w:rPr>
              <w:t>白磷香蕉键应变能</w:t>
            </w:r>
            <w:r>
              <w:rPr>
                <w:rFonts w:hint="eastAsia" w:ascii="Times New Roman" w:hAnsi="Times New Roman" w:eastAsia="Times New Roman" w:cs="Times New Roman"/>
              </w:rPr>
              <w:t>、</w:t>
            </w:r>
            <w:r>
              <w:rPr>
                <w:rFonts w:hint="eastAsia" w:ascii="Times New Roman" w:hAnsi="Times New Roman" w:eastAsia="FangSong" w:cs="Times New Roman"/>
              </w:rPr>
              <w:t>金刚烷构型氧化物与聚磷酸盐</w:t>
            </w:r>
          </w:p>
        </w:tc>
        <w:tc>
          <w:tcPr/>
          <w:p>
            <w:pPr>
              <w:pStyle w:val="Compact"/>
              <w:jc w:val="center"/>
            </w:pPr>
            <w:r>
              <w:rPr>
                <w:rFonts w:hint="eastAsia" w:ascii="Times New Roman" w:hAnsi="Times New Roman" w:eastAsia="FangSong" w:cs="Times New Roman"/>
              </w:rPr>
              <w:t xml:space="preserve">掌握白磷</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键角与应变能</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空间骨架</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亚磷酸的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键特征及三聚</w:t>
            </w:r>
            <w:r>
              <w:rPr>
                <w:rFonts w:hint="eastAsia" w:ascii="Times New Roman" w:hAnsi="Times New Roman" w:eastAsia="Times New Roman" w:cs="Times New Roman"/>
              </w:rPr>
              <w:t>/</w:t>
            </w:r>
            <w:r>
              <w:rPr>
                <w:rFonts w:hint="eastAsia" w:ascii="Times New Roman" w:hAnsi="Times New Roman" w:eastAsia="FangSong" w:cs="Times New Roman"/>
              </w:rPr>
              <w:t>环状偏磷酸盐缩聚机理</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重主族惰性电子对效应</w:t>
            </w:r>
          </w:p>
        </w:tc>
        <w:tc>
          <w:tcPr/>
          <w:p>
            <w:pPr>
              <w:pStyle w:val="Compact"/>
              <w:jc w:val="center"/>
            </w:pPr>
            <w:r>
              <w:rPr>
                <w:rFonts w:hint="eastAsia" w:ascii="Times New Roman" w:hAnsi="Times New Roman" w:eastAsia="FangSong" w:cs="Times New Roman"/>
              </w:rPr>
              <w:t>相对论效应</w:t>
            </w:r>
            <w:r>
              <w:rPr>
                <w:rFonts w:hint="eastAsia" w:ascii="Times New Roman" w:hAnsi="Times New Roman" w:eastAsia="Times New Roman" w:cs="Times New Roman"/>
              </w:rPr>
              <w:t>、</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惰性电子对与氧化态稳定性反演</w:t>
            </w:r>
          </w:p>
        </w:tc>
        <w:tc>
          <w:tcPr/>
          <w:p>
            <w:pPr>
              <w:pStyle w:val="Compact"/>
              <w:jc w:val="center"/>
            </w:pPr>
            <w:r>
              <w:rPr>
                <w:rFonts w:hint="eastAsia" w:ascii="Times New Roman" w:hAnsi="Times New Roman" w:eastAsia="FangSong" w:cs="Times New Roman"/>
              </w:rPr>
              <w:t>深刻理解由浅入深主族元素高价向低价的稳定性递变</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rPr>
                  <m:sty m:val="p"/>
                </m:rPr>
                <m:t>B</m:t>
              </m:r>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超强氧化性与雄黄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空间原子簇转化</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氧化还原电势态图解析</w:t>
            </w:r>
          </w:p>
        </w:tc>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图代数推导</w:t>
            </w:r>
            <w:r>
              <w:rPr>
                <w:rFonts w:hint="eastAsia" w:ascii="Times New Roman" w:hAnsi="Times New Roman" w:eastAsia="Times New Roman" w:cs="Times New Roman"/>
              </w:rPr>
              <w:t>、</w:t>
            </w:r>
            <w:r>
              <w:rPr>
                <w:rFonts w:hint="eastAsia" w:ascii="Times New Roman" w:hAnsi="Times New Roman" w:eastAsia="FangSong" w:cs="Times New Roman"/>
              </w:rPr>
              <w:t>歧化与归中判据</w:t>
            </w:r>
          </w:p>
        </w:tc>
        <w:tc>
          <w:tcPr/>
          <w:p>
            <w:pPr>
              <w:pStyle w:val="Compact"/>
              <w:jc w:val="center"/>
            </w:pPr>
            <w:r>
              <w:rPr>
                <w:rFonts w:hint="eastAsia" w:ascii="Times New Roman" w:hAnsi="Times New Roman" w:eastAsia="FangSong" w:cs="Times New Roman"/>
              </w:rPr>
              <w:t xml:space="preserve">熟练从电势图提取标准电极电势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运用凹凸性法则严格判定元素中间氧化态在酸性与碱性介质中的热力学歧化趋势</w:t>
            </w:r>
          </w:p>
        </w:tc>
      </w:tr>
    </w:tbl>
    <w:bookmarkEnd w:id="9"/>
    <w:bookmarkStart w:id="19"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p>
      <w:pPr>
        <w:pStyle w:val="FirstParagraph"/>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0078"/>
            <wp:effectExtent b="0" l="0" r="0" t="0"/>
            <wp:docPr descr="" title="" id="14" name="Picture"/>
            <a:graphic>
              <a:graphicData uri="http://schemas.openxmlformats.org/drawingml/2006/picture">
                <pic:pic>
                  <pic:nvPicPr>
                    <pic:cNvPr descr="a0ea2ce4f5120cff408a2e84d28babfd3b82d8c23fe23a966f4e6edb2044c97f.png" id="15" name="Picture"/>
                    <pic:cNvPicPr>
                      <a:picLocks noChangeArrowheads="1" noChangeAspect="1"/>
                    </pic:cNvPicPr>
                  </pic:nvPicPr>
                  <pic:blipFill>
                    <a:blip r:embed="rId13"/>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46535"/>
            <wp:effectExtent b="0" l="0" r="0" t="0"/>
            <wp:docPr descr="" title="" id="17" name="Picture"/>
            <a:graphic>
              <a:graphicData uri="http://schemas.openxmlformats.org/drawingml/2006/picture">
                <pic:pic>
                  <pic:nvPicPr>
                    <pic:cNvPr descr="b895ad73e732235c1365e826d473e22b59d36faf0a9ed225652303475de10b12.png" id="18" name="Picture"/>
                    <pic:cNvPicPr>
                      <a:picLocks noChangeArrowheads="1" noChangeAspect="1"/>
                    </pic:cNvPicPr>
                  </pic:nvPicPr>
                  <pic:blipFill>
                    <a:blip r:embed="rId16"/>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bookmarkEnd w:id="19"/>
    <w:bookmarkStart w:id="41"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p>
      <w:pPr>
        <w:pStyle w:val="FirstParagraph"/>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1" name="Picture"/>
            <a:graphic>
              <a:graphicData uri="http://schemas.openxmlformats.org/drawingml/2006/picture">
                <pic:pic>
                  <pic:nvPicPr>
                    <pic:cNvPr descr="9d49189a94be0d6950c9efc6859a96d8432daa62193956ede2c026360d7e5cbe.png" id="22" name="Picture"/>
                    <pic:cNvPicPr>
                      <a:picLocks noChangeArrowheads="1" noChangeAspect="1"/>
                    </pic:cNvPicPr>
                  </pic:nvPicPr>
                  <pic:blipFill>
                    <a:blip r:embed="rId20"/>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p>
      <w:pPr>
        <w:pStyle w:val="BodyText"/>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540"/>
            <wp:effectExtent b="0" l="0" r="0" t="0"/>
            <wp:docPr descr="" title="" id="24" name="Picture"/>
            <a:graphic>
              <a:graphicData uri="http://schemas.openxmlformats.org/drawingml/2006/picture">
                <pic:pic>
                  <pic:nvPicPr>
                    <pic:cNvPr descr="2d44173a0ad6c3307022f12199689c349178978c347c4d2b07bfe003630d2a95.png" id="25" name="Picture"/>
                    <pic:cNvPicPr>
                      <a:picLocks noChangeArrowheads="1" noChangeAspect="1"/>
                    </pic:cNvPicPr>
                  </pic:nvPicPr>
                  <pic:blipFill>
                    <a:blip r:embed="rId23"/>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27" name="Picture"/>
            <a:graphic>
              <a:graphicData uri="http://schemas.openxmlformats.org/drawingml/2006/picture">
                <pic:pic>
                  <pic:nvPicPr>
                    <pic:cNvPr descr="fddca8725b807f9d8aff14e1fe98bfc672d65300601596bc7fdcef327f787582.jpg" id="28" name="Picture"/>
                    <pic:cNvPicPr>
                      <a:picLocks noChangeArrowheads="1" noChangeAspect="1"/>
                    </pic:cNvPicPr>
                  </pic:nvPicPr>
                  <pic:blipFill>
                    <a:blip r:embed="rId26"/>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19377"/>
            <wp:effectExtent b="0" l="0" r="0" t="0"/>
            <wp:docPr descr="" title="" id="30" name="Picture"/>
            <a:graphic>
              <a:graphicData uri="http://schemas.openxmlformats.org/drawingml/2006/picture">
                <pic:pic>
                  <pic:nvPicPr>
                    <pic:cNvPr descr="57e50447d4e104f5566a80b27c084b4facfb9929eb3d6159a00201ece50f9bfa.png" id="31" name="Picture"/>
                    <pic:cNvPicPr>
                      <a:picLocks noChangeArrowheads="1" noChangeAspect="1"/>
                    </pic:cNvPicPr>
                  </pic:nvPicPr>
                  <pic:blipFill>
                    <a:blip r:embed="rId29"/>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4971"/>
            <wp:effectExtent b="0" l="0" r="0" t="0"/>
            <wp:docPr descr="" title="" id="33" name="Picture"/>
            <a:graphic>
              <a:graphicData uri="http://schemas.openxmlformats.org/drawingml/2006/picture">
                <pic:pic>
                  <pic:nvPicPr>
                    <pic:cNvPr descr="8a1dafcc7f9ef659848cb7441aeb51608e704ef1d68a01d539b6d8bb5acd3912.jpg" id="34" name="Picture"/>
                    <pic:cNvPicPr>
                      <a:picLocks noChangeArrowheads="1" noChangeAspect="1"/>
                    </pic:cNvPicPr>
                  </pic:nvPicPr>
                  <pic:blipFill>
                    <a:blip r:embed="rId32"/>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7314"/>
            <wp:effectExtent b="0" l="0" r="0" t="0"/>
            <wp:docPr descr="" title="" id="36" name="Picture"/>
            <a:graphic>
              <a:graphicData uri="http://schemas.openxmlformats.org/drawingml/2006/picture">
                <pic:pic>
                  <pic:nvPicPr>
                    <pic:cNvPr descr="2502b5a5c72929a9fb8413801c71944882e9db0c951f103e98c3c1ef25896a53.jpg" id="37" name="Picture"/>
                    <pic:cNvPicPr>
                      <a:picLocks noChangeArrowheads="1" noChangeAspect="1"/>
                    </pic:cNvPicPr>
                  </pic:nvPicPr>
                  <pic:blipFill>
                    <a:blip r:embed="rId35"/>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4816"/>
            <wp:effectExtent b="0" l="0" r="0" t="0"/>
            <wp:docPr descr="" title="" id="39" name="Picture"/>
            <a:graphic>
              <a:graphicData uri="http://schemas.openxmlformats.org/drawingml/2006/picture">
                <pic:pic>
                  <pic:nvPicPr>
                    <pic:cNvPr descr="8c0f727e8902696bed323254149526e1aaf2f889d85f520601cbe4633202c22f.jpg" id="40" name="Picture"/>
                    <pic:cNvPicPr>
                      <a:picLocks noChangeArrowheads="1" noChangeAspect="1"/>
                    </pic:cNvPicPr>
                  </pic:nvPicPr>
                  <pic:blipFill>
                    <a:blip r:embed="rId38"/>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41"/>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p>
      <w:pPr>
        <w:pStyle w:val="FirstParagraph"/>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8907"/>
            <wp:effectExtent b="0" l="0" r="0" t="0"/>
            <wp:docPr descr="" title="" id="43" name="Picture"/>
            <a:graphic>
              <a:graphicData uri="http://schemas.openxmlformats.org/drawingml/2006/picture">
                <pic:pic>
                  <pic:nvPicPr>
                    <pic:cNvPr descr="3bb3fe24f36567720603262a0ac6188d4bcb509be1f9bdd640b0d9b81d0d195b.png" id="44" name="Picture"/>
                    <pic:cNvPicPr>
                      <a:picLocks noChangeArrowheads="1" noChangeAspect="1"/>
                    </pic:cNvPicPr>
                  </pic:nvPicPr>
                  <pic:blipFill>
                    <a:blip r:embed="rId42"/>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9133"/>
            <wp:effectExtent b="0" l="0" r="0" t="0"/>
            <wp:docPr descr="" title="" id="46" name="Picture"/>
            <a:graphic>
              <a:graphicData uri="http://schemas.openxmlformats.org/drawingml/2006/picture">
                <pic:pic>
                  <pic:nvPicPr>
                    <pic:cNvPr descr="f551cba9609a4bffb1339b8dffd5eeb6a1b5be64d3480bfe6cf71950091ad751.jpg" id="47" name="Picture"/>
                    <pic:cNvPicPr>
                      <a:picLocks noChangeArrowheads="1" noChangeAspect="1"/>
                    </pic:cNvPicPr>
                  </pic:nvPicPr>
                  <pic:blipFill>
                    <a:blip r:embed="rId45"/>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3844"/>
            <wp:effectExtent b="0" l="0" r="0" t="0"/>
            <wp:docPr descr="" title="" id="49" name="Picture"/>
            <a:graphic>
              <a:graphicData uri="http://schemas.openxmlformats.org/drawingml/2006/picture">
                <pic:pic>
                  <pic:nvPicPr>
                    <pic:cNvPr descr="5987658fe5d57e0b3de3b8569706b3cb6d06cdfd321e2289d22d1303c0fa3614.jpg" id="50" name="Picture"/>
                    <pic:cNvPicPr>
                      <a:picLocks noChangeArrowheads="1" noChangeAspect="1"/>
                    </pic:cNvPicPr>
                  </pic:nvPicPr>
                  <pic:blipFill>
                    <a:blip r:embed="rId48"/>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1764"/>
            <wp:effectExtent b="0" l="0" r="0" t="0"/>
            <wp:docPr descr="" title="" id="52" name="Picture"/>
            <a:graphic>
              <a:graphicData uri="http://schemas.openxmlformats.org/drawingml/2006/picture">
                <pic:pic>
                  <pic:nvPicPr>
                    <pic:cNvPr descr="e786f4a2b5528f4891af88ad7b474799a1d33d70c7917fb01ec668d5ab80341a.jpg" id="53" name="Picture"/>
                    <pic:cNvPicPr>
                      <a:picLocks noChangeArrowheads="1" noChangeAspect="1"/>
                    </pic:cNvPicPr>
                  </pic:nvPicPr>
                  <pic:blipFill>
                    <a:blip r:embed="rId51"/>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feedback）。</w:t>
      </w:r>
      <w:r>
        <w:rPr>
          <w:rFonts w:hint="eastAsia" w:ascii="Times New Roman" w:hAnsi="Times New Roman" w:eastAsia="FangSong" w:cs="Times New Roman"/>
        </w:rPr>
        <w:t>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54"/>
    <w:bookmarkStart w:id="64"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59" name="Picture"/>
            <a:graphic>
              <a:graphicData uri="http://schemas.openxmlformats.org/drawingml/2006/picture">
                <pic:pic>
                  <pic:nvPicPr>
                    <pic:cNvPr descr="61424a117d69f6db5ec737e3dc0bfe241751cd28aa9a772aee04c5ffbfcdd894.jpg" id="60" name="Picture"/>
                    <pic:cNvPicPr>
                      <a:picLocks noChangeArrowheads="1" noChangeAspect="1"/>
                    </pic:cNvPicPr>
                  </pic:nvPicPr>
                  <pic:blipFill>
                    <a:blip r:embed="rId58"/>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62" name="Picture"/>
            <a:graphic>
              <a:graphicData uri="http://schemas.openxmlformats.org/drawingml/2006/picture">
                <pic:pic>
                  <pic:nvPicPr>
                    <pic:cNvPr descr="d7f0b6f352ab8dce8f96f1eb86fb62b9b1469ecc7e94fcafaf4b2be710da361d.jpg" id="63" name="Picture"/>
                    <pic:cNvPicPr>
                      <a:picLocks noChangeArrowheads="1" noChangeAspect="1"/>
                    </pic:cNvPicPr>
                  </pic:nvPicPr>
                  <pic:blipFill>
                    <a:blip r:embed="rId61"/>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p>
      <w:pPr>
        <w:pStyle w:val="BodyText"/>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Start w:id="83"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378"/>
            <wp:effectExtent b="0" l="0" r="0" t="0"/>
            <wp:docPr descr="" title="" id="66" name="Picture"/>
            <a:graphic>
              <a:graphicData uri="http://schemas.openxmlformats.org/drawingml/2006/picture">
                <pic:pic>
                  <pic:nvPicPr>
                    <pic:cNvPr descr="9a0caf8e6e9b7b2b2dff2d34d82da98c9f752ee449426e8df43c0fbe136afe7a.png" id="67" name="Picture"/>
                    <pic:cNvPicPr>
                      <a:picLocks noChangeArrowheads="1" noChangeAspect="1"/>
                    </pic:cNvPicPr>
                  </pic:nvPicPr>
                  <pic:blipFill>
                    <a:blip r:embed="rId65"/>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11262"/>
            <wp:effectExtent b="0" l="0" r="0" t="0"/>
            <wp:docPr descr="" title="" id="69" name="Picture"/>
            <a:graphic>
              <a:graphicData uri="http://schemas.openxmlformats.org/drawingml/2006/picture">
                <pic:pic>
                  <pic:nvPicPr>
                    <pic:cNvPr descr="09882c1771031a3ee20c1c5fc7e6fd0468ac109f3718ac509c00a0885848d02a.jpg" id="70" name="Picture"/>
                    <pic:cNvPicPr>
                      <a:picLocks noChangeArrowheads="1" noChangeAspect="1"/>
                    </pic:cNvPicPr>
                  </pic:nvPicPr>
                  <pic:blipFill>
                    <a:blip r:embed="rId68"/>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黑磷波状褶皱层状网格晶体结构</w:t>
      </w:r>
    </w:p>
    <w:p>
      <w:pPr>
        <w:pStyle w:val="BodyText"/>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15387"/>
            <wp:effectExtent b="0" l="0" r="0" t="0"/>
            <wp:docPr descr="" title="" id="72" name="Picture"/>
            <a:graphic>
              <a:graphicData uri="http://schemas.openxmlformats.org/drawingml/2006/picture">
                <pic:pic>
                  <pic:nvPicPr>
                    <pic:cNvPr descr="5d5251a1c97d1b6b815c44fee2d438270f164dd9bd4bb493cf589e35ea79d8ae.jpg" id="73" name="Picture"/>
                    <pic:cNvPicPr>
                      <a:picLocks noChangeArrowheads="1" noChangeAspect="1"/>
                    </pic:cNvPicPr>
                  </pic:nvPicPr>
                  <pic:blipFill>
                    <a:blip r:embed="rId71"/>
                    <a:stretch>
                      <a:fillRect/>
                    </a:stretch>
                  </pic:blipFill>
                  <pic:spPr bwMode="auto">
                    <a:xfrm>
                      <a:off x="0" y="0"/>
                      <a:ext cx="2667000" cy="25153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三氧化四磷金刚烷类似笼状结构</w:t>
      </w:r>
    </w:p>
    <w:p>
      <w:pPr>
        <w:pStyle w:val="BodyText"/>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5" name="Picture"/>
            <a:graphic>
              <a:graphicData uri="http://schemas.openxmlformats.org/drawingml/2006/picture">
                <pic:pic>
                  <pic:nvPicPr>
                    <pic:cNvPr descr="d9bfb5400650a1ef3ab5390517d3f9006b9bb8276299318ea0db27a0544adbad.jpg" id="76" name="Picture"/>
                    <pic:cNvPicPr>
                      <a:picLocks noChangeArrowheads="1" noChangeAspect="1"/>
                    </pic:cNvPicPr>
                  </pic:nvPicPr>
                  <pic:blipFill>
                    <a:blip r:embed="rId74"/>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70409"/>
            <wp:effectExtent b="0" l="0" r="0" t="0"/>
            <wp:docPr descr="" title="" id="78" name="Picture"/>
            <a:graphic>
              <a:graphicData uri="http://schemas.openxmlformats.org/drawingml/2006/picture">
                <pic:pic>
                  <pic:nvPicPr>
                    <pic:cNvPr descr="8ea00b309b657b1c9b306c1230d4fe06ec50681dd1eb90553d3a7de5df988795.png" id="79" name="Picture"/>
                    <pic:cNvPicPr>
                      <a:picLocks noChangeArrowheads="1" noChangeAspect="1"/>
                    </pic:cNvPicPr>
                  </pic:nvPicPr>
                  <pic:blipFill>
                    <a:blip r:embed="rId77"/>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81" name="Picture"/>
            <a:graphic>
              <a:graphicData uri="http://schemas.openxmlformats.org/drawingml/2006/picture">
                <pic:pic>
                  <pic:nvPicPr>
                    <pic:cNvPr descr="252f0e61ba00736abb9aa788188a5569f307a4f36b71981a5ca1159b007a224f.jpg" id="82" name="Picture"/>
                    <pic:cNvPicPr>
                      <a:picLocks noChangeArrowheads="1" noChangeAspect="1"/>
                    </pic:cNvPicPr>
                  </pic:nvPicPr>
                  <pic:blipFill>
                    <a:blip r:embed="rId80"/>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Start w:id="87"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85" name="Picture"/>
            <a:graphic>
              <a:graphicData uri="http://schemas.openxmlformats.org/drawingml/2006/picture">
                <pic:pic>
                  <pic:nvPicPr>
                    <pic:cNvPr descr="9f84841f0a2fe885dd171d7a1fa2105dd661e65a61550b7e2227c08ac3a8e745.jpg" id="86" name="Picture"/>
                    <pic:cNvPicPr>
                      <a:picLocks noChangeArrowheads="1" noChangeAspect="1"/>
                    </pic:cNvPicPr>
                  </pic:nvPicPr>
                  <pic:blipFill>
                    <a:blip r:embed="rId84"/>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bookmarkEnd w:id="87"/>
    <w:bookmarkStart w:id="91"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89" name="Picture"/>
            <a:graphic>
              <a:graphicData uri="http://schemas.openxmlformats.org/drawingml/2006/picture">
                <pic:pic>
                  <pic:nvPicPr>
                    <pic:cNvPr descr="3ec6f85bbab0ee45a207978a1437f5e6aff9e27d662bf16f38f982170797b526.jpg" id="90" name="Picture"/>
                    <pic:cNvPicPr>
                      <a:picLocks noChangeArrowheads="1" noChangeAspect="1"/>
                    </pic:cNvPicPr>
                  </pic:nvPicPr>
                  <pic:blipFill>
                    <a:blip r:embed="rId88"/>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氮族元素酸性水溶液电势态图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91"/>
    <w:bookmarkStart w:id="92" w:name="常见失分陷阱与认知冲突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在全国初赛与决赛中</w:t>
      </w:r>
      <w:r>
        <w:rPr>
          <w:rFonts w:hint="eastAsia" w:ascii="Times New Roman" w:hAnsi="Times New Roman" w:eastAsia="Times New Roman" w:cs="Times New Roman"/>
        </w:rPr>
        <w:t>，</w:t>
      </w:r>
      <w:r>
        <w:rPr>
          <w:rFonts w:hint="eastAsia" w:ascii="Times New Roman" w:hAnsi="Times New Roman" w:eastAsia="FangSong" w:cs="Times New Roman"/>
        </w:rPr>
        <w:t>氧族与氮族元素因多氧化态</w:t>
      </w:r>
      <w:r>
        <w:rPr>
          <w:rFonts w:hint="eastAsia" w:ascii="Times New Roman" w:hAnsi="Times New Roman" w:eastAsia="Times New Roman" w:cs="Times New Roman"/>
        </w:rPr>
        <w:t>、</w:t>
      </w:r>
      <w:r>
        <w:rPr>
          <w:rFonts w:hint="eastAsia" w:ascii="Times New Roman" w:hAnsi="Times New Roman" w:eastAsia="FangSong" w:cs="Times New Roman"/>
        </w:rPr>
        <w:t>多原子聚集</w:t>
      </w:r>
      <w:r>
        <w:rPr>
          <w:rFonts w:hint="eastAsia" w:ascii="Times New Roman" w:hAnsi="Times New Roman" w:eastAsia="Times New Roman" w:cs="Times New Roman"/>
        </w:rPr>
        <w:t>、</w:t>
      </w:r>
      <w:r>
        <w:rPr>
          <w:rFonts w:hint="eastAsia" w:ascii="Times New Roman" w:hAnsi="Times New Roman" w:eastAsia="FangSong" w:cs="Times New Roman"/>
        </w:rPr>
        <w:t>反常键型与复杂的酸碱</w:t>
      </w:r>
      <w:r>
        <w:rPr>
          <w:rFonts w:hint="eastAsia" w:ascii="Times New Roman" w:hAnsi="Times New Roman" w:eastAsia="Times New Roman" w:cs="Times New Roman"/>
        </w:rPr>
        <w:t>/</w:t>
      </w:r>
      <w:r>
        <w:rPr>
          <w:rFonts w:hint="eastAsia" w:ascii="Times New Roman" w:hAnsi="Times New Roman" w:eastAsia="FangSong" w:cs="Times New Roman"/>
        </w:rPr>
        <w:t>氧化还原交织</w:t>
      </w:r>
      <w:r>
        <w:rPr>
          <w:rFonts w:hint="eastAsia" w:ascii="Times New Roman" w:hAnsi="Times New Roman" w:eastAsia="Times New Roman" w:cs="Times New Roman"/>
        </w:rPr>
        <w:t>，</w:t>
      </w:r>
      <w:r>
        <w:rPr>
          <w:rFonts w:hint="eastAsia" w:ascii="Times New Roman" w:hAnsi="Times New Roman" w:eastAsia="FangSong" w:cs="Times New Roman"/>
        </w:rPr>
        <w:t>在各元素板块中失分率长期位居前列</w:t>
      </w:r>
      <w:r>
        <w:rPr>
          <w:rFonts w:hint="eastAsia" w:ascii="Times New Roman" w:hAnsi="Times New Roman" w:eastAsia="Times New Roman" w:cs="Times New Roman"/>
        </w:rPr>
        <w:t>。</w:t>
      </w:r>
      <w:r>
        <w:rPr>
          <w:rFonts w:hint="eastAsia" w:ascii="Times New Roman" w:hAnsi="Times New Roman" w:eastAsia="FangSong" w:cs="Times New Roman"/>
        </w:rPr>
        <w:t>以下按出现频率列出</w:t>
      </w:r>
      <w:r>
        <w:rPr>
          <w:rFonts w:ascii="Times New Roman" w:hAnsi="Times New Roman" w:eastAsia="Times New Roman" w:cs="Times New Roman"/>
        </w:rPr>
        <w:t xml:space="preserve"> 8 </w:t>
      </w:r>
      <w:r>
        <w:rPr>
          <w:rFonts w:hint="eastAsia" w:ascii="Times New Roman" w:hAnsi="Times New Roman" w:eastAsia="FangSong" w:cs="Times New Roman"/>
        </w:rPr>
        <w:t>个易错点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与不同卤素氧化反应产物的混淆陷阱</w:t>
      </w:r>
      <w:r>
        <w:rPr>
          <w:rFonts w:hint="eastAsia" w:ascii="Times New Roman" w:hAnsi="Times New Roman" w:eastAsia="Times New Roman" w:cs="Times New Roman"/>
        </w:rPr>
        <w:t>。</w:t>
      </w:r>
      <w:r>
        <w:rPr>
          <w:rFonts w:hint="eastAsia" w:ascii="Times New Roman" w:hAnsi="Times New Roman" w:eastAsia="FangSong" w:cs="Times New Roman"/>
        </w:rPr>
        <w:t>常见的错误是机械记忆</w:t>
      </w:r>
      <w:r>
        <w:rPr>
          <w:rFonts w:hint="eastAsia" w:ascii="Times New Roman" w:hAnsi="Times New Roman" w:eastAsia="Times New Roman" w:cs="Times New Roman"/>
        </w:rPr>
        <w:t>“</w:t>
      </w:r>
      <w:r>
        <w:rPr>
          <w:rFonts w:hint="eastAsia" w:ascii="Times New Roman" w:hAnsi="Times New Roman" w:eastAsia="FangSong" w:cs="Times New Roman"/>
        </w:rPr>
        <w:t>硫代硫酸盐被氧化为硫酸盐</w:t>
      </w:r>
      <w:r>
        <w:rPr>
          <w:rFonts w:hint="eastAsia" w:ascii="Times New Roman" w:hAnsi="Times New Roman" w:eastAsia="Times New Roman" w:cs="Times New Roman"/>
        </w:rPr>
        <w:t>”，</w:t>
      </w:r>
      <w:r>
        <w:rPr>
          <w:rFonts w:hint="eastAsia" w:ascii="Times New Roman" w:hAnsi="Times New Roman" w:eastAsia="FangSong" w:cs="Times New Roman"/>
        </w:rPr>
        <w:t>在面对经典容量分析碘量法时错误书写产物为硫酸根</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面对温和氧化剂碘单质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反应仅仅发生端基硫的单电子氧化偶联</w:t>
      </w:r>
      <w:r>
        <w:rPr>
          <w:rFonts w:hint="eastAsia" w:ascii="Times New Roman" w:hAnsi="Times New Roman" w:eastAsia="Times New Roman" w:cs="Times New Roman"/>
        </w:rPr>
        <w:t>，</w:t>
      </w:r>
      <w:r>
        <w:rPr>
          <w:rFonts w:hint="eastAsia" w:ascii="Times New Roman" w:hAnsi="Times New Roman" w:eastAsia="FangSong" w:cs="Times New Roman"/>
        </w:rPr>
        <w:t>只生成无色的连四硫酸根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反应比严格为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只有面对强氧化剂氯气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才会发生深层骨架氧化全量生成硫酸根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混淆二者会导致滴定计量比错误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连二亚硫酸钠与焦亚硫酸钠的化学式及结构倒置陷阱</w:t>
      </w:r>
      <w:r>
        <w:rPr>
          <w:rFonts w:hint="eastAsia" w:ascii="Times New Roman" w:hAnsi="Times New Roman" w:eastAsia="Times New Roman" w:cs="Times New Roman"/>
        </w:rPr>
        <w:t>。</w:t>
      </w:r>
      <w:r>
        <w:rPr>
          <w:rFonts w:hint="eastAsia" w:ascii="Times New Roman" w:hAnsi="Times New Roman" w:eastAsia="FangSong" w:cs="Times New Roman"/>
        </w:rPr>
        <w:t>工业名</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的强还原剂是连二亚硫酸钠</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具超长脆弱</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键与自由基解离平衡</w:t>
      </w:r>
      <w:r>
        <w:rPr>
          <w:rFonts w:hint="eastAsia" w:ascii="Times New Roman" w:hAnsi="Times New Roman" w:eastAsia="Times New Roman" w:cs="Times New Roman"/>
        </w:rPr>
        <w:t>）；</w:t>
      </w:r>
      <w:r>
        <w:rPr>
          <w:rFonts w:hint="eastAsia" w:ascii="Times New Roman" w:hAnsi="Times New Roman" w:eastAsia="FangSong" w:cs="Times New Roman"/>
        </w:rPr>
        <w:t>而用作食品防腐抗氧化剂的焦亚硫酸钠是二亚硫酸钠</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具有不对称的直接</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二者常因一字之差被混为一谈</w:t>
      </w:r>
      <w:r>
        <w:rPr>
          <w:rFonts w:hint="eastAsia" w:ascii="Times New Roman" w:hAnsi="Times New Roman" w:eastAsia="Times New Roman" w:cs="Times New Roman"/>
        </w:rPr>
        <w:t>，</w:t>
      </w:r>
      <w:r>
        <w:rPr>
          <w:rFonts w:hint="eastAsia" w:ascii="Times New Roman" w:hAnsi="Times New Roman" w:eastAsia="FangSong" w:cs="Times New Roman"/>
        </w:rPr>
        <w:t>造成化合价判定与氧化还原配平失误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白磷正四面体键角与香蕉键应变能忽视陷阱</w:t>
      </w:r>
      <w:r>
        <w:rPr>
          <w:rFonts w:hint="eastAsia" w:ascii="Times New Roman" w:hAnsi="Times New Roman" w:eastAsia="Times New Roman" w:cs="Times New Roman"/>
        </w:rPr>
        <w:t>。</w:t>
      </w:r>
      <w:r>
        <w:rPr>
          <w:rFonts w:hint="eastAsia" w:ascii="Times New Roman" w:hAnsi="Times New Roman" w:eastAsia="FangSong" w:cs="Times New Roman"/>
        </w:rPr>
        <w:t>在晶体结构与热化学计算中</w:t>
      </w:r>
      <w:r>
        <w:rPr>
          <w:rFonts w:hint="eastAsia" w:ascii="Times New Roman" w:hAnsi="Times New Roman" w:eastAsia="Times New Roman" w:cs="Times New Roman"/>
        </w:rPr>
        <w:t>，</w:t>
      </w:r>
      <w:r>
        <w:rPr>
          <w:rFonts w:hint="eastAsia" w:ascii="Times New Roman" w:hAnsi="Times New Roman" w:eastAsia="FangSong" w:cs="Times New Roman"/>
        </w:rPr>
        <w:t>常见的错误是把</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的分子构型类比为甲烷正四面体而将成键角错写为</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必须牢记</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4 </w:t>
      </w:r>
      <w:r>
        <w:rPr>
          <w:rFonts w:hint="eastAsia" w:ascii="Times New Roman" w:hAnsi="Times New Roman" w:eastAsia="FangSong" w:cs="Times New Roman"/>
        </w:rPr>
        <w:t>个磷原子位于四面体顶角</w:t>
      </w:r>
      <w:r>
        <w:rPr>
          <w:rFonts w:hint="eastAsia" w:ascii="Times New Roman" w:hAnsi="Times New Roman" w:eastAsia="Times New Roman" w:cs="Times New Roman"/>
        </w:rPr>
        <w:t>，</w:t>
      </w:r>
      <w:r>
        <w:rPr>
          <w:rFonts w:hint="eastAsia" w:ascii="Times New Roman" w:hAnsi="Times New Roman" w:eastAsia="FangSong" w:cs="Times New Roman"/>
        </w:rPr>
        <w:t>分子中不存在中心原子</w:t>
      </w:r>
      <w:r>
        <w:rPr>
          <w:rFonts w:hint="eastAsia" w:ascii="Times New Roman" w:hAnsi="Times New Roman" w:eastAsia="Times New Roman" w:cs="Times New Roman"/>
        </w:rPr>
        <w:t>，</w:t>
      </w:r>
      <w:r>
        <w:rPr>
          <w:rFonts w:hint="eastAsia" w:ascii="Times New Roman" w:hAnsi="Times New Roman" w:eastAsia="FangSong" w:cs="Times New Roman"/>
        </w:rPr>
        <w:t>磷原子彼此直接相连构成正四面体的边棱</w:t>
      </w:r>
      <w:r>
        <w:rPr>
          <w:rFonts w:hint="eastAsia" w:ascii="Times New Roman" w:hAnsi="Times New Roman" w:eastAsia="Times New Roman" w:cs="Times New Roman"/>
        </w:rPr>
        <w:t>，</w:t>
      </w:r>
      <w:r>
        <w:rPr>
          <w:rFonts w:hint="eastAsia" w:ascii="Times New Roman" w:hAnsi="Times New Roman" w:eastAsia="FangSong" w:cs="Times New Roman"/>
        </w:rPr>
        <w:t>因此几何键角严格受制于等边三角形的</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应指出由此引发的强角张力</w:t>
      </w:r>
      <w:r>
        <w:rPr>
          <w:rFonts w:hint="eastAsia" w:ascii="Times New Roman" w:hAnsi="Times New Roman" w:eastAsia="Times New Roman" w:cs="Times New Roman"/>
        </w:rPr>
        <w:t>“</w:t>
      </w:r>
      <w:r>
        <w:rPr>
          <w:rFonts w:hint="eastAsia" w:ascii="Times New Roman" w:hAnsi="Times New Roman" w:eastAsia="FangSong" w:cs="Times New Roman"/>
        </w:rPr>
        <w:t>香蕉弯曲键</w:t>
      </w:r>
      <w:r>
        <w:rPr>
          <w:rFonts w:hint="eastAsia" w:ascii="Times New Roman" w:hAnsi="Times New Roman" w:eastAsia="Times New Roman" w:cs="Times New Roman"/>
        </w:rPr>
        <w:t>”</w:t>
      </w:r>
      <w:r>
        <w:rPr>
          <w:rFonts w:hint="eastAsia" w:ascii="Times New Roman" w:hAnsi="Times New Roman" w:eastAsia="FangSong" w:cs="Times New Roman"/>
        </w:rPr>
        <w:t>与巨大应变能</w:t>
      </w:r>
      <w:r>
        <w:rPr>
          <w:rFonts w:hint="eastAsia" w:ascii="Times New Roman" w:hAnsi="Times New Roman" w:eastAsia="Times New Roman" w:cs="Times New Roman"/>
        </w:rPr>
        <w:t>，</w:t>
      </w:r>
      <w:r>
        <w:rPr>
          <w:rFonts w:hint="eastAsia" w:ascii="Times New Roman" w:hAnsi="Times New Roman" w:eastAsia="FangSong" w:cs="Times New Roman"/>
        </w:rPr>
        <w:t>这是白磷仅在</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即可自燃的深层物理根源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次磷酸与亚磷酸酸度元数与</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键的常识盲区陷阱</w:t>
      </w:r>
      <w:r>
        <w:rPr>
          <w:rFonts w:hint="eastAsia" w:ascii="Times New Roman" w:hAnsi="Times New Roman" w:eastAsia="Times New Roman" w:cs="Times New Roman"/>
        </w:rPr>
        <w:t>。</w:t>
      </w:r>
      <w:r>
        <w:rPr>
          <w:rFonts w:hint="eastAsia" w:ascii="Times New Roman" w:hAnsi="Times New Roman" w:eastAsia="FangSong" w:cs="Times New Roman"/>
        </w:rPr>
        <w:t>常见的错误是只看化学式表面数字</w:t>
      </w:r>
      <w:r>
        <w:rPr>
          <w:rFonts w:hint="eastAsia" w:ascii="Times New Roman" w:hAnsi="Times New Roman" w:eastAsia="Times New Roman" w:cs="Times New Roman"/>
        </w:rPr>
        <w:t>，</w:t>
      </w:r>
      <w:r>
        <w:rPr>
          <w:rFonts w:hint="eastAsia" w:ascii="Times New Roman" w:hAnsi="Times New Roman" w:eastAsia="FangSong" w:cs="Times New Roman"/>
        </w:rPr>
        <w:t>误将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判定为三元酸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判定为三元酸</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磷含氧酸分子中只有连接在氧上的羟基质子才能在水中电离出氢离子</w:t>
      </w:r>
      <w:r>
        <w:rPr>
          <w:rFonts w:hint="eastAsia" w:ascii="Times New Roman" w:hAnsi="Times New Roman" w:eastAsia="Times New Roman" w:cs="Times New Roman"/>
        </w:rPr>
        <w:t>！</w:t>
      </w:r>
      <w:r>
        <w:rPr>
          <w:rFonts w:hint="eastAsia" w:ascii="Times New Roman" w:hAnsi="Times New Roman" w:eastAsia="FangSong" w:cs="Times New Roman"/>
        </w:rPr>
        <w:t>次磷酸结构为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是一元酸</w:t>
      </w:r>
      <w:r>
        <w:rPr>
          <w:rFonts w:hint="eastAsia" w:ascii="Times New Roman" w:hAnsi="Times New Roman" w:eastAsia="Times New Roman" w:cs="Times New Roman"/>
        </w:rPr>
        <w:t>（</w:t>
      </w:r>
      <w:r>
        <w:rPr>
          <w:rFonts w:hint="eastAsia" w:ascii="Times New Roman" w:hAnsi="Times New Roman" w:eastAsia="FangSong" w:cs="Times New Roman"/>
        </w:rPr>
        <w:t>其正盐为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水溶液不显强酸性</w:t>
      </w:r>
      <w:r>
        <w:rPr>
          <w:rFonts w:hint="eastAsia" w:ascii="Times New Roman" w:hAnsi="Times New Roman" w:eastAsia="Times New Roman" w:cs="Times New Roman"/>
        </w:rPr>
        <w:t>）；</w:t>
      </w:r>
      <w:r>
        <w:rPr>
          <w:rFonts w:hint="eastAsia" w:ascii="Times New Roman" w:hAnsi="Times New Roman" w:eastAsia="FangSong" w:cs="Times New Roman"/>
        </w:rPr>
        <w:t>亚磷酸结构为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是二元酸</w:t>
      </w:r>
      <w:r>
        <w:rPr>
          <w:rFonts w:hint="eastAsia" w:ascii="Times New Roman" w:hAnsi="Times New Roman" w:eastAsia="Times New Roman" w:cs="Times New Roman"/>
        </w:rPr>
        <w:t>（</w:t>
      </w:r>
      <w:r>
        <w:rPr>
          <w:rFonts w:hint="eastAsia" w:ascii="Times New Roman" w:hAnsi="Times New Roman" w:eastAsia="FangSong" w:cs="Times New Roman"/>
        </w:rPr>
        <w:t>正盐为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hint="eastAsia" w:ascii="Times New Roman" w:hAnsi="Times New Roman" w:eastAsia="Times New Roman" w:cs="Times New Roman"/>
        </w:rPr>
        <w:t>）。</w:t>
      </w:r>
      <w:r>
        <w:rPr>
          <w:rFonts w:hint="eastAsia" w:ascii="Times New Roman" w:hAnsi="Times New Roman" w:eastAsia="FangSong" w:cs="Times New Roman"/>
        </w:rPr>
        <w:t>同时不能遗漏直接连在磷上的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键所赋予的强还原性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硝酸氧化还原产物与金属活泼性滑尺脱节陷阱</w:t>
      </w:r>
      <w:r>
        <w:rPr>
          <w:rFonts w:hint="eastAsia" w:ascii="Times New Roman" w:hAnsi="Times New Roman" w:eastAsia="Times New Roman" w:cs="Times New Roman"/>
        </w:rPr>
        <w:t>。</w:t>
      </w:r>
      <w:r>
        <w:rPr>
          <w:rFonts w:hint="eastAsia" w:ascii="Times New Roman" w:hAnsi="Times New Roman" w:eastAsia="FangSong" w:cs="Times New Roman"/>
        </w:rPr>
        <w:t>在解无机推断题时</w:t>
      </w:r>
      <w:r>
        <w:rPr>
          <w:rFonts w:hint="eastAsia" w:ascii="Times New Roman" w:hAnsi="Times New Roman" w:eastAsia="Times New Roman" w:cs="Times New Roman"/>
        </w:rPr>
        <w:t>，</w:t>
      </w:r>
      <w:r>
        <w:rPr>
          <w:rFonts w:hint="eastAsia" w:ascii="Times New Roman" w:hAnsi="Times New Roman" w:eastAsia="FangSong" w:cs="Times New Roman"/>
        </w:rPr>
        <w:t>常见的错误是误以为硝酸被金属还原只能生成</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在面对活泼强还原性金属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且使用冷极稀硝酸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体系没有气泡产生</w:t>
      </w:r>
      <w:r>
        <w:rPr>
          <w:rFonts w:hint="eastAsia" w:ascii="Times New Roman" w:hAnsi="Times New Roman" w:eastAsia="Times New Roman" w:cs="Times New Roman"/>
        </w:rPr>
        <w:t>，</w:t>
      </w:r>
      <w:r>
        <w:rPr>
          <w:rFonts w:hint="eastAsia" w:ascii="Times New Roman" w:hAnsi="Times New Roman" w:eastAsia="FangSong" w:cs="Times New Roman"/>
        </w:rPr>
        <w:t>五价氮被深度还原至最低价态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价生成硝酸铵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若按产生气体盲目推断</w:t>
      </w:r>
      <w:r>
        <w:rPr>
          <w:rFonts w:hint="eastAsia" w:ascii="Times New Roman" w:hAnsi="Times New Roman" w:eastAsia="Times New Roman" w:cs="Times New Roman"/>
        </w:rPr>
        <w:t>，</w:t>
      </w:r>
      <w:r>
        <w:rPr>
          <w:rFonts w:hint="eastAsia" w:ascii="Times New Roman" w:hAnsi="Times New Roman" w:eastAsia="FangSong" w:cs="Times New Roman"/>
        </w:rPr>
        <w:t>会使整题逻辑中断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叠氮酸与叠氮化物的稳定性两极分化陷阱</w:t>
      </w:r>
      <w:r>
        <w:rPr>
          <w:rFonts w:hint="eastAsia" w:ascii="Times New Roman" w:hAnsi="Times New Roman" w:eastAsia="Times New Roman" w:cs="Times New Roman"/>
        </w:rPr>
        <w:t>。</w:t>
      </w:r>
      <w:r>
        <w:rPr>
          <w:rFonts w:hint="eastAsia" w:ascii="Times New Roman" w:hAnsi="Times New Roman" w:eastAsia="FangSong" w:cs="Times New Roman"/>
        </w:rPr>
        <w:t>把所有叠氮化物都当作极易爆炸的危险品</w:t>
      </w:r>
      <w:r>
        <w:rPr>
          <w:rFonts w:hint="eastAsia" w:ascii="Times New Roman" w:hAnsi="Times New Roman" w:eastAsia="Times New Roman" w:cs="Times New Roman"/>
        </w:rPr>
        <w:t>。</w:t>
      </w:r>
      <w:r>
        <w:rPr>
          <w:rFonts w:hint="eastAsia" w:ascii="Times New Roman" w:hAnsi="Times New Roman" w:eastAsia="FangSong" w:cs="Times New Roman"/>
        </w:rPr>
        <w:t>应严格区分阳离子极化力</w:t>
      </w:r>
      <w:r>
        <w:rPr>
          <w:rFonts w:hint="eastAsia" w:ascii="Times New Roman" w:hAnsi="Times New Roman" w:eastAsia="Times New Roman" w:cs="Times New Roman"/>
        </w:rPr>
        <w:t>：</w:t>
      </w:r>
      <w:r>
        <w:rPr>
          <w:rFonts w:hint="eastAsia" w:ascii="Times New Roman" w:hAnsi="Times New Roman" w:eastAsia="FangSong" w:cs="Times New Roman"/>
        </w:rPr>
        <w:t>重金属叠氮化物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受强共价极化诱导易爆炸</w:t>
      </w:r>
      <w:r>
        <w:rPr>
          <w:rFonts w:hint="eastAsia" w:ascii="Times New Roman" w:hAnsi="Times New Roman" w:eastAsia="Times New Roman" w:cs="Times New Roman"/>
        </w:rPr>
        <w:t>，</w:t>
      </w:r>
      <w:r>
        <w:rPr>
          <w:rFonts w:hint="eastAsia" w:ascii="Times New Roman" w:hAnsi="Times New Roman" w:eastAsia="FangSong" w:cs="Times New Roman"/>
        </w:rPr>
        <w:t>充当雷管起爆药</w:t>
      </w:r>
      <w:r>
        <w:rPr>
          <w:rFonts w:hint="eastAsia" w:ascii="Times New Roman" w:hAnsi="Times New Roman" w:eastAsia="Times New Roman" w:cs="Times New Roman"/>
        </w:rPr>
        <w:t>；</w:t>
      </w:r>
      <w:r>
        <w:rPr>
          <w:rFonts w:hint="eastAsia" w:ascii="Times New Roman" w:hAnsi="Times New Roman" w:eastAsia="FangSong" w:cs="Times New Roman"/>
        </w:rPr>
        <w:t>而离子型的强电正性碱金属叠氮化物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在受热撞击时进行的是极其安全</w:t>
      </w:r>
      <w:r>
        <w:rPr>
          <w:rFonts w:hint="eastAsia" w:ascii="Times New Roman" w:hAnsi="Times New Roman" w:eastAsia="Times New Roman" w:cs="Times New Roman"/>
        </w:rPr>
        <w:t>、</w:t>
      </w:r>
      <w:r>
        <w:rPr>
          <w:rFonts w:hint="eastAsia" w:ascii="Times New Roman" w:hAnsi="Times New Roman" w:eastAsia="FangSong" w:cs="Times New Roman"/>
        </w:rPr>
        <w:t>受控且快速平稳的非爆炸性分解释放纯净氮气</w:t>
      </w:r>
      <w:r>
        <w:rPr>
          <w:rFonts w:hint="eastAsia" w:ascii="Times New Roman" w:hAnsi="Times New Roman" w:eastAsia="Times New Roman" w:cs="Times New Roman"/>
        </w:rPr>
        <w:t>，</w:t>
      </w:r>
      <w:r>
        <w:rPr>
          <w:rFonts w:hint="eastAsia" w:ascii="Times New Roman" w:hAnsi="Times New Roman" w:eastAsia="FangSong" w:cs="Times New Roman"/>
        </w:rPr>
        <w:t>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（V）</w:t>
      </w:r>
      <w:r>
        <w:rPr>
          <w:rFonts w:hint="eastAsia" w:ascii="Times New Roman" w:hAnsi="Times New Roman" w:eastAsia="FangSong" w:cs="Times New Roman"/>
        </w:rPr>
        <w:t>强氧化性与惰性电子对相对论效应认知盲区陷阱</w:t>
      </w:r>
      <w:r>
        <w:rPr>
          <w:rFonts w:hint="eastAsia" w:ascii="Times New Roman" w:hAnsi="Times New Roman" w:eastAsia="Times New Roman" w:cs="Times New Roman"/>
        </w:rPr>
        <w:t>。</w:t>
      </w:r>
      <w:r>
        <w:rPr>
          <w:rFonts w:hint="eastAsia" w:ascii="Times New Roman" w:hAnsi="Times New Roman" w:eastAsia="FangSong" w:cs="Times New Roman"/>
        </w:rPr>
        <w:t>受氮族上部元素</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常误以为铋的最高价</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价很容易稳定存在</w:t>
      </w:r>
      <w:r>
        <w:rPr>
          <w:rFonts w:hint="eastAsia" w:ascii="Times New Roman" w:hAnsi="Times New Roman" w:eastAsia="Times New Roman" w:cs="Times New Roman"/>
        </w:rPr>
        <w:t>。</w:t>
      </w:r>
      <w:r>
        <w:rPr>
          <w:rFonts w:hint="eastAsia" w:ascii="Times New Roman" w:hAnsi="Times New Roman" w:eastAsia="FangSong" w:cs="Times New Roman"/>
        </w:rPr>
        <w:t>由于相对论效应导致</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电子极难失去</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导致五价铋化合物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具有超强氧化性</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在酸性介质中能把无色的</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氧化为紫红色的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这是鉴别铋或锰的关键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王水溶解贵金属黄金微观机理的单向归因陷阱</w:t>
      </w:r>
      <w:r>
        <w:rPr>
          <w:rFonts w:hint="eastAsia" w:ascii="Times New Roman" w:hAnsi="Times New Roman" w:eastAsia="Times New Roman" w:cs="Times New Roman"/>
        </w:rPr>
        <w:t>。</w:t>
      </w:r>
      <w:r>
        <w:rPr>
          <w:rFonts w:hint="eastAsia" w:ascii="Times New Roman" w:hAnsi="Times New Roman" w:eastAsia="FangSong" w:cs="Times New Roman"/>
        </w:rPr>
        <w:t>把王水溶解黄金简单地归结为</w:t>
      </w:r>
      <w:r>
        <w:rPr>
          <w:rFonts w:hint="eastAsia" w:ascii="Times New Roman" w:hAnsi="Times New Roman" w:eastAsia="Times New Roman" w:cs="Times New Roman"/>
        </w:rPr>
        <w:t>“</w:t>
      </w:r>
      <w:r>
        <w:rPr>
          <w:rFonts w:hint="eastAsia" w:ascii="Times New Roman" w:hAnsi="Times New Roman" w:eastAsia="FangSong" w:cs="Times New Roman"/>
        </w:rPr>
        <w:t>浓硝酸氧化性加浓盐酸还原性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产生氯气把金氧化</w:t>
      </w:r>
      <w:r>
        <w:rPr>
          <w:rFonts w:hint="eastAsia" w:ascii="Times New Roman" w:hAnsi="Times New Roman" w:eastAsia="Times New Roman" w:cs="Times New Roman"/>
        </w:rPr>
        <w:t>”。</w:t>
      </w:r>
      <w:r>
        <w:rPr>
          <w:rFonts w:hint="eastAsia" w:ascii="Times New Roman" w:hAnsi="Times New Roman" w:eastAsia="FangSong" w:cs="Times New Roman"/>
        </w:rPr>
        <w:t>纯浓硝酸的氧化电势低于黄金的</w:t>
      </w:r>
      <w:r>
        <w:rPr>
          <w:rFonts w:ascii="Times New Roman" w:hAnsi="Times New Roman" w:eastAsia="Times New Roman" w:cs="Times New Roman"/>
        </w:rPr>
        <w:t xml:space="preserve"> </w:t>
      </w:r>
      <m:oMath>
        <m:r>
          <m:rPr>
            <m:sty m:val="p"/>
          </m:rPr>
          <m:t>+</m:t>
        </m:r>
        <m:r>
          <m:t>1.5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核心机理是氧化与配位的协同作用</w:t>
      </w:r>
      <w:r>
        <w:rPr>
          <w:rFonts w:hint="eastAsia" w:ascii="Times New Roman" w:hAnsi="Times New Roman" w:eastAsia="Times New Roman" w:cs="Times New Roman"/>
        </w:rPr>
        <w:t>：</w:t>
      </w:r>
      <w:r>
        <w:rPr>
          <w:rFonts w:hint="eastAsia" w:ascii="Times New Roman" w:hAnsi="Times New Roman" w:eastAsia="FangSong" w:cs="Times New Roman"/>
        </w:rPr>
        <w:t>浓盐酸提供高达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的极高浓度氯离子与氧化生成的微量三价金发生极其稳定的络合反应生成配阴离子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将电对实际还原电势大幅拉低至</w:t>
      </w:r>
      <w:r>
        <w:rPr>
          <w:rFonts w:ascii="Times New Roman" w:hAnsi="Times New Roman" w:eastAsia="Times New Roman" w:cs="Times New Roman"/>
        </w:rPr>
        <w:t xml:space="preserve"> </w:t>
      </w:r>
      <m:oMath>
        <m:r>
          <m:rPr>
            <m:sty m:val="p"/>
          </m:rPr>
          <m:t>+</m:t>
        </m:r>
        <m:r>
          <m:t>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从而被硝酸氧化电位覆盖</w:t>
      </w:r>
      <w:r>
        <w:rPr>
          <w:rFonts w:hint="eastAsia" w:ascii="Times New Roman" w:hAnsi="Times New Roman" w:eastAsia="Times New Roman" w:cs="Times New Roman"/>
        </w:rPr>
        <w:t>。</w:t>
      </w:r>
      <w:r>
        <w:rPr>
          <w:rFonts w:hint="eastAsia" w:ascii="Times New Roman" w:hAnsi="Times New Roman" w:eastAsia="FangSong" w:cs="Times New Roman"/>
        </w:rPr>
        <w:t>遗漏配位协同机理会明显失分</w:t>
      </w:r>
      <w:r>
        <w:rPr>
          <w:rFonts w:hint="eastAsia" w:ascii="Times New Roman" w:hAnsi="Times New Roman" w:eastAsia="Times New Roman" w:cs="Times New Roman"/>
        </w:rPr>
        <w:t>。</w:t>
      </w:r>
    </w:p>
    <w:bookmarkEnd w:id="92"/>
    <w:bookmarkStart w:id="94"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hint="eastAsia" w:ascii="Times New Roman" w:hAnsi="Times New Roman" w:eastAsia="Times New Roman" w:cs="Times New Roman"/>
        </w:rPr>
        <w:t>·</w:t>
      </w:r>
      <w:r>
        <w:rPr>
          <w:rFonts w:hint="eastAsia" w:ascii="Times New Roman" w:hAnsi="Times New Roman" w:eastAsia="FangSong" w:cs="Times New Roman"/>
        </w:rPr>
        <w:t>氧族习题</w:t>
      </w:r>
      <w:r>
        <w:rPr>
          <w:rFonts w:hint="eastAsia" w:ascii="Times New Roman" w:hAnsi="Times New Roman" w:eastAsia="Times New Roman" w:cs="Times New Roman"/>
        </w:rPr>
        <w:t>1]</w:t>
      </w:r>
      <w:r>
        <w:rPr>
          <w:rFonts w:ascii="Times New Roman" w:hAnsi="Times New Roman" w:eastAsia="Times New Roman" w:cs="Times New Roman"/>
        </w:rPr>
        <w:t xml:space="preserve"> 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16.58]</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16.51]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15.70]</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hint="eastAsia" w:ascii="Times New Roman" w:hAnsi="Times New Roman" w:eastAsia="Times New Roman" w:cs="Times New Roman"/>
        </w:rPr>
        <w:t>·</w:t>
      </w:r>
      <w:r>
        <w:rPr>
          <w:rFonts w:hint="eastAsia" w:ascii="Times New Roman" w:hAnsi="Times New Roman" w:eastAsia="FangSong" w:cs="Times New Roman"/>
        </w:rPr>
        <w:t>氮族习题</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15.65]</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35" Type="http://schemas.openxmlformats.org/officeDocument/2006/relationships/image" Target="media/rId35.jpg"/><Relationship Id="rId80" Type="http://schemas.openxmlformats.org/officeDocument/2006/relationships/image" Target="media/rId80.jpg"/><Relationship Id="rId10" Type="http://schemas.openxmlformats.org/officeDocument/2006/relationships/image" Target="media/rId10.jpg"/><Relationship Id="rId23" Type="http://schemas.openxmlformats.org/officeDocument/2006/relationships/image" Target="media/rId23.png"/><Relationship Id="rId42" Type="http://schemas.openxmlformats.org/officeDocument/2006/relationships/image" Target="media/rId42.png"/><Relationship Id="rId88" Type="http://schemas.openxmlformats.org/officeDocument/2006/relationships/image" Target="media/rId88.jpg"/><Relationship Id="rId29" Type="http://schemas.openxmlformats.org/officeDocument/2006/relationships/image" Target="media/rId29.png"/><Relationship Id="rId48" Type="http://schemas.openxmlformats.org/officeDocument/2006/relationships/image" Target="media/rId48.jpg"/><Relationship Id="rId71" Type="http://schemas.openxmlformats.org/officeDocument/2006/relationships/image" Target="media/rId71.jpg"/><Relationship Id="rId58" Type="http://schemas.openxmlformats.org/officeDocument/2006/relationships/image" Target="media/rId58.jpg"/><Relationship Id="rId32" Type="http://schemas.openxmlformats.org/officeDocument/2006/relationships/image" Target="media/rId32.jpg"/><Relationship Id="rId38" Type="http://schemas.openxmlformats.org/officeDocument/2006/relationships/image" Target="media/rId38.jpg"/><Relationship Id="rId77" Type="http://schemas.openxmlformats.org/officeDocument/2006/relationships/image" Target="media/rId77.png"/><Relationship Id="rId65" Type="http://schemas.openxmlformats.org/officeDocument/2006/relationships/image" Target="media/rId65.png"/><Relationship Id="rId20" Type="http://schemas.openxmlformats.org/officeDocument/2006/relationships/image" Target="media/rId20.png"/><Relationship Id="rId84" Type="http://schemas.openxmlformats.org/officeDocument/2006/relationships/image" Target="media/rId84.jpg"/><Relationship Id="rId13" Type="http://schemas.openxmlformats.org/officeDocument/2006/relationships/image" Target="media/rId13.png"/><Relationship Id="rId55" Type="http://schemas.openxmlformats.org/officeDocument/2006/relationships/image" Target="media/rId55.jpg"/><Relationship Id="rId16" Type="http://schemas.openxmlformats.org/officeDocument/2006/relationships/image" Target="media/rId16.png"/><Relationship Id="rId61" Type="http://schemas.openxmlformats.org/officeDocument/2006/relationships/image" Target="media/rId61.jpg"/><Relationship Id="rId74" Type="http://schemas.openxmlformats.org/officeDocument/2006/relationships/image" Target="media/rId74.jpg"/><Relationship Id="rId51" Type="http://schemas.openxmlformats.org/officeDocument/2006/relationships/image" Target="media/rId51.jpg"/><Relationship Id="rId45" Type="http://schemas.openxmlformats.org/officeDocument/2006/relationships/image" Target="media/rId45.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2026-09-28T07:40:45Z</dcterms:created>
  <dcterms:modified xsi:type="dcterms:W3CDTF">2026-09-28T07:40:45Z</dcterms:modified>
</cp:coreProperties>
</file>

<file path=docProps/custom.xml><?xml version="1.0" encoding="utf-8"?>
<Properties xmlns="http://schemas.openxmlformats.org/officeDocument/2006/custom-properties" xmlns:vt="http://schemas.openxmlformats.org/officeDocument/2006/docPropsVTypes"/>
</file>