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27"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2"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bookmarkEnd w:id="22"/>
    <w:bookmarkStart w:id="26"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304977"/>
            <wp:effectExtent b="0" l="0" r="0" t="0"/>
            <wp:docPr descr="" title="" id="24" name="Picture"/>
            <a:graphic>
              <a:graphicData uri="http://schemas.openxmlformats.org/drawingml/2006/picture">
                <pic:pic>
                  <pic:nvPicPr>
                    <pic:cNvPr descr="62fb966f0a96ff4202b8fef3a4d9ab8a1a1e69677a38b5b88e75ed689dce37dd.jpg" id="25" name="Picture"/>
                    <pic:cNvPicPr>
                      <a:picLocks noChangeArrowheads="1" noChangeAspect="1"/>
                    </pic:cNvPicPr>
                  </pic:nvPicPr>
                  <pic:blipFill>
                    <a:blip r:embed="rId23"/>
                    <a:stretch>
                      <a:fillRect/>
                    </a:stretch>
                  </pic:blipFill>
                  <pic:spPr bwMode="auto">
                    <a:xfrm>
                      <a:off x="0" y="0"/>
                      <a:ext cx="2667000" cy="304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二元弱酸各型体分布分数随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变化的分布曲线与特征交点</w:t>
      </w:r>
      <w:r>
        <w:rPr>
          <w:rFonts w:hint="eastAsia" w:ascii="Times New Roman" w:hAnsi="Times New Roman" w:eastAsia="Times New Roman" w:cs="Times New Roman"/>
        </w:rPr>
        <w:t>。</w:t>
      </w:r>
      <w:r>
        <w:rPr>
          <w:rFonts w:hint="eastAsia" w:ascii="Times New Roman" w:hAnsi="Times New Roman" w:eastAsia="FangSong" w:cs="Times New Roman"/>
        </w:rPr>
        <w:t>图中展现未离解分子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酸式根</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与完全离解阴离子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的分布优势区间</w:t>
      </w:r>
      <w:r>
        <w:rPr>
          <w:rFonts w:hint="eastAsia" w:ascii="Times New Roman" w:hAnsi="Times New Roman" w:eastAsia="Times New Roman" w:cs="Times New Roman"/>
        </w:rPr>
        <w:t>——</w:t>
      </w:r>
      <w:r>
        <w:rPr>
          <w:rFonts w:hint="eastAsia" w:ascii="Times New Roman" w:hAnsi="Times New Roman" w:eastAsia="FangSong" w:cs="Times New Roman"/>
        </w:rPr>
        <w:t>两两相交处的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分别严格锚定</w:t>
      </w:r>
      <w:r>
        <w:rPr>
          <w:rFonts w:ascii="Times New Roman" w:hAnsi="Times New Roman" w:eastAsia="Times New Roman" w:cs="Times New Roman"/>
        </w:rPr>
        <w:t xml:space="preserve"> </w:t>
      </w:r>
      <m:oMath>
        <m:r>
          <m:rPr>
            <m:sty m:val="p"/>
          </m:rPr>
          <m:t>p</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结合图</w:t>
      </w:r>
      <w:r>
        <w:rPr>
          <w:rFonts w:ascii="Times New Roman" w:hAnsi="Times New Roman" w:eastAsia="Times New Roman" w:cs="Times New Roman"/>
        </w:rPr>
        <w:t xml:space="preserve"> 1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28"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pStyle w:val="FirstParagraph"/>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pStyle w:val="FirstParagraph"/>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pStyle w:val="Compact"/>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pStyle w:val="Compact"/>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pStyle w:val="Compact"/>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Compact"/>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pStyle w:val="Compact"/>
        <w:numPr>
          <w:ilvl w:val="0"/>
          <w:numId w:val="100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pStyle w:val="Compact"/>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28"/>
    <w:bookmarkStart w:id="29"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bookmarkEnd w:id="29"/>
    <w:bookmarkStart w:id="30"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pStyle w:val="FirstParagraph"/>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5"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2"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2"/>
    <w:bookmarkStart w:id="33"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3"/>
    <w:bookmarkStart w:id="34"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pStyle w:val="Compact"/>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Compact"/>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pStyle w:val="Compact"/>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缓冲稳定性极其优异</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Compact"/>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质子浓度暴增了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34"/>
    <w:bookmarkEnd w:id="35"/>
    <w:bookmarkStart w:id="44"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2"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37" name="Picture"/>
                  <a:graphic>
                    <a:graphicData uri="http://schemas.openxmlformats.org/drawingml/2006/picture">
                      <pic:pic>
                        <pic:nvPicPr>
                          <pic:cNvPr descr="2bfaac3e54a3301f05d028bebb0f8406a6133f1eb1f6bb89febd9292e9ecbbd7.jpg" id="38" name="Picture"/>
                          <pic:cNvPicPr>
                            <a:picLocks noChangeArrowheads="1" noChangeAspect="1"/>
                          </pic:cNvPicPr>
                        </pic:nvPicPr>
                        <pic:blipFill>
                          <a:blip r:embed="rId36"/>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0" name="Picture"/>
                  <a:graphic>
                    <a:graphicData uri="http://schemas.openxmlformats.org/drawingml/2006/picture">
                      <pic:pic>
                        <pic:nvPicPr>
                          <pic:cNvPr descr="dcb2298c69a8cb2e3b74b02b6973e0245bab944c71864fa3e191a6a573b97aa2.jpg" id="41" name="Picture"/>
                          <pic:cNvPicPr>
                            <a:picLocks noChangeArrowheads="1" noChangeAspect="1"/>
                          </pic:cNvPicPr>
                        </pic:nvPicPr>
                        <pic:blipFill>
                          <a:blip r:embed="rId39"/>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常用酸碱指示剂微观分子结构转变机理对照图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左栏为甲基橙由偶氮型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黄色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向对醌式阳离子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的质子化互变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右栏为酚酞内酯环受碱进攻开裂形成大共轭三芳基甲烷离域发色团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的结构演变</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2"/>
    <w:bookmarkStart w:id="43"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43"/>
    <w:bookmarkEnd w:id="44"/>
    <w:bookmarkStart w:id="47"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45"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45"/>
    <w:bookmarkStart w:id="46"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化学计量点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e</m:t>
            </m:r>
            <m:r>
              <m:rPr>
                <m:sty m:val="p"/>
              </m:rPr>
              <m:t>q</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体系完全转化为</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t> </m:t>
              </m:r>
              <m:r>
                <m:rPr>
                  <m:sty m:val="p"/>
                </m:rPr>
                <m:t>m</m:t>
              </m:r>
              <m:r>
                <m:rPr>
                  <m:sty m:val="p"/>
                </m:rPr>
                <m:t>L</m:t>
              </m:r>
            </m:num>
            <m:den>
              <m:r>
                <m:t>40.00</m:t>
              </m:r>
              <m:r>
                <m:t> </m:t>
              </m:r>
              <m:r>
                <m:rPr>
                  <m:sty m:val="p"/>
                </m:rPr>
                <m:t>m</m:t>
              </m:r>
              <m:r>
                <m:rPr>
                  <m:sty m:val="p"/>
                </m:rPr>
                <m:t>L</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的结合质子常数</w:t>
      </w:r>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检验极简水解公式条件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b</m:t>
            </m:r>
          </m:sub>
        </m:sSub>
        <m:r>
          <m:rPr>
            <m:sty m:val="p"/>
          </m:rPr>
          <m:t>=</m:t>
        </m:r>
        <m:f>
          <m:fPr>
            <m:type m:val="bar"/>
          </m:fPr>
          <m:num>
            <m:r>
              <m:t>0.0500</m:t>
            </m:r>
          </m:num>
          <m:den>
            <m:r>
              <m:t>5.71</m:t>
            </m:r>
            <m:r>
              <m:rPr>
                <m:sty m:val="p"/>
              </m:rPr>
              <m:t>×</m:t>
            </m:r>
            <m:sSup>
              <m:e>
                <m:r>
                  <m:t>10</m:t>
                </m:r>
              </m:e>
              <m:sup>
                <m:r>
                  <m:rPr>
                    <m:sty m:val="p"/>
                  </m:rPr>
                  <m:t>−</m:t>
                </m:r>
                <m:r>
                  <m:t>10</m:t>
                </m:r>
              </m:sup>
            </m:sSup>
          </m:den>
        </m:f>
        <m:r>
          <m:rPr>
            <m:sty m:val="p"/>
          </m:rPr>
          <m:t>≈</m:t>
        </m:r>
        <m:r>
          <m:t>8.8</m:t>
        </m:r>
        <m:r>
          <m:rPr>
            <m:sty m:val="p"/>
          </m:rPr>
          <m:t>×</m:t>
        </m:r>
        <m:sSup>
          <m:e>
            <m:r>
              <m:t>10</m:t>
            </m:r>
          </m:e>
          <m:sup>
            <m:r>
              <m:t>7</m:t>
            </m:r>
          </m:sup>
        </m:sSup>
        <m:r>
          <m:rPr>
            <m:sty m:val="p"/>
          </m:rPr>
          <m:t>≫</m:t>
        </m:r>
        <m:r>
          <m:t>500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0.0500</m:t>
              </m:r>
              <m:r>
                <m:rPr>
                  <m:sty m:val="p"/>
                </m:rPr>
                <m:t>×</m:t>
              </m:r>
              <m:r>
                <m:t>5.71</m:t>
              </m:r>
              <m:r>
                <m:rPr>
                  <m:sty m:val="p"/>
                </m:rPr>
                <m:t>×</m:t>
              </m:r>
              <m:sSup>
                <m:e>
                  <m:r>
                    <m:t>10</m:t>
                  </m:r>
                </m:e>
                <m:sup>
                  <m:r>
                    <m:rPr>
                      <m:sty m:val="p"/>
                    </m:rPr>
                    <m:t>−</m:t>
                  </m:r>
                  <m:r>
                    <m:t>10</m:t>
                  </m:r>
                </m:sup>
              </m:sSup>
            </m:e>
          </m:rad>
          <m:r>
            <m:rPr>
              <m:sty m:val="p"/>
            </m:rPr>
            <m:t>=</m:t>
          </m:r>
          <m:rad>
            <m:radPr>
              <m:degHide m:val="on"/>
            </m:radPr>
            <m:deg/>
            <m:e>
              <m:r>
                <m:t>2.855</m:t>
              </m:r>
              <m:r>
                <m:rPr>
                  <m:sty m:val="p"/>
                </m:rPr>
                <m:t>×</m:t>
              </m:r>
              <m:sSup>
                <m:e>
                  <m:r>
                    <m:t>10</m:t>
                  </m:r>
                </m:e>
                <m:sup>
                  <m:r>
                    <m:rPr>
                      <m:sty m:val="p"/>
                    </m:rPr>
                    <m:t>−</m:t>
                  </m:r>
                  <m:r>
                    <m:t>11</m:t>
                  </m:r>
                </m:sup>
              </m:sSup>
            </m:e>
          </m:rad>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m:t>
          </m:r>
          <m:r>
            <m:rPr>
              <m:sty m:val="p"/>
            </m:rPr>
            <m:t>lg</m:t>
          </m:r>
          <m:r>
            <m:rPr>
              <m:sty m:val="p"/>
            </m:rPr>
            <m:t>(</m:t>
          </m:r>
          <m:r>
            <m:t>5.34</m:t>
          </m:r>
          <m:r>
            <m:rPr>
              <m:sty m:val="p"/>
            </m:rPr>
            <m:t>×</m:t>
          </m:r>
          <m:sSup>
            <m:e>
              <m:r>
                <m:t>10</m:t>
              </m:r>
            </m:e>
            <m:sup>
              <m:r>
                <m:rPr>
                  <m:sty m:val="p"/>
                </m:rPr>
                <m:t>−</m:t>
              </m:r>
              <m:r>
                <m:t>6</m:t>
              </m:r>
            </m:sup>
          </m:sSup>
          <m:r>
            <m:rPr>
              <m:sty m:val="p"/>
            </m:rPr>
            <m:t>)</m:t>
          </m:r>
          <m:r>
            <m:rPr>
              <m:sty m:val="p"/>
            </m:rPr>
            <m:t>=</m:t>
          </m:r>
          <m:r>
            <m:t>5.27</m:t>
          </m:r>
          <m:r>
            <m:rPr>
              <m:sty m:val="p"/>
            </m:rPr>
            <m:t>,</m:t>
          </m:r>
          <m:r>
            <m:t>  </m:t>
          </m:r>
          <m:sSub>
            <m:e>
              <m:r>
                <m:rPr>
                  <m:sty m:val="p"/>
                </m:rPr>
                <m:t>p</m:t>
              </m:r>
              <m:r>
                <m:rPr>
                  <m:sty m:val="p"/>
                </m:rPr>
                <m:t>H</m:t>
              </m:r>
            </m:e>
            <m:sub>
              <m:r>
                <m:rPr>
                  <m:sty m:val="p"/>
                </m:rPr>
                <m:t>e</m:t>
              </m:r>
              <m:r>
                <m:rPr>
                  <m:sty m:val="p"/>
                </m:rPr>
                <m:t>q</m:t>
              </m:r>
            </m:sub>
          </m:sSub>
          <m:r>
            <m:rPr>
              <m:sty m:val="p"/>
            </m:rPr>
            <m:t>=</m:t>
          </m:r>
          <m:r>
            <m:t>14.00</m:t>
          </m:r>
          <m:r>
            <m:rPr>
              <m:sty m:val="p"/>
            </m:rPr>
            <m:t>−</m:t>
          </m:r>
          <m:r>
            <m:t>5.27</m:t>
          </m:r>
          <m:r>
            <m:rPr>
              <m:sty m:val="p"/>
            </m:rPr>
            <m:t>=</m:t>
          </m:r>
          <m:r>
            <m:t>8.73</m:t>
          </m:r>
        </m:oMath>
      </m:oMathPara>
    </w:p>
    <w:p>
      <w:pPr>
        <w:pStyle w:val="Compact"/>
        <w:numPr>
          <w:ilvl w:val="0"/>
          <w:numId w:val="1007"/>
        </w:numPr>
        <w:ind w:firstLine="420"/>
      </w:pPr>
      <w:r>
        <w:rPr>
          <w:rFonts w:hint="eastAsia" w:ascii="Times New Roman" w:hAnsi="Times New Roman" w:eastAsia="FangSong" w:cs="Times New Roman"/>
        </w:rPr>
        <w:t>滴定突跃范围计算</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r>
          <m:t>99.9</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sSub>
            <m:e>
              <m:r>
                <m:t>K</m:t>
              </m:r>
            </m:e>
            <m:sub>
              <m:r>
                <m:t>a</m:t>
              </m:r>
            </m:sub>
          </m:sSub>
          <m:r>
            <m:rPr>
              <m:sty m:val="p"/>
            </m:rPr>
            <m:t>+</m:t>
          </m:r>
          <m:r>
            <m:rPr>
              <m:sty m:val="p"/>
            </m:rPr>
            <m:t>lg</m:t>
          </m:r>
          <m:f>
            <m:fPr>
              <m:type m:val="bar"/>
            </m:fPr>
            <m:num>
              <m:r>
                <m:t>99.9</m:t>
              </m:r>
              <m:r>
                <m:rPr>
                  <m:sty m:val="p"/>
                </m:rPr>
                <m:t>%</m:t>
              </m:r>
            </m:num>
            <m:den>
              <m:r>
                <m:t>0.1</m:t>
              </m:r>
              <m:r>
                <m:rPr>
                  <m:sty m:val="p"/>
                </m:rPr>
                <m:t>%</m:t>
              </m:r>
            </m:den>
          </m:f>
          <m:r>
            <m:rPr>
              <m:sty m:val="p"/>
            </m:rPr>
            <m:t>=</m:t>
          </m:r>
          <m:r>
            <m:t>4.76</m:t>
          </m:r>
          <m:r>
            <m:rPr>
              <m:sty m:val="p"/>
            </m:rPr>
            <m:t>+</m:t>
          </m:r>
          <m:r>
            <m:rPr>
              <m:sty m:val="p"/>
            </m:rPr>
            <m:t>lg</m:t>
          </m:r>
          <m:r>
            <m:rPr>
              <m:sty m:val="p"/>
            </m:rPr>
            <m:t>(</m:t>
          </m:r>
          <m:r>
            <m:t>999</m:t>
          </m:r>
          <m:r>
            <m:rPr>
              <m:sty m:val="p"/>
            </m:rPr>
            <m:t>)</m:t>
          </m:r>
          <m:r>
            <m:rPr>
              <m:sty m:val="p"/>
            </m:rPr>
            <m:t>=</m:t>
          </m:r>
          <m:r>
            <m:t>4.76</m:t>
          </m:r>
          <m:r>
            <m:rPr>
              <m:sty m:val="p"/>
            </m:rPr>
            <m:t>+</m:t>
          </m:r>
          <m:r>
            <m:t>3.00</m:t>
          </m:r>
          <m:r>
            <m:rPr>
              <m:sty m:val="p"/>
            </m:rPr>
            <m:t>=</m:t>
          </m:r>
          <m:r>
            <m:t>7.76</m:t>
          </m:r>
        </m:oMath>
      </m:oMathPara>
    </w:p>
    <w:p>
      <w:pPr>
        <w:pStyle w:val="Compact"/>
        <w:numPr>
          <w:ilvl w:val="0"/>
          <w:numId w:val="1008"/>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过量强碱控制体系酸度</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7.76</m:t>
        </m:r>
        <m:r>
          <m:rPr>
            <m:sty m:val="p"/>
          </m:rPr>
          <m:t>∼</m:t>
        </m:r>
        <m:r>
          <m:t>9.70</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终点误差定量核算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根据分析化学一元弱酸滴定终点误差公式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d>
            <m:dPr>
              <m:begChr m:val="("/>
              <m:sepChr m:val=""/>
              <m:endChr m:val=")"/>
              <m:grow/>
            </m:dPr>
            <m:e>
              <m:sSub>
                <m:e>
                  <m:r>
                    <m:t>δ</m:t>
                  </m:r>
                </m:e>
                <m:sub>
                  <m:r>
                    <m:t>0</m:t>
                  </m:r>
                </m:sub>
              </m:sSub>
              <m:r>
                <m:rPr>
                  <m:sty m:val="p"/>
                </m:rPr>
                <m:t>(</m:t>
              </m:r>
              <m:r>
                <m:rPr>
                  <m:sty m:val="p"/>
                </m:rPr>
                <m:t>H</m:t>
              </m:r>
              <m:r>
                <m:rPr>
                  <m:sty m:val="p"/>
                </m:rPr>
                <m:t>A</m:t>
              </m:r>
              <m:r>
                <m:rPr>
                  <m:sty m:val="p"/>
                </m:rPr>
                <m:t>c</m:t>
              </m:r>
              <m:sSub>
                <m:e>
                  <m:r>
                    <m:rPr>
                      <m:sty m:val="p"/>
                    </m:rPr>
                    <m:t>)</m:t>
                  </m:r>
                </m:e>
                <m:sub>
                  <m:r>
                    <m:rPr>
                      <m:sty m:val="p"/>
                    </m:rPr>
                    <m:t>e</m:t>
                  </m:r>
                  <m:r>
                    <m:rPr>
                      <m:sty m:val="p"/>
                    </m:rPr>
                    <m:t>p</m:t>
                  </m:r>
                </m:sub>
              </m:sSub>
              <m:r>
                <m:rPr>
                  <m:sty m:val="p"/>
                </m:rPr>
                <m:t>−</m:t>
              </m:r>
              <m:r>
                <m:t>0</m:t>
              </m:r>
            </m:e>
          </m:d>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r>
            <m:t> </m:t>
          </m:r>
          <m:r>
            <m:rPr>
              <m:sty m:val="p"/>
            </m:rPr>
            <m:t>(</m:t>
          </m:r>
          <m:r>
            <m:rPr>
              <m:nor/>
              <m:sty m:val="p"/>
            </m:rPr>
            <m:t>计量点后微量过碱</m:t>
          </m:r>
          <m:r>
            <m:rPr>
              <m:sty m:val="p"/>
            </m:rPr>
            <m:t>)</m:t>
          </m:r>
        </m:oMath>
      </m:oMathPara>
    </w:p>
    <w:p>
      <w:pPr>
        <w:pStyle w:val="Compact"/>
        <w:numPr>
          <w:ilvl w:val="0"/>
          <w:numId w:val="1000"/>
        </w:numPr>
        <w:ind w:firstLine="420"/>
      </w:pPr>
      <w:r>
        <w:rPr>
          <w:rFonts w:hint="eastAsia" w:ascii="Times New Roman" w:hAnsi="Times New Roman" w:eastAsia="FangSong" w:cs="Times New Roman"/>
        </w:rPr>
        <w:t>更严密的林邦</w:t>
      </w:r>
      <w:r>
        <w:rPr>
          <w:rFonts w:hint="eastAsia" w:ascii="Times New Roman" w:hAnsi="Times New Roman" w:eastAsia="Times New Roman" w:cs="Times New Roman"/>
        </w:rPr>
        <w:t>（Ringbom）</w:t>
      </w:r>
      <w:r>
        <w:rPr>
          <w:rFonts w:hint="eastAsia" w:ascii="Times New Roman" w:hAnsi="Times New Roman" w:eastAsia="FangSong" w:cs="Times New Roman"/>
        </w:rPr>
        <w:t>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sSub>
                <m:e>
                  <m:r>
                    <m:t>c</m:t>
                  </m:r>
                </m:e>
                <m:sub>
                  <m:r>
                    <m:rPr>
                      <m:sty m:val="p"/>
                    </m:rPr>
                    <m:t>a</m:t>
                  </m:r>
                  <m:r>
                    <m:rPr>
                      <m:sty m:val="p"/>
                    </m:rPr>
                    <m:t>c</m:t>
                  </m:r>
                  <m:r>
                    <m:rPr>
                      <m:sty m:val="p"/>
                    </m:rPr>
                    <m:t>i</m:t>
                  </m:r>
                  <m:r>
                    <m:rPr>
                      <m:sty m:val="p"/>
                    </m:rPr>
                    <m:t>d</m:t>
                  </m:r>
                </m:sub>
              </m:sSub>
            </m:num>
            <m:den>
              <m:sSub>
                <m:e>
                  <m:r>
                    <m:t>c</m:t>
                  </m:r>
                </m:e>
                <m:sub>
                  <m:r>
                    <m:rPr>
                      <m:sty m:val="p"/>
                    </m:rPr>
                    <m:t>e</m:t>
                  </m:r>
                  <m:r>
                    <m:rPr>
                      <m:sty m:val="p"/>
                    </m:rPr>
                    <m:t>q</m:t>
                  </m:r>
                </m:sub>
              </m:sSub>
            </m:den>
          </m:f>
          <m:d>
            <m:dPr>
              <m:begChr m:val="("/>
              <m:sepChr m:val=""/>
              <m:endChr m:val=")"/>
              <m:grow/>
            </m:dPr>
            <m:e>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e>
          </m:d>
        </m:oMath>
      </m:oMathPara>
    </w:p>
    <w:p>
      <w:pPr>
        <w:pStyle w:val="Compact"/>
        <w:numPr>
          <w:ilvl w:val="0"/>
          <w:numId w:val="1010"/>
        </w:numPr>
        <w:ind w:firstLine="420"/>
      </w:pPr>
      <w:r>
        <w:rPr>
          <w:rFonts w:hint="eastAsia" w:ascii="Times New Roman" w:hAnsi="Times New Roman" w:eastAsia="FangSong" w:cs="Times New Roman"/>
          <w:b/>
          <w:bCs/>
        </w:rPr>
        <w:t>若选用酚酞</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落入突跃范围</w:t>
      </w:r>
      <w:r>
        <w:rPr>
          <w:rFonts w:ascii="Times New Roman" w:hAnsi="Times New Roman" w:eastAsia="Times New Roman" w:cs="Times New Roman"/>
        </w:rPr>
        <w:t xml:space="preserve"> </w:t>
      </w:r>
      <m:oMath>
        <m:oMathPr>
          <m:ctrlPr>
            <w:rPr>
              <w:sz w:val="28"/>
              <w:szCs w:val="28"/>
            </w:rPr>
          </m:ctrlPr>
        </m:oMathPr>
        <m:r>
          <m:t>7.76</m:t>
        </m:r>
        <m:r>
          <m:rPr>
            <m:sty m:val="p"/>
          </m:rPr>
          <m:t>∼</m:t>
        </m:r>
        <m:r>
          <m:t>9.70</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100</m:t>
          </m:r>
          <m:r>
            <m:rPr>
              <m:sty m:val="p"/>
            </m:rPr>
            <m:t>%</m:t>
          </m:r>
          <m:r>
            <m:rPr>
              <m:sty m:val="p"/>
            </m:rPr>
            <m:t>=</m:t>
          </m:r>
          <m:r>
            <m:rPr>
              <m:sty m:val="p"/>
            </m:rPr>
            <m:t>+</m:t>
          </m:r>
          <m:r>
            <m:t>0.02</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相对终点误差仅为</w:t>
      </w:r>
      <w:r>
        <w:rPr>
          <w:rFonts w:ascii="Times New Roman" w:hAnsi="Times New Roman" w:eastAsia="Times New Roman" w:cs="Times New Roman"/>
        </w:rPr>
        <w:t xml:space="preserve"> </w:t>
      </w:r>
      <m:oMath>
        <m:oMathPr>
          <m:ctrlPr>
            <w:rPr>
              <w:sz w:val="28"/>
              <w:szCs w:val="28"/>
            </w:rPr>
          </m:ctrlPr>
        </m:oMathP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完全满足定量分析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的严格要求</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若误用甲基橙</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由于变色点远在突跃区之前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未反应的未离解乙酸分数高达</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δ</m:t>
              </m:r>
            </m:e>
            <m:sub>
              <m:r>
                <m:t>0</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f>
            <m:fPr>
              <m:type m:val="bar"/>
            </m:fPr>
            <m:num>
              <m:r>
                <m:t>1.0</m:t>
              </m:r>
              <m:r>
                <m:rPr>
                  <m:sty m:val="p"/>
                </m:rPr>
                <m:t>×</m:t>
              </m:r>
              <m:sSup>
                <m:e>
                  <m:r>
                    <m:t>10</m:t>
                  </m:r>
                </m:e>
                <m:sup>
                  <m:r>
                    <m:rPr>
                      <m:sty m:val="p"/>
                    </m:rPr>
                    <m:t>−</m:t>
                  </m:r>
                  <m:r>
                    <m:t>4</m:t>
                  </m:r>
                </m:sup>
              </m:sSup>
            </m:num>
            <m:den>
              <m:r>
                <m:t>1.0</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den>
          </m:f>
          <m:r>
            <m:rPr>
              <m:sty m:val="p"/>
            </m:rPr>
            <m:t>=</m:t>
          </m:r>
          <m:f>
            <m:fPr>
              <m:type m:val="bar"/>
            </m:fPr>
            <m:num>
              <m:r>
                <m:t>1.0</m:t>
              </m:r>
              <m:r>
                <m:rPr>
                  <m:sty m:val="p"/>
                </m:rPr>
                <m:t>×</m:t>
              </m:r>
              <m:sSup>
                <m:e>
                  <m:r>
                    <m:t>10</m:t>
                  </m:r>
                </m:e>
                <m:sup>
                  <m:r>
                    <m:rPr>
                      <m:sty m:val="p"/>
                    </m:rPr>
                    <m:t>−</m:t>
                  </m:r>
                  <m:r>
                    <m:t>4</m:t>
                  </m:r>
                </m:sup>
              </m:sSup>
            </m:num>
            <m:den>
              <m:r>
                <m:t>1.175</m:t>
              </m:r>
              <m:r>
                <m:rPr>
                  <m:sty m:val="p"/>
                </m:rPr>
                <m:t>×</m:t>
              </m:r>
              <m:sSup>
                <m:e>
                  <m:r>
                    <m:t>10</m:t>
                  </m:r>
                </m:e>
                <m:sup>
                  <m:r>
                    <m:rPr>
                      <m:sty m:val="p"/>
                    </m:rPr>
                    <m:t>−</m:t>
                  </m:r>
                  <m:r>
                    <m:t>4</m:t>
                  </m:r>
                </m:sup>
              </m:sSup>
            </m:den>
          </m:f>
          <m:r>
            <m:rPr>
              <m:sty m:val="p"/>
            </m:rPr>
            <m:t>≈</m:t>
          </m:r>
          <m:r>
            <m:t>85.1</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此时体系仅仅滴定了不到</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的醋酸即停止滴定</w:t>
      </w:r>
      <w:r>
        <w:rPr>
          <w:rFonts w:hint="eastAsia" w:ascii="Times New Roman" w:hAnsi="Times New Roman" w:eastAsia="Times New Roman" w:cs="Times New Roman"/>
        </w:rPr>
        <w:t>，</w:t>
      </w:r>
      <w:r>
        <w:rPr>
          <w:rFonts w:hint="eastAsia" w:ascii="Times New Roman" w:hAnsi="Times New Roman" w:eastAsia="FangSong" w:cs="Times New Roman"/>
        </w:rPr>
        <w:t>终点误差高达</w:t>
      </w:r>
      <w:r>
        <w:rPr>
          <w:rFonts w:ascii="Times New Roman" w:hAnsi="Times New Roman" w:eastAsia="Times New Roman" w:cs="Times New Roman"/>
        </w:rPr>
        <w:t xml:space="preserve"> </w:t>
      </w:r>
      <m:oMath>
        <m:oMathPr>
          <m:ctrlPr>
            <w:rPr>
              <w:sz w:val="28"/>
              <w:szCs w:val="28"/>
            </w:rPr>
          </m:ctrlPr>
        </m:oMathPr>
        <m:r>
          <m:rPr>
            <m:sty m:val="p"/>
          </m:rPr>
          <m:t>−</m:t>
        </m:r>
        <m:r>
          <m:t>85.1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实验完全失效</w:t>
      </w:r>
      <w:r>
        <w:rPr>
          <w:rFonts w:hint="eastAsia" w:ascii="Times New Roman" w:hAnsi="Times New Roman" w:eastAsia="Times New Roman" w:cs="Times New Roman"/>
        </w:rPr>
        <w:t>。</w:t>
      </w:r>
      <w:r>
        <w:rPr>
          <w:rFonts w:hint="eastAsia" w:ascii="Times New Roman" w:hAnsi="Times New Roman" w:eastAsia="FangSong" w:cs="Times New Roman"/>
        </w:rPr>
        <w:t>此计算深刻证明了指示剂变色范围必须覆盖滴定突跃的根本原则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49"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北大</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8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8.8]</w:t>
      </w:r>
      <w:r>
        <w:rPr>
          <w:rFonts w:ascii="Times New Roman" w:hAnsi="Times New Roman" w:eastAsia="Times New Roman" w:cs="Times New Roman"/>
        </w:rPr>
        <w:t xml:space="preserve">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8.14]</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8.15]</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8.19]</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8.25]</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8.29]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8.31]</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8.33]</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4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6"/>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7"/>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19"/>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0"/>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25"/>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26"/>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23" Type="http://schemas.openxmlformats.org/officeDocument/2006/relationships/image" Target="media/rId23.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2026-09-28T13:15:20Z</dcterms:created>
  <dcterms:modified xsi:type="dcterms:W3CDTF">2026-09-28T13:15:20Z</dcterms:modified>
</cp:coreProperties>
</file>

<file path=docProps/custom.xml><?xml version="1.0" encoding="utf-8"?>
<Properties xmlns="http://schemas.openxmlformats.org/officeDocument/2006/custom-properties" xmlns:vt="http://schemas.openxmlformats.org/officeDocument/2006/docPropsVTypes"/>
</file>