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第一轮综合练习-第01卷"/>
    <w:p>
      <w:pPr>
        <w:pStyle w:val="Heading1"/>
        <w:spacing w:before="0" w:after="240"/>
        <w:jc w:val="center"/>
        <w:keepNext/>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66" w:name="题目"/>
    <w:p>
      <w:pPr>
        <w:pStyle w:val="Heading2"/>
        <w:spacing w:before="280" w:after="80"/>
        <w:keepNext/>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某离子液体中的阳离子</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结构如图所示</w:t>
      </w:r>
      <w:r>
        <w:rPr>
          <w:rFonts w:hint="eastAsia" w:ascii="Times New Roman" w:hAnsi="Times New Roman" w:eastAsia="Times New Roman" w:cs="Times New Roman"/>
        </w:rPr>
        <w:t>。</w:t>
      </w:r>
      <w:r>
        <w:rPr>
          <w:rFonts w:hint="eastAsia" w:ascii="Times New Roman" w:hAnsi="Times New Roman" w:eastAsia="FangSong" w:cs="Times New Roman"/>
        </w:rPr>
        <w:t>离子液体是低温或室温熔融盐</w:t>
      </w:r>
      <w:r>
        <w:rPr>
          <w:rFonts w:hint="eastAsia" w:ascii="Times New Roman" w:hAnsi="Times New Roman" w:eastAsia="Times New Roman" w:cs="Times New Roman"/>
        </w:rPr>
        <w:t>，</w:t>
      </w:r>
      <w:r>
        <w:rPr>
          <w:rFonts w:hint="eastAsia" w:ascii="Times New Roman" w:hAnsi="Times New Roman" w:eastAsia="FangSong" w:cs="Times New Roman"/>
        </w:rPr>
        <w:t>下列有关离子液体或</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说法错误的是</w:t>
      </w:r>
    </w:p>
    <w:p>
      <w:pPr>
        <w:pStyle w:val="BlockText"/>
        <w:spacing w:before="160" w:after="80"/>
        <w:jc w:val="center"/>
      </w:pPr>
      <w:r>
        <w:rPr>
          <w:rFonts w:ascii="Times New Roman" w:hAnsi="Times New Roman" w:eastAsia="Times New Roman" w:cs="Times New Roman"/>
        </w:rPr>
        <w:t>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44250"/>
            <wp:effectExtent b="0" l="0" r="0" t="0"/>
            <wp:docPr descr="" title="" id="10" name="Picture"/>
            <a:graphic>
              <a:graphicData uri="http://schemas.openxmlformats.org/drawingml/2006/picture">
                <pic:pic>
                  <pic:nvPicPr>
                    <pic:cNvPr descr="80cad93309ed6598.png" id="11" name="Picture"/>
                    <pic:cNvPicPr>
                      <a:picLocks noChangeArrowheads="1" noChangeAspect="1"/>
                    </pic:cNvPicPr>
                  </pic:nvPicPr>
                  <pic:blipFill>
                    <a:blip r:embed="rId9"/>
                    <a:stretch>
                      <a:fillRect/>
                    </a:stretch>
                  </pic:blipFill>
                  <pic:spPr bwMode="auto">
                    <a:xfrm>
                      <a:off x="0" y="0"/>
                      <a:ext cx="3600000" cy="1944250"/>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A.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形成的离子液体可导电</w:t>
      </w:r>
    </w:p>
    <w:p>
      <w:pPr>
        <w:pStyle w:val="Compact"/>
        <w:numPr>
          <w:ilvl w:val="0"/>
          <w:numId w:val="1001"/>
        </w:numPr>
        <w:ind w:firstLine="420"/>
      </w:pPr>
      <w:r>
        <w:rPr>
          <w:rFonts w:ascii="Times New Roman" w:hAnsi="Times New Roman" w:eastAsia="Times New Roman" w:cs="Times New Roman"/>
        </w:rPr>
        <w:t>B.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离子液体中存在阴</w:t>
      </w:r>
      <w:r>
        <w:rPr>
          <w:rFonts w:hint="eastAsia" w:ascii="Times New Roman" w:hAnsi="Times New Roman" w:eastAsia="Times New Roman" w:cs="Times New Roman"/>
        </w:rPr>
        <w:t>、</w:t>
      </w:r>
      <w:r>
        <w:rPr>
          <w:rFonts w:hint="eastAsia" w:ascii="Times New Roman" w:hAnsi="Times New Roman" w:eastAsia="FangSong" w:cs="Times New Roman"/>
        </w:rPr>
        <w:t>阳离子间的静电作用</w:t>
      </w:r>
      <w:r>
        <w:rPr>
          <w:rFonts w:hint="eastAsia" w:ascii="Times New Roman" w:hAnsi="Times New Roman" w:eastAsia="Times New Roman" w:cs="Times New Roman"/>
        </w:rPr>
        <w:t>，</w:t>
      </w:r>
      <w:r>
        <w:rPr>
          <w:rFonts w:hint="eastAsia" w:ascii="Times New Roman" w:hAnsi="Times New Roman" w:eastAsia="FangSong" w:cs="Times New Roman"/>
        </w:rPr>
        <w:t>由于阴阳离子大小差异较大</w:t>
      </w:r>
      <w:r>
        <w:rPr>
          <w:rFonts w:hint="eastAsia" w:ascii="Times New Roman" w:hAnsi="Times New Roman" w:eastAsia="Times New Roman" w:cs="Times New Roman"/>
        </w:rPr>
        <w:t>，</w:t>
      </w:r>
      <w:r>
        <w:rPr>
          <w:rFonts w:hint="eastAsia" w:ascii="Times New Roman" w:hAnsi="Times New Roman" w:eastAsia="FangSong" w:cs="Times New Roman"/>
        </w:rPr>
        <w:t>因此强度不大</w:t>
      </w:r>
    </w:p>
    <w:p>
      <w:pPr>
        <w:pStyle w:val="Compact"/>
        <w:numPr>
          <w:ilvl w:val="0"/>
          <w:numId w:val="1001"/>
        </w:numPr>
        <w:ind w:firstLine="420"/>
      </w:pPr>
      <w:r>
        <w:rPr>
          <w:rFonts w:ascii="Times New Roman" w:hAnsi="Times New Roman" w:eastAsia="Times New Roman" w:cs="Times New Roman"/>
        </w:rPr>
        <w:t>D.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种不同环境的氢原子</w: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p>
    <w:p>
      <w:pPr>
        <w:pStyle w:val="Compact"/>
        <w:numPr>
          <w:ilvl w:val="0"/>
          <w:numId w:val="1002"/>
        </w:numPr>
        <w:ind w:firstLine="42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B. 2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C. 3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D. 4 </w:t>
      </w:r>
      <w:r>
        <w:rPr>
          <w:rFonts w:hint="eastAsia" w:ascii="Times New Roman" w:hAnsi="Times New Roman" w:eastAsia="FangSong" w:cs="Times New Roman"/>
        </w:rPr>
        <w:t xml:space="preserve">种</w:t>
      </w:r>
    </w:p>
    <w:p>
      <w:pPr>
        <w:spacing w:before="160" w:after="80"/>
      </w:pPr>
      <w:r>
        <w:pict>
          <v:rect style="width:0;height:1.5pt" o:hralign="center" o:hrstd="t" o:hr="t"/>
        </w:pict>
      </w:r>
    </w:p>
    <w:bookmarkEnd w:id="13"/>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下列有关分子结构的说法正确的是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根据等电子原理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均具有</w:t>
      </w:r>
      <w:r>
        <w:rPr>
          <w:rFonts w:ascii="Times New Roman" w:hAnsi="Times New Roman" w:eastAsia="Times New Roman" w:cs="Times New Roman"/>
        </w:rPr>
        <w:t xml:space="preserve"> V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其中心原子均为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3"/>
        </w:numPr>
        <w:ind w:firstLine="420"/>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的电负性差比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分子的极性比</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分子强</w:t>
      </w:r>
    </w:p>
    <w:p>
      <w:pPr>
        <w:pStyle w:val="Compact"/>
        <w:numPr>
          <w:ilvl w:val="0"/>
          <w:numId w:val="1003"/>
        </w:numPr>
        <w:ind w:firstLine="420"/>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HF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F—H···F </w:t>
      </w:r>
      <w:r>
        <w:rPr>
          <w:rFonts w:hint="eastAsia" w:ascii="Times New Roman" w:hAnsi="Times New Roman" w:eastAsia="FangSong" w:cs="Times New Roman"/>
        </w:rPr>
        <w:t xml:space="preserve">氢键键能比</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的氢键键能大</w:t>
      </w:r>
    </w:p>
    <w:p>
      <w:pPr>
        <w:pStyle w:val="Compact"/>
        <w:numPr>
          <w:ilvl w:val="0"/>
          <w:numId w:val="1003"/>
        </w:numPr>
        <w:ind w:firstLine="420"/>
      </w:pPr>
      <w:r>
        <w:rPr>
          <w:rFonts w:ascii="Times New Roman" w:hAnsi="Times New Roman" w:eastAsia="Times New Roman" w:cs="Times New Roman"/>
        </w:rPr>
        <w:t>D.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在气态时以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该分子中所有</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键的键长都相等</w:t>
      </w:r>
    </w:p>
    <w:p>
      <w:pPr>
        <w:spacing w:before="160" w:after="80"/>
      </w:pPr>
      <w:r>
        <w:pict>
          <v:rect style="width:0;height:1.5pt" o:hralign="center" o:hrstd="t" o:hr="t"/>
        </w:pict>
      </w:r>
    </w:p>
    <w:bookmarkEnd w:id="14"/>
    <w:bookmarkStart w:id="1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以下物质的空间结构与其它物质不相同的是</w:t>
      </w:r>
    </w:p>
    <w:p>
      <w:pPr>
        <w:pStyle w:val="Compact"/>
        <w:numPr>
          <w:ilvl w:val="0"/>
          <w:numId w:val="1004"/>
        </w:numPr>
      </w:pPr>
      <w:r>
        <w:rPr>
          <w:rFonts w:ascii="Times New Roman" w:hAnsi="Times New Roman" w:eastAsia="Times New Roman" w:cs="Times New Roman"/>
        </w:rPr>
        <w:t>A. CH</w:t>
      </w:r>
      <w:r>
        <w:rPr>
          <w:rFonts w:ascii="Times New Roman" w:hAnsi="Times New Roman" w:eastAsia="Times New Roman" w:cs="Times New Roman"/>
          <w:vertAlign w:val="subscript"/>
        </w:rPr>
        <w:t>4</w:t>
      </w:r>
    </w:p>
    <w:p>
      <w:pPr>
        <w:pStyle w:val="Compact"/>
        <w:numPr>
          <w:ilvl w:val="0"/>
          <w:numId w:val="1004"/>
        </w:numPr>
      </w:pPr>
      <w:r>
        <w:rPr>
          <w:rFonts w:ascii="Times New Roman" w:hAnsi="Times New Roman" w:eastAsia="Times New Roman" w:cs="Times New Roman"/>
        </w:rPr>
        <w:t>B. XeF</w:t>
      </w:r>
      <w:r>
        <w:rPr>
          <w:rFonts w:ascii="Times New Roman" w:hAnsi="Times New Roman" w:eastAsia="Times New Roman" w:cs="Times New Roman"/>
          <w:vertAlign w:val="subscript"/>
        </w:rPr>
        <w:t>4</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顺铂</w:t>
      </w:r>
    </w:p>
    <w:p>
      <w:pPr>
        <w:pStyle w:val="Compact"/>
        <w:numPr>
          <w:ilvl w:val="0"/>
          <w:numId w:val="1004"/>
        </w:numPr>
      </w:pPr>
      <w:r>
        <w:rPr>
          <w:rFonts w:ascii="Times New Roman" w:hAnsi="Times New Roman" w:eastAsia="Times New Roman" w:cs="Times New Roman"/>
        </w:rPr>
        <w:t>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5"/>
    <w:bookmarkStart w:id="16"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只有极少数的碰撞才是有效的</w:t>
      </w:r>
    </w:p>
    <w:p>
      <w:pPr>
        <w:pStyle w:val="Compact"/>
        <w:numPr>
          <w:ilvl w:val="0"/>
          <w:numId w:val="100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分子碰撞是否有效由碰撞分子的能量决定</w:t>
      </w:r>
    </w:p>
    <w:p>
      <w:pPr>
        <w:pStyle w:val="Compact"/>
        <w:numPr>
          <w:ilvl w:val="0"/>
          <w:numId w:val="100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过渡态理论认为反应物分子转化成生成物分子的过程中要经过一个中间过渡态</w:t>
      </w:r>
    </w:p>
    <w:p>
      <w:pPr>
        <w:pStyle w:val="Compact"/>
        <w:numPr>
          <w:ilvl w:val="0"/>
          <w:numId w:val="100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过渡态时体系的能量处于最大值</w:t>
      </w:r>
    </w:p>
    <w:p>
      <w:pPr>
        <w:spacing w:before="160" w:after="80"/>
      </w:pPr>
      <w:r>
        <w:pict>
          <v:rect style="width:0;height:1.5pt" o:hralign="center" o:hrstd="t" o:hr="t"/>
        </w:pict>
      </w:r>
    </w:p>
    <w:bookmarkEnd w:id="16"/>
    <w:bookmarkStart w:id="17"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下列说法错误的是</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spacing w:before="160" w:after="80"/>
      </w:pPr>
      <w:r>
        <w:pict>
          <v:rect style="width:0;height:1.5pt" o:hralign="center" o:hrstd="t" o:hr="t"/>
        </w:pict>
      </w:r>
    </w:p>
    <w:bookmarkEnd w:id="17"/>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Compact"/>
        <w:numPr>
          <w:ilvl w:val="0"/>
          <w:numId w:val="1009"/>
        </w:numPr>
        <w:ind w:firstLine="420"/>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10"/>
        </w:numPr>
        <w:ind w:firstLine="420"/>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1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numPr>
          <w:ilvl w:val="0"/>
          <w:numId w:val="1011"/>
        </w:numPr>
        <w:ind w:firstLine="420"/>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240000" cy="2902239"/>
            <wp:effectExtent b="0" l="0" r="0" t="0"/>
            <wp:docPr descr="" title="" id="22" name="Picture"/>
            <a:graphic>
              <a:graphicData uri="http://schemas.openxmlformats.org/drawingml/2006/picture">
                <pic:pic>
                  <pic:nvPicPr>
                    <pic:cNvPr descr="16d1ed9284ddf0f155628a75c306680502e68f8988db59c557aa252d343e681a.jpg" id="23" name="Picture"/>
                    <pic:cNvPicPr>
                      <a:picLocks noChangeArrowheads="1" noChangeAspect="1"/>
                    </pic:cNvPicPr>
                  </pic:nvPicPr>
                  <pic:blipFill>
                    <a:blip r:embed="rId21"/>
                    <a:stretch>
                      <a:fillRect/>
                    </a:stretch>
                  </pic:blipFill>
                  <pic:spPr bwMode="auto">
                    <a:xfrm>
                      <a:off x="0" y="0"/>
                      <a:ext cx="3240000" cy="2902239"/>
                    </a:xfrm>
                    <a:prstGeom prst="rect">
                      <a:avLst/>
                    </a:prstGeom>
                    <a:noFill/>
                    <a:ln w="9525">
                      <a:noFill/>
                      <a:headEnd/>
                      <a:tailEnd/>
                    </a:ln>
                  </pic:spPr>
                </pic:pic>
              </a:graphicData>
            </a:graphic>
          </wp:inline>
        </w:drawing>
      </w:r>
    </w:p>
    <w:p>
      <w:pPr>
        <w:numPr>
          <w:ilvl w:val="0"/>
          <w:numId w:val="1012"/>
        </w:numPr>
        <w:ind w:firstLine="420"/>
      </w:pP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13"/>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2281"/>
            <wp:effectExtent b="0" l="0" r="0" t="0"/>
            <wp:docPr descr="" title="" id="26" name="Picture"/>
            <a:graphic>
              <a:graphicData uri="http://schemas.openxmlformats.org/drawingml/2006/picture">
                <pic:pic>
                  <pic:nvPicPr>
                    <pic:cNvPr descr="de51f3634cec5de941192bc056de2d6906f8e208b34fba8cbe051ef9bd1b9d39.jpg" id="27" name="Picture"/>
                    <pic:cNvPicPr>
                      <a:picLocks noChangeArrowheads="1" noChangeAspect="1"/>
                    </pic:cNvPicPr>
                  </pic:nvPicPr>
                  <pic:blipFill>
                    <a:blip r:embed="rId25"/>
                    <a:stretch>
                      <a:fillRect/>
                    </a:stretch>
                  </pic:blipFill>
                  <pic:spPr bwMode="auto">
                    <a:xfrm>
                      <a:off x="0" y="0"/>
                      <a:ext cx="3600000" cy="18522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在高压下</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500" cy="2590800"/>
            <wp:effectExtent b="0" l="0" r="0" t="0"/>
            <wp:docPr descr="" title="" id="30" name="Picture"/>
            <a:graphic>
              <a:graphicData uri="http://schemas.openxmlformats.org/drawingml/2006/picture">
                <pic:pic>
                  <pic:nvPicPr>
                    <pic:cNvPr descr="ae27d81e275296d439f30b11b0da28e065e1171934f5801f3cfbbcd0965adbb1.jpg" id="31" name="Picture"/>
                    <pic:cNvPicPr>
                      <a:picLocks noChangeArrowheads="1" noChangeAspect="1"/>
                    </pic:cNvPicPr>
                  </pic:nvPicPr>
                  <pic:blipFill>
                    <a:blip r:embed="rId29"/>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33" name="Picture"/>
            <a:graphic>
              <a:graphicData uri="http://schemas.openxmlformats.org/drawingml/2006/picture">
                <pic:pic>
                  <pic:nvPicPr>
                    <pic:cNvPr descr="45fdef524f10b920d38aeb6f8dbb8f06e7632207ff106e6e3a29d1d5fed68127.jpg" id="34" name="Picture"/>
                    <pic:cNvPicPr>
                      <a:picLocks noChangeArrowheads="1" noChangeAspect="1"/>
                    </pic:cNvPicPr>
                  </pic:nvPicPr>
                  <pic:blipFill>
                    <a:blip r:embed="rId32"/>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36" name="Picture"/>
            <a:graphic>
              <a:graphicData uri="http://schemas.openxmlformats.org/drawingml/2006/picture">
                <pic:pic>
                  <pic:nvPicPr>
                    <pic:cNvPr descr="05fa93df029ed986924d7821de2f6a91764efb5b62209f33de2ad5bc090789fe.jpg" id="37" name="Picture"/>
                    <pic:cNvPicPr>
                      <a:picLocks noChangeArrowheads="1" noChangeAspect="1"/>
                    </pic:cNvPicPr>
                  </pic:nvPicPr>
                  <pic:blipFill>
                    <a:blip r:embed="rId35"/>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bookmarkEnd w:id="38"/>
    <w:bookmarkStart w:id="4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435287"/>
            <wp:effectExtent b="0" l="0" r="0" t="0"/>
            <wp:docPr descr="" title="" id="40" name="Picture"/>
            <a:graphic>
              <a:graphicData uri="http://schemas.openxmlformats.org/drawingml/2006/picture">
                <pic:pic>
                  <pic:nvPicPr>
                    <pic:cNvPr descr="862e7b4c892b8131c9b71cb8f542dbd64e7d8aef542fa626351dded0d7041412.jpg" id="41" name="Picture"/>
                    <pic:cNvPicPr>
                      <a:picLocks noChangeArrowheads="1" noChangeAspect="1"/>
                    </pic:cNvPicPr>
                  </pic:nvPicPr>
                  <pic:blipFill>
                    <a:blip r:embed="rId39"/>
                    <a:stretch>
                      <a:fillRect/>
                    </a:stretch>
                  </pic:blipFill>
                  <pic:spPr bwMode="auto">
                    <a:xfrm>
                      <a:off x="0" y="0"/>
                      <a:ext cx="3240000" cy="3435287"/>
                    </a:xfrm>
                    <a:prstGeom prst="rect">
                      <a:avLst/>
                    </a:prstGeom>
                    <a:noFill/>
                    <a:ln w="9525">
                      <a:noFill/>
                      <a:headEnd/>
                      <a:tailEnd/>
                    </a:ln>
                  </pic:spPr>
                </pic:pic>
              </a:graphicData>
            </a:graphic>
          </wp:inline>
        </w:drawing>
      </w:r>
    </w:p>
    <w:p>
      <w:pPr>
        <w:pStyle w:val="Compact"/>
        <w:numPr>
          <w:ilvl w:val="0"/>
          <w:numId w:val="1016"/>
        </w:numPr>
        <w:ind w:firstLine="420"/>
      </w:pP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55"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确定下述三个配位化合物中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配位构型和磁性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9686"/>
            <wp:effectExtent b="0" l="0" r="0" t="0"/>
            <wp:docPr descr="" title="" id="47" name="Picture"/>
            <a:graphic>
              <a:graphicData uri="http://schemas.openxmlformats.org/drawingml/2006/picture">
                <pic:pic>
                  <pic:nvPicPr>
                    <pic:cNvPr descr="dbd84cbe343ede0b504e3f7d8c81b27fa9cc489941544ba32bb53487300a7d07.jpg" id="48" name="Picture"/>
                    <pic:cNvPicPr>
                      <a:picLocks noChangeArrowheads="1" noChangeAspect="1"/>
                    </pic:cNvPicPr>
                  </pic:nvPicPr>
                  <pic:blipFill>
                    <a:blip r:embed="rId46"/>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50" name="Picture"/>
            <a:graphic>
              <a:graphicData uri="http://schemas.openxmlformats.org/drawingml/2006/picture">
                <pic:pic>
                  <pic:nvPicPr>
                    <pic:cNvPr descr="3ae2633502a55fdbae73ead6d4061d9e85065b017fcefbbce705d8080f865342.jpg" id="51" name="Picture"/>
                    <pic:cNvPicPr>
                      <a:picLocks noChangeArrowheads="1" noChangeAspect="1"/>
                    </pic:cNvPicPr>
                  </pic:nvPicPr>
                  <pic:blipFill>
                    <a:blip r:embed="rId49"/>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53" name="Picture"/>
            <a:graphic>
              <a:graphicData uri="http://schemas.openxmlformats.org/drawingml/2006/picture">
                <pic:pic>
                  <pic:nvPicPr>
                    <pic:cNvPr descr="ecd86b05439d0604b56c83f73d5c611c04bb16653d1b2cdb902c310674c2a17a.jpg" id="54" name="Picture"/>
                    <pic:cNvPicPr>
                      <a:picLocks noChangeArrowheads="1" noChangeAspect="1"/>
                    </pic:cNvPicPr>
                  </pic:nvPicPr>
                  <pic:blipFill>
                    <a:blip r:embed="rId52"/>
                    <a:stretch>
                      <a:fillRect/>
                    </a:stretch>
                  </pic:blipFill>
                  <pic:spPr bwMode="auto">
                    <a:xfrm>
                      <a:off x="0" y="0"/>
                      <a:ext cx="3240000" cy="33077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
    <w:bookmarkStart w:id="56"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6"/>
    <w:bookmarkStart w:id="57"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spacing w:after="80"/>
        <w:ind w:firstLine="42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p/kPa</w:t>
            </w:r>
          </w:p>
        </w:tc>
        <w:tc>
          <w:tcPr>
            <w:tcBorders>
              <w:bottom w:val="single" w:sz="6" w:space="0" w:color="000000"/>
            </w:tcBorders>
          </w:tcPr>
          <w:p>
            <w:pPr>
              <w:pStyle w:val="Compact"/>
              <w:jc w:val="center"/>
            </w:pPr>
            <m:oMath>
              <m:r>
                <m:t>s</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ind w:firstLine="4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石油炼制过程中产生大量的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废气</w:t>
      </w:r>
      <w:r>
        <w:rPr>
          <w:rFonts w:hint="eastAsia" w:ascii="Times New Roman" w:hAnsi="Times New Roman" w:eastAsia="Times New Roman" w:cs="Times New Roman"/>
        </w:rPr>
        <w:t>，</w:t>
      </w:r>
      <w:r>
        <w:rPr>
          <w:rFonts w:hint="eastAsia" w:ascii="Times New Roman" w:hAnsi="Times New Roman" w:eastAsia="FangSong" w:cs="Times New Roman"/>
        </w:rPr>
        <w:t>用热分解法和电化学的方法可以制得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和硫磺产品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如何从高温分解</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的蒸汽中得到硫磺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电化学的基本工艺是将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过滤后将反应液通入电解槽中电解</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体系中对</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的吸收率可达</w:t>
      </w:r>
      <w:r>
        <w:rPr>
          <w:rFonts w:ascii="Times New Roman" w:hAnsi="Times New Roman" w:eastAsia="Times New Roman" w:cs="Times New Roman"/>
        </w:rPr>
        <w:t xml:space="preserve"> </w:t>
      </w:r>
      <m:oMath>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反应液可循环利用</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以定量分析医用双氧水浓度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4</m:t>
          </m:r>
          <m:sSub>
            <m:e>
              <m:r>
                <m:rPr>
                  <m:sty m:val="p"/>
                </m:rPr>
                <m:t>O</m:t>
              </m:r>
            </m:e>
            <m:sub>
              <m:r>
                <m:t>2</m:t>
              </m:r>
            </m:sub>
          </m:sSub>
          <m:r>
            <m:rPr>
              <m:sty m:val="p"/>
            </m:rPr>
            <m:t>+</m:t>
          </m:r>
          <m:r>
            <m:t>6</m:t>
          </m:r>
          <m:sSub>
            <m:e>
              <m:r>
                <m:rPr>
                  <m:sty m:val="p"/>
                </m:rPr>
                <m:t>H</m:t>
              </m:r>
            </m:e>
            <m:sub>
              <m:r>
                <m:t>2</m:t>
              </m:r>
            </m:sub>
          </m:sSub>
          <m:r>
            <m:rPr>
              <m:sty m:val="p"/>
            </m:rPr>
            <m:t>O</m:t>
          </m:r>
          <m:r>
            <m:rPr>
              <m:sty m:val="p"/>
            </m:rPr>
            <m:t>。</m:t>
          </m:r>
        </m:oMath>
      </m:oMathPara>
    </w:p>
    <w:p>
      <w:pPr>
        <w:pStyle w:val="FirstParagraph"/>
        <w:ind w:firstLine="420"/>
      </w:pPr>
      <w:r>
        <w:rPr>
          <w:rFonts w:hint="eastAsia" w:ascii="Times New Roman" w:hAnsi="Times New Roman" w:eastAsia="FangSong" w:cs="Times New Roman"/>
        </w:rPr>
        <w:t>此方程式是否正确</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9</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10</m:t>
            </m:r>
          </m:sub>
        </m:sSub>
        <m:sSub>
          <m:e>
            <m: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s</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氯化银与硒单质在强碱溶液中长时间共煮发生反应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000000"/>
            </w:tcBorders>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000000"/>
            </w:tcBorders>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000000"/>
            </w:tcBorders>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62"/>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numPr>
          <w:ilvl w:val="0"/>
          <w:numId w:val="1019"/>
        </w:numPr>
        <w:ind w:firstLine="420"/>
      </w:pP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65"/>
    <w:bookmarkEnd w:id="66"/>
    <w:bookmarkEnd w:id="67"/>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第一轮综合卷01（学生版）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21" Type="http://schemas.openxmlformats.org/officeDocument/2006/relationships/image" Target="media/rId21.jpg"/><Relationship Id="rId49" Type="http://schemas.openxmlformats.org/officeDocument/2006/relationships/image" Target="media/rId49.jpg"/><Relationship Id="rId32" Type="http://schemas.openxmlformats.org/officeDocument/2006/relationships/image" Target="media/rId32.jpg"/><Relationship Id="rId9" Type="http://schemas.openxmlformats.org/officeDocument/2006/relationships/image" Target="media/rId9.png"/><Relationship Id="rId39" Type="http://schemas.openxmlformats.org/officeDocument/2006/relationships/image" Target="media/rId39.jpg"/><Relationship Id="rId29" Type="http://schemas.openxmlformats.org/officeDocument/2006/relationships/image" Target="media/rId29.jpg"/><Relationship Id="rId46" Type="http://schemas.openxmlformats.org/officeDocument/2006/relationships/image" Target="media/rId46.jpg"/><Relationship Id="rId25" Type="http://schemas.openxmlformats.org/officeDocument/2006/relationships/image" Target="media/rId25.jpg"/><Relationship Id="rId52" Type="http://schemas.openxmlformats.org/officeDocument/2006/relationships/image" Target="media/rId52.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2026-10-11T12:46:05Z</dcterms:created>
  <dcterms:modified xsi:type="dcterms:W3CDTF">2026-10-11T12:46:05Z</dcterms:modified>
</cp:coreProperties>
</file>

<file path=docProps/custom.xml><?xml version="1.0" encoding="utf-8"?>
<Properties xmlns="http://schemas.openxmlformats.org/officeDocument/2006/custom-properties" xmlns:vt="http://schemas.openxmlformats.org/officeDocument/2006/docPropsVTypes"/>
</file>