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本题源卡把设问整体写进了答案区开头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且原书编号跳过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67-2），</w:t>
      </w:r>
      <w:r>
        <w:rPr>
          <w:rFonts w:hint="eastAsia" w:ascii="Times New Roman" w:hAnsi="Times New Roman" w:eastAsia="FangSong" w:cs="Times New Roman"/>
        </w:rPr>
        <w:t>此处按可辨认顺序回迁题面为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(1)~(4)，</w:t>
      </w:r>
      <w:r>
        <w:rPr>
          <w:rFonts w:hint="eastAsia" w:ascii="Times New Roman" w:hAnsi="Times New Roman" w:eastAsia="FangSong" w:cs="Times New Roman"/>
        </w:rPr>
        <w:t>并统一编号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18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numPr>
          <w:ilvl w:val="0"/>
          <w:numId w:val="1019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0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2026-10-11T12:46:20Z</dcterms:created>
  <dcterms:modified xsi:type="dcterms:W3CDTF">2026-10-11T12:46:20Z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