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解离是决速步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不必挤入背面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−OH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无碱时经</w:t>
      </w:r>
      <w:r>
        <w:rPr>
          <w:rFonts w:ascii="Times New Roman" w:hAnsi="Times New Roman" w:eastAsia="Times New Roman" w:cs="Times New Roman"/>
        </w:rPr>
        <w:t xml:space="preserve"> SNi </w:t>
      </w:r>
      <w:r>
        <w:rPr>
          <w:rFonts w:hint="eastAsia" w:ascii="Times New Roman" w:hAnsi="Times New Roman" w:eastAsia="FangSong" w:cs="Times New Roman"/>
        </w:rPr>
        <w:t>机理构型保持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加吡啶才翻转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（kH/kD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5–8，C–H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断裂在决速步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>必须处于直立键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且其反式共平面位置上恰有邻位</w:t>
      </w:r>
      <w:r>
        <w:rPr>
          <w:rFonts w:ascii="Times New Roman" w:hAnsi="Times New Roman" w:eastAsia="Times New Roman" w:cs="Times New Roman"/>
          <w:b/>
          <w:bCs/>
        </w:rPr>
        <w:t xml:space="preserve"> a-H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必须通过环翻转将其转到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二取代体系的</w:t>
      </w:r>
      <w:r>
        <w:rPr>
          <w:rFonts w:ascii="Times New Roman" w:hAnsi="Times New Roman" w:eastAsia="Times New Roman" w:cs="Times New Roman"/>
        </w:rPr>
        <w:t xml:space="preserve"> (a,a) </w:t>
      </w:r>
      <w:r>
        <w:rPr>
          <w:rFonts w:hint="eastAsia" w:ascii="Times New Roman" w:hAnsi="Times New Roman" w:eastAsia="FangSong" w:cs="Times New Roman"/>
        </w:rPr>
        <w:t>双轴构象中这一几何条件天然满足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表观一级动力学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水解速率异常快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SN2；</w:t>
            </w:r>
            <w:r>
              <w:rPr>
                <w:rFonts w:hint="eastAsia" w:ascii="Times New Roman" w:hAnsi="Times New Roman" w:eastAsia="FangSong" w:cs="Times New Roman"/>
              </w:rPr>
              <w:t>对称分子无构型问题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为季碳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>直接消除只能得单取代端烯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此时是否重排直接决定主产物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先列构象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键且存在反式共平面邻位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构象可行性优先于</w:t>
      </w:r>
      <w:r>
        <w:rPr>
          <w:rFonts w:ascii="Times New Roman" w:hAnsi="Times New Roman" w:eastAsia="Times New Roman" w:cs="Times New Roman"/>
        </w:rPr>
        <w:t xml:space="preserve"> Zaitsev/Hofmann。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二取代环己烷只有两种椅式构象</w:t>
      </w:r>
      <w:r>
        <w:rPr>
          <w:rFonts w:hint="eastAsia" w:ascii="Times New Roman" w:hAnsi="Times New Roman" w:eastAsia="Times New Roman" w:cs="Times New Roman"/>
        </w:rPr>
        <w:t>（a,a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↔ e,e 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2-Br(a)——</w:t>
      </w:r>
      <w:r>
        <w:rPr>
          <w:rFonts w:hint="eastAsia" w:ascii="Times New Roman" w:hAnsi="Times New Roman" w:eastAsia="FangSong" w:cs="Times New Roman"/>
        </w:rPr>
        <w:t>两取代基都直立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2-Br(e)——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虽占优势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键无反式共平面</w:t>
      </w:r>
      <w:r>
        <w:rPr>
          <w:rFonts w:ascii="Times New Roman" w:hAnsi="Times New Roman" w:eastAsia="Times New Roman" w:cs="Times New Roman"/>
        </w:rPr>
        <w:t xml:space="preserve"> β-H → E2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必须经环翻转到构象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2-Br(a)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位被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e-H，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不满足反式共平面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恰好反式共平面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消除取向被构象唯一锁定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）。Zaitsev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甲基环己烯需要夺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a-H——</w:t>
      </w:r>
      <w:r>
        <w:rPr>
          <w:rFonts w:hint="eastAsia" w:ascii="Times New Roman" w:hAnsi="Times New Roman" w:eastAsia="FangSong" w:cs="Times New Roman"/>
        </w:rPr>
        <w:t>构象限制压倒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但只能经</w:t>
      </w:r>
      <w:r>
        <w:rPr>
          <w:rFonts w:hint="eastAsia" w:ascii="Times New Roman" w:hAnsi="Times New Roman" w:eastAsia="FangSong" w:cs="Times New Roman"/>
          <w:b/>
          <w:bCs/>
        </w:rPr>
        <w:t xml:space="preserve">次要的双轴构象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构象决定取向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可以压倒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产物稳定性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（(a,e)</w:t>
      </w:r>
      <w:r>
        <w:rPr>
          <w:rFonts w:ascii="Times New Roman" w:hAnsi="Times New Roman" w:eastAsia="Times New Roman" w:cs="Times New Roman"/>
        </w:rPr>
        <w:t xml:space="preserve"> ↔ (e,a)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(e)/2-Br(a) </w:t>
      </w:r>
      <w:r>
        <w:rPr>
          <w:rFonts w:hint="eastAsia" w:ascii="Times New Roman" w:hAnsi="Times New Roman" w:eastAsia="FangSong" w:cs="Times New Roman"/>
        </w:rPr>
        <w:t xml:space="preserve">的构象中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可直接夺之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。cis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构象类型不同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产物相反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立体专一性的经典展示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重排后消除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而非直接消除的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0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0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0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键后环翻转被禁止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恰处于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（cis-1,4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一轴一平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与之反式共平面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t-Bu(e)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Br(e)，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被锁死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也可能有少量次稳定的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β-H）。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2026-09-19T15:34:54Z</dcterms:created>
  <dcterms:modified xsi:type="dcterms:W3CDTF">2026-09-19T15:34:54Z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