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w:t>
      </w:r>
      <w:r>
        <w:rPr>
          <w:rFonts w:hint="eastAsia" w:ascii="Times New Roman" w:hAnsi="Times New Roman" w:eastAsia="FangSong" w:cs="Times New Roman"/>
          <w:b w:val="0"/>
          <w:i w:val="0"/>
          <w:sz w:val="21"/>
        </w:rPr>
        <w:t>八面体配位场轨道能级分裂</w:t>
      </w:r>
    </w:p>
    <w:p>
      <w:pPr>
        <w:pStyle w:val="FirstParagraph"/>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1376"/>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667000" cy="246137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高低自旋电子构型判据流程</w:t>
      </w:r>
    </w:p>
    <w:p>
      <w:pPr>
        <w:pStyle w:val="FirstParagraph"/>
        <w:spacing w:before="160" w:after="80"/>
        <w:jc w:val="center"/>
      </w:pPr>
      <w:r>
        <w:rPr>
          <w:rFonts w:ascii="Times New Roman" w:hAnsi="Times New Roman" w:eastAsia="Times New Roman" w:cs="Times New Roman"/>
        </w:rPr>
        <w:drawing>
          <wp:inline>
            <wp:extent cx="2667000" cy="918286"/>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光谱化学序列与配位场强演化</w:t>
      </w:r>
    </w:p>
    <w:p>
      <w:pPr>
        <w:pStyle w:val="FirstParagraph"/>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二电子体系田边菅野能级图</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8-6：</w:t>
      </w:r>
      <w:r>
        <w:rPr>
          <w:rFonts w:hint="eastAsia" w:ascii="Times New Roman" w:hAnsi="Times New Roman" w:eastAsia="FangSong" w:cs="Times New Roman"/>
          <w:b w:val="0"/>
          <w:i w:val="0"/>
          <w:sz w:val="21"/>
        </w:rPr>
        <w:t>强场低自旋六电子电子排布</w:t>
      </w:r>
    </w:p>
    <w:p>
      <w:pPr>
        <w:pStyle w:val="FirstParagraph"/>
        <w:spacing w:before="160" w:after="80"/>
        <w:jc w:val="center"/>
      </w:pPr>
      <w:r>
        <w:rPr>
          <w:rFonts w:ascii="Times New Roman" w:hAnsi="Times New Roman" w:eastAsia="Times New Roman" w:cs="Times New Roman"/>
        </w:rPr>
        <w:drawing>
          <wp:inline>
            <wp:extent cx="2667000" cy="1931705"/>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2667000" cy="193170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8-7：</w:t>
      </w:r>
      <w:r>
        <w:rPr>
          <w:rFonts w:hint="eastAsia" w:ascii="Times New Roman" w:hAnsi="Times New Roman" w:eastAsia="FangSong" w:cs="Times New Roman"/>
          <w:b w:val="0"/>
          <w:i w:val="0"/>
          <w:sz w:val="21"/>
        </w:rPr>
        <w:t>强场低自旋五电子电子排布</w:t>
      </w:r>
    </w:p>
    <w:p>
      <w:pPr>
        <w:pStyle w:val="FirstParagraph"/>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8-8：</w:t>
      </w:r>
      <w:r>
        <w:rPr>
          <w:rFonts w:hint="eastAsia" w:ascii="Times New Roman" w:hAnsi="Times New Roman" w:eastAsia="FangSong" w:cs="Times New Roman"/>
          <w:b w:val="0"/>
          <w:i w:val="0"/>
          <w:sz w:val="21"/>
        </w:rPr>
        <w:t>九电子八面体四角拉伸畸变</w:t>
      </w:r>
    </w:p>
    <w:p>
      <w:pPr>
        <w:pStyle w:val="FirstParagraph"/>
        <w:spacing w:before="160" w:after="80"/>
        <w:jc w:val="center"/>
      </w:pPr>
      <w:r>
        <w:rPr>
          <w:rFonts w:ascii="Times New Roman" w:hAnsi="Times New Roman" w:eastAsia="Times New Roman" w:cs="Times New Roman"/>
        </w:rPr>
        <w:drawing>
          <wp:inline>
            <wp:extent cx="2667000" cy="504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667000" cy="504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8-9：</w:t>
      </w:r>
      <w:r>
        <w:rPr>
          <w:rFonts w:hint="eastAsia" w:ascii="Times New Roman" w:hAnsi="Times New Roman" w:eastAsia="FangSong" w:cs="Times New Roman"/>
          <w:b w:val="0"/>
          <w:i w:val="0"/>
          <w:sz w:val="21"/>
        </w:rPr>
        <w:t>强姜泰勒效应电子构型对比</w:t>
      </w:r>
    </w:p>
    <w:p>
      <w:pPr>
        <w:pStyle w:val="FirstParagraph"/>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8-10：</w:t>
      </w:r>
      <w:r>
        <w:rPr>
          <w:rFonts w:hint="eastAsia" w:ascii="Times New Roman" w:hAnsi="Times New Roman" w:eastAsia="FangSong" w:cs="Times New Roman"/>
          <w:b w:val="0"/>
          <w:i w:val="0"/>
          <w:sz w:val="21"/>
        </w:rPr>
        <w:t>姜泰勒效应对水交换速率影响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8-11：</w:t>
      </w:r>
      <w:r>
        <w:rPr>
          <w:rFonts w:hint="eastAsia" w:ascii="Times New Roman" w:hAnsi="Times New Roman" w:eastAsia="FangSong" w:cs="Times New Roman"/>
          <w:b w:val="0"/>
          <w:i w:val="0"/>
          <w:sz w:val="21"/>
        </w:rPr>
        <w:t>水交换速率常数双峰变化趋势</w:t>
      </w:r>
    </w:p>
    <w:p>
      <w:pPr>
        <w:pStyle w:val="FirstParagraph"/>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8-12：</w:t>
      </w:r>
      <w:r>
        <w:rPr>
          <w:rFonts w:hint="eastAsia" w:ascii="Times New Roman" w:hAnsi="Times New Roman" w:eastAsia="FangSong" w:cs="Times New Roman"/>
          <w:b w:val="0"/>
          <w:i w:val="0"/>
          <w:sz w:val="21"/>
        </w:rPr>
        <w:t>蔡斯盐协同成键轨道重叠机制</w:t>
      </w:r>
    </w:p>
    <w:p>
      <w:pPr>
        <w:pStyle w:val="FirstParagraph"/>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39165"/>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667000" cy="12391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8-24：</w:t>
      </w:r>
      <w:r>
        <w:rPr>
          <w:rFonts w:hint="eastAsia" w:ascii="Times New Roman" w:hAnsi="Times New Roman" w:eastAsia="FangSong" w:cs="Times New Roman"/>
          <w:b w:val="0"/>
          <w:i w:val="0"/>
          <w:sz w:val="21"/>
        </w:rPr>
        <w:t>双核桥联双氮配合物晶体结构</w:t>
      </w:r>
    </w:p>
    <w:p>
      <w:pPr>
        <w:pStyle w:val="FirstParagraph"/>
        <w:spacing w:before="160" w:after="80"/>
        <w:jc w:val="center"/>
      </w:pPr>
      <w:r>
        <w:rPr>
          <w:rFonts w:ascii="Times New Roman" w:hAnsi="Times New Roman" w:eastAsia="Times New Roman" w:cs="Times New Roman"/>
        </w:rPr>
        <w:drawing>
          <wp:inline>
            <wp:extent cx="2667000" cy="2020075"/>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667000" cy="202007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8-25：</w:t>
      </w:r>
      <w:r>
        <w:rPr>
          <w:rFonts w:hint="eastAsia" w:ascii="Times New Roman" w:hAnsi="Times New Roman" w:eastAsia="FangSong" w:cs="Times New Roman"/>
          <w:b w:val="0"/>
          <w:i w:val="0"/>
          <w:sz w:val="21"/>
        </w:rPr>
        <w:t>威尔金森催化剂均相催化循环</w:t>
      </w:r>
    </w:p>
    <w:p>
      <w:pPr>
        <w:pStyle w:val="FirstParagraph"/>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658146"/>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2667000" cy="6581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8-13：</w:t>
      </w:r>
      <w:r>
        <w:rPr>
          <w:rFonts w:hint="eastAsia" w:ascii="Times New Roman" w:hAnsi="Times New Roman" w:eastAsia="FangSong" w:cs="Times New Roman"/>
          <w:b w:val="0"/>
          <w:i w:val="0"/>
          <w:sz w:val="21"/>
        </w:rPr>
        <w:t>反位效应调控顺反异构体合成</w:t>
      </w:r>
    </w:p>
    <w:p>
      <w:pPr>
        <w:pStyle w:val="FirstParagraph"/>
        <w:spacing w:before="160" w:after="80"/>
        <w:jc w:val="center"/>
      </w:pPr>
      <w:r>
        <w:rPr>
          <w:rFonts w:ascii="Times New Roman" w:hAnsi="Times New Roman" w:eastAsia="Times New Roman" w:cs="Times New Roman"/>
        </w:rPr>
        <w:drawing>
          <wp:inline>
            <wp:extent cx="2667000" cy="124696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2667000" cy="124696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8-14：</w:t>
      </w:r>
      <w:r>
        <w:rPr>
          <w:rFonts w:hint="eastAsia" w:ascii="Times New Roman" w:hAnsi="Times New Roman" w:eastAsia="FangSong" w:cs="Times New Roman"/>
          <w:b w:val="0"/>
          <w:i w:val="0"/>
          <w:sz w:val="21"/>
        </w:rPr>
        <w:t>二价铂平面四方顺反空间异构</w:t>
      </w:r>
    </w:p>
    <w:p>
      <w:pPr>
        <w:pStyle w:val="FirstParagraph"/>
        <w:spacing w:before="160" w:after="80"/>
        <w:jc w:val="center"/>
      </w:pPr>
      <w:r>
        <w:rPr>
          <w:rFonts w:ascii="Times New Roman" w:hAnsi="Times New Roman" w:eastAsia="Times New Roman" w:cs="Times New Roman"/>
        </w:rPr>
        <w:drawing>
          <wp:inline>
            <wp:extent cx="2520000" cy="5554921"/>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2520000" cy="55549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8-15：</w:t>
      </w:r>
      <w:r>
        <w:rPr>
          <w:rFonts w:hint="eastAsia" w:ascii="Times New Roman" w:hAnsi="Times New Roman" w:eastAsia="FangSong" w:cs="Times New Roman"/>
          <w:b w:val="0"/>
          <w:i w:val="0"/>
          <w:sz w:val="21"/>
        </w:rPr>
        <w:t>顺铂交联鸟嘌呤抑制复制机理</w:t>
      </w:r>
    </w:p>
    <w:p>
      <w:pPr>
        <w:pStyle w:val="FirstParagraph"/>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8-16：</w:t>
      </w:r>
      <w:r>
        <w:rPr>
          <w:rFonts w:hint="eastAsia" w:ascii="Times New Roman" w:hAnsi="Times New Roman" w:eastAsia="FangSong" w:cs="Times New Roman"/>
          <w:b w:val="0"/>
          <w:i w:val="0"/>
          <w:sz w:val="21"/>
        </w:rPr>
        <w:t>各类磁性物质变温磁化率曲线</w:t>
      </w:r>
    </w:p>
    <w:p>
      <w:pPr>
        <w:pStyle w:val="FirstParagraph"/>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99357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667000" cy="29935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8-17：</w:t>
      </w:r>
      <w:r>
        <w:rPr>
          <w:rFonts w:hint="eastAsia" w:ascii="Times New Roman" w:hAnsi="Times New Roman" w:eastAsia="FangSong" w:cs="Times New Roman"/>
          <w:b w:val="0"/>
          <w:i w:val="0"/>
          <w:sz w:val="21"/>
        </w:rPr>
        <w:t>重金属双核八氯阴离子立体构型</w:t>
      </w:r>
    </w:p>
    <w:p>
      <w:pPr>
        <w:pStyle w:val="FirstParagraph"/>
        <w:spacing w:before="160" w:after="80"/>
        <w:jc w:val="center"/>
      </w:pPr>
      <w:r>
        <w:rPr>
          <w:rFonts w:ascii="Times New Roman" w:hAnsi="Times New Roman" w:eastAsia="Times New Roman" w:cs="Times New Roman"/>
        </w:rPr>
        <w:drawing>
          <wp:inline>
            <wp:extent cx="2667000" cy="3556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667000" cy="355600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8-18：</w:t>
      </w:r>
      <w:r>
        <w:rPr>
          <w:rFonts w:hint="eastAsia" w:ascii="Times New Roman" w:hAnsi="Times New Roman" w:eastAsia="FangSong" w:cs="Times New Roman"/>
          <w:b w:val="0"/>
          <w:i w:val="0"/>
          <w:sz w:val="21"/>
        </w:rPr>
        <w:t>双核重金属四重键分子轨道能级</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23965"/>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667000" cy="272396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8-19：</w:t>
      </w:r>
      <w:r>
        <w:rPr>
          <w:rFonts w:hint="eastAsia" w:ascii="Times New Roman" w:hAnsi="Times New Roman" w:eastAsia="FangSong" w:cs="Times New Roman"/>
          <w:b w:val="0"/>
          <w:i w:val="0"/>
          <w:sz w:val="21"/>
        </w:rPr>
        <w:t>四重键骨架与配体轨道定性重叠</w:t>
      </w:r>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667000" cy="727363"/>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8-20：</w:t>
      </w:r>
      <w:r>
        <w:rPr>
          <w:rFonts w:hint="eastAsia" w:ascii="Times New Roman" w:hAnsi="Times New Roman" w:eastAsia="FangSong" w:cs="Times New Roman"/>
          <w:b w:val="0"/>
          <w:i w:val="0"/>
          <w:sz w:val="21"/>
        </w:rPr>
        <w:t>面对面重叠形成德尔塔键机制</w:t>
      </w:r>
    </w:p>
    <w:p>
      <w:pPr>
        <w:pStyle w:val="FirstParagraph"/>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3333750"/>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2667000" cy="333375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8-21：</w:t>
      </w:r>
      <w:r>
        <w:rPr>
          <w:rFonts w:hint="eastAsia" w:ascii="Times New Roman" w:hAnsi="Times New Roman" w:eastAsia="FangSong" w:cs="Times New Roman"/>
          <w:b w:val="0"/>
          <w:i w:val="0"/>
          <w:sz w:val="21"/>
        </w:rPr>
        <w:t>构象旋转对德尔塔键重叠积分影响</w:t>
      </w:r>
    </w:p>
    <w:p>
      <w:pPr>
        <w:pStyle w:val="FirstParagraph"/>
        <w:spacing w:before="160" w:after="80"/>
        <w:jc w:val="center"/>
      </w:pPr>
      <w:r>
        <w:rPr>
          <w:rFonts w:ascii="Times New Roman" w:hAnsi="Times New Roman" w:eastAsia="Times New Roman" w:cs="Times New Roman"/>
        </w:rPr>
        <w:drawing>
          <wp:inline>
            <wp:extent cx="2667000" cy="2348321"/>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2667000" cy="234832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8-22：</w:t>
      </w:r>
      <w:r>
        <w:rPr>
          <w:rFonts w:hint="eastAsia" w:ascii="Times New Roman" w:hAnsi="Times New Roman" w:eastAsia="FangSong" w:cs="Times New Roman"/>
          <w:b w:val="0"/>
          <w:i w:val="0"/>
          <w:sz w:val="21"/>
        </w:rPr>
        <w:t>双核钼多重键三维轨道分布模型</w:t>
      </w:r>
    </w:p>
    <w:p>
      <w:pPr>
        <w:pStyle w:val="FirstParagraph"/>
        <w:spacing w:before="160" w:after="80"/>
        <w:jc w:val="center"/>
      </w:pPr>
      <w:r>
        <w:rPr>
          <w:rFonts w:ascii="Times New Roman" w:hAnsi="Times New Roman" w:eastAsia="Times New Roman" w:cs="Times New Roman"/>
        </w:rPr>
        <w:drawing>
          <wp:inline>
            <wp:extent cx="2667000" cy="2308898"/>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2667000" cy="230889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8-23：</w:t>
      </w:r>
      <w:r>
        <w:rPr>
          <w:rFonts w:hint="eastAsia" w:ascii="Times New Roman" w:hAnsi="Times New Roman" w:eastAsia="FangSong" w:cs="Times New Roman"/>
          <w:b w:val="0"/>
          <w:i w:val="0"/>
          <w:sz w:val="21"/>
        </w:rPr>
        <w:t>德尔塔成键轨道空间波函数截面</w:t>
      </w:r>
    </w:p>
    <w:p>
      <w:pPr>
        <w:pStyle w:val="FirstParagraph"/>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2026-09-29T17:12:31Z</dcterms:created>
  <dcterms:modified xsi:type="dcterms:W3CDTF">2026-09-29T17:12:31Z</dcterms:modified>
</cp:coreProperties>
</file>

<file path=docProps/custom.xml><?xml version="1.0" encoding="utf-8"?>
<Properties xmlns="http://schemas.openxmlformats.org/officeDocument/2006/custom-properties" xmlns:vt="http://schemas.openxmlformats.org/officeDocument/2006/docPropsVTypes"/>
</file>