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86592"/>
            <wp:effectExtent b="0" l="0" r="0" t="0"/>
            <wp:docPr descr="恒压下气体体积与温度的关系" title="" id="11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8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1-1：</w:t>
      </w:r>
      <w:r>
        <w:rPr>
          <w:rFonts w:hint="eastAsia" w:ascii="Times New Roman" w:hAnsi="Times New Roman" w:eastAsia="FangSong" w:cs="Times New Roman"/>
        </w:rPr>
        <w:t>恒压下气体体积与温度的关系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13597"/>
            <wp:effectExtent b="0" l="0" r="0" t="0"/>
            <wp:docPr descr="气体分压力测定装置示意图" title="" id="21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1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1-2：</w:t>
      </w:r>
      <w:r>
        <w:rPr>
          <w:rFonts w:hint="eastAsia" w:ascii="Times New Roman" w:hAnsi="Times New Roman" w:eastAsia="FangSong" w:cs="Times New Roman"/>
        </w:rPr>
        <w:t>气体分压力测定装置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2520"/>
            <wp:effectExtent b="0" l="0" r="0" t="0"/>
            <wp:docPr descr="NH₃ 与 HCl 的扩散实验" title="" id="36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1-3：NH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的扩散实验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2026-09-29T17:12:56Z</dcterms:created>
  <dcterms:modified xsi:type="dcterms:W3CDTF">2026-09-29T17:12:56Z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