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轨道的单电子能量呈现剧烈的显著陡降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轨道空间尺寸匹配</w:t>
      </w:r>
      <w:r>
        <w:rPr>
          <w:rFonts w:hint="eastAsia" w:ascii="Times New Roman" w:hAnsi="Times New Roman" w:eastAsia="Times New Roman" w:cs="Times New Roman"/>
        </w:rPr>
        <w:t>、</w:t>
      </w:r>
      <w:r>
        <w:rPr>
          <w:rFonts w:hint="eastAsia" w:ascii="Times New Roman" w:hAnsi="Times New Roman" w:eastAsia="FangSong" w:cs="Times New Roman"/>
        </w:rPr>
        <w:t>能级能量接近</w:t>
      </w:r>
      <w:r>
        <w:rPr>
          <w:rFonts w:hint="eastAsia" w:ascii="Times New Roman" w:hAnsi="Times New Roman" w:eastAsia="Times New Roman" w:cs="Times New Roman"/>
        </w:rPr>
        <w:t>，</w:t>
      </w:r>
      <w:r>
        <w:rPr>
          <w:rFonts w:hint="eastAsia" w:ascii="Times New Roman" w:hAnsi="Times New Roman" w:eastAsia="FangSong" w:cs="Times New Roman"/>
        </w:rPr>
        <w:t>形成了强固的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发生几何级数显著增大</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否则将激发显著的泡利推斥力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因此水杨酸的第二级电离困难</w:t>
      </w:r>
      <w:r>
        <w:rPr>
          <w:rFonts w:hint="eastAsia" w:ascii="Times New Roman" w:hAnsi="Times New Roman" w:eastAsia="Times New Roman" w:cs="Times New Roman"/>
        </w:rPr>
        <w:t>，</w:t>
      </w:r>
      <w:r>
        <w:rPr>
          <w:rFonts w:hint="eastAsia" w:ascii="Times New Roman" w:hAnsi="Times New Roman" w:eastAsia="FangSong" w:cs="Times New Roman"/>
        </w:rPr>
        <w:t>酸性常数微弱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显著增大至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2026-09-29T17:06:10Z</dcterms:created>
  <dcterms:modified xsi:type="dcterms:W3CDTF">2026-09-29T17:06:10Z</dcterms:modified>
</cp:coreProperties>
</file>

<file path=docProps/custom.xml><?xml version="1.0" encoding="utf-8"?>
<Properties xmlns="http://schemas.openxmlformats.org/officeDocument/2006/custom-properties" xmlns:vt="http://schemas.openxmlformats.org/officeDocument/2006/docPropsVTypes"/>
</file>