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能够使形成的阳离子在静电总能上达到极致的最低值</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核对剩余电子的库仑引力显著增大导致电子层向内核强烈收缩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导致半径发生显著剧减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的第二电离能呈现显著增大式跃迁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发生了急剧的台阶式阶跃跃迁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需要对抗显著增大的裸核静电引力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因而呈现出标志性的壳层阶跃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持续显著增大</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其轨道能量发生显著的下降下潜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最外层价电子被牢固地束缚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2026-09-29T17:06:27Z</dcterms:created>
  <dcterms:modified xsi:type="dcterms:W3CDTF">2026-09-29T17:06:27Z</dcterms:modified>
</cp:coreProperties>
</file>

<file path=docProps/custom.xml><?xml version="1.0" encoding="utf-8"?>
<Properties xmlns="http://schemas.openxmlformats.org/officeDocument/2006/custom-properties" xmlns:vt="http://schemas.openxmlformats.org/officeDocument/2006/docPropsVTypes"/>
</file>